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2016</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April 26, 2016 was 59,080,468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32">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implementation of the new Private Mortgage Insurer Eligibility Requirements (PMIERs) or decisions that have the impact of decreasing or discontinuing the use of mortgage insurance as credit enhancement;</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or their enforcement and implementation by regulators;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enter into, and receive approval of, reinsurance arrangements on terms and conditions that are acceptable to us and to the GSEs;</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2015 (2015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March 31, 2016 and December 31, 2015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Operations and Comprehensive Loss for the three months ended March 31,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three months ended March 31, 2016 and the year ended December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31, 2015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Fixed maturities, available-for-sale, at fair value (amortized cost of $551,780 and $564,319 as of March</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2016 and December 31, 2015,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556,683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17,530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684,314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c>
          <w:tcPr>
            <w:tcW w:w="0" w:type="dxa"/>
            <w:vAlign w:val="bottom"/>
          </w:tcPr>
          <w:p>
            <w:pPr>
              <w:spacing w:after="0"/>
              <w:rPr>
                <w:sz w:val="1"/>
                <w:szCs w:val="1"/>
                <w:color w:val="auto"/>
              </w:rPr>
            </w:pPr>
          </w:p>
        </w:tc>
      </w:tr>
      <w:tr>
        <w:trPr>
          <w:trHeight w:val="56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143,982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90,773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22,725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274,256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259,720</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59,080,468 and 58,807,825 shares issued and outstanding as of March 31, 2016 and December 31, 2015,</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571,585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570,340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(160,723)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684,314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316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(5,985)</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1,596</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22,672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18,350</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318"/>
        </w:trPr>
        <w:tc>
          <w:tcPr>
            <w:tcW w:w="79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58,936,694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58,485,899</w:t>
            </w:r>
          </w:p>
        </w:tc>
      </w:tr>
      <w:tr>
        <w:trPr>
          <w:trHeight w:val="324"/>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7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Net unrealized gains in accumulated other comprehensive loss, net of tax expense of $0 and $1,431 for</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quarters ended March 31, 2016 and March 31,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2,672</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7"/>
              </w:rPr>
              <w:t>Reclassification adjustment for losses (gains) included in net loss, net of tax expense of $0 for the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quarters ended March 31, 2016 and 2015</w:t>
            </w:r>
          </w:p>
        </w:tc>
        <w:tc>
          <w:tcPr>
            <w:tcW w:w="3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(5,761)</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1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Common Stock - Class A</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180" w:type="dxa"/>
            <w:vAlign w:val="bottom"/>
          </w:tcPr>
          <w:p>
            <w:pPr>
              <w:spacing w:after="0"/>
              <w:rPr>
                <w:sz w:val="16"/>
                <w:szCs w:val="16"/>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Paid-in Capital</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2015</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58,429</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562,911</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379</w:t>
            </w:r>
          </w:p>
        </w:tc>
        <w:tc>
          <w:tcPr>
            <w:tcW w:w="88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of $0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2015</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58,808</w:t>
            </w: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588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570,340</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Common stock: class A shares issued under stock</w:t>
            </w:r>
          </w:p>
        </w:tc>
        <w:tc>
          <w:tcPr>
            <w:tcW w:w="1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of $0</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2016</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59,080</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571,585</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410,058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r>
      <w:tr>
        <w:trPr>
          <w:trHeight w:val="237"/>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960" w:type="dxa"/>
            <w:vAlign w:val="bottom"/>
          </w:tcPr>
          <w:p>
            <w:pPr>
              <w:spacing w:after="0"/>
              <w:rPr>
                <w:sz w:val="20"/>
                <w:szCs w:val="20"/>
                <w:color w:val="auto"/>
              </w:rPr>
            </w:pPr>
          </w:p>
        </w:tc>
        <w:tc>
          <w:tcPr>
            <w:tcW w:w="1260" w:type="dxa"/>
            <w:vAlign w:val="bottom"/>
            <w:gridSpan w:val="3"/>
          </w:tcPr>
          <w:p>
            <w:pPr>
              <w:jc w:val="right"/>
              <w:ind w:right="35"/>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(7,820)</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 (gains)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Gain from change in fair value of warrant liability</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(1,248)</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other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1,099</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2,005</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Noncash intraperiod tax allocation</w:t>
            </w:r>
          </w:p>
        </w:tc>
        <w:tc>
          <w:tcPr>
            <w:tcW w:w="9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Prepaid expenses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policy acquisition costs, net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(2,298)</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Other assets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453</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Unearned premiums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18,322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5,985</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104</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(11,085)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(4,291)</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(7,542)</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(71,319)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(61,676)</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89,422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33,935</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software and equipment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(1,317)</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15,784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(29,058)</w:t>
            </w:r>
          </w:p>
        </w:tc>
      </w:tr>
      <w:tr>
        <w:trPr>
          <w:trHeight w:val="233"/>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333</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(334)</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used in financing activities</w:t>
            </w: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31"/>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96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w w:val="99"/>
              </w:rPr>
              <w:t>15,985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(36,601)</w:t>
            </w: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9"/>
              </w:rPr>
              <w:t>57,317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103,021</w:t>
            </w:r>
          </w:p>
        </w:tc>
      </w:tr>
      <w:tr>
        <w:trPr>
          <w:trHeight w:val="244"/>
        </w:trPr>
        <w:tc>
          <w:tcPr>
            <w:tcW w:w="8120" w:type="dxa"/>
            <w:vAlign w:val="bottom"/>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99"/>
              </w:rPr>
              <w:t>73,302</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66,420</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Noncash financing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3,255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shares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with $0.5 million a wholly owned subsidiary, NMI Services, Inc. (NMIS), through which we began to offer outsourced loan review services to mortgage loan originators in the fourth quarter of 2015.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2015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2016.</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share-based compensation arrangements, and the dilutive effect of outstanding warrants. As a result of our net losses for the three months ended March 31, 2016 and 2015, 7,351,338 and 7,137,901, respectively, of our common stock equivalents we issued under share-based compensation arrangements and warrants were not included in the calculation of diluted net loss per share as of such dates because they were anti-dilutive.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proportion to estimated gross profits over the estimated life of the policies. Total amortization of DAC for the three months ended March 31, 2016 and 2015 were $0.9 million and $0.4 million,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three months ended March 31, 2016 or 2015.</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2014, the FASB issued an update that requires an entity's management to evaluate whether there is substantial doubt about that entity's ability to continue as a going concern and, if so, disclose that fact. An entity's management will also be required to evaluate and disclose whether its plans alleviate that doubt. The guidance is effective for annual periods ending after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15, 2016 and for interim and annual periods thereafter. We do not expect the adoption of this update to have a material effect on the presentation of our financial statements and notes therein.</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April 2015 , the FASB issued Accounting Standard Update (ASU) 2015-03,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(Subtopic 835-30). This update is intended to simplify the presentation of debt issuance costs. In accordance with the new standard, debt issuance costs are presented as a direct deduction from long-term debt. The amended guidance is effective for fiscal years, and interim periods within those fiscal years, beginning December 15, 2015, with early adoption permitted. The Company has elected to early adopt ASU 2015-03 beginning with the year ended December 31, 2015. Application of this standard eliminated the presentation of a deferred cost (asset) and instead required debt issuance costs be presented as a direct deduction from total debt.</w:t>
      </w:r>
    </w:p>
    <w:p>
      <w:pPr>
        <w:spacing w:after="0" w:line="13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The Company is currently evaluating the impact the adoption of this ASU will have on the consolidated financial statements.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update is intended to provide improvements to employee share-based payment accounting. The areas for simplification in the update involve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Early adoption is permitted in any period. The Company is currently evaluating the impact the adoption of this ASU will have on the consolidated financial statements.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therin. Early adoption is permitted in any period. The Company is currently evaluating the impact the adoption of this ASU will have on the consolidated financial statements.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financial statements as of March 31, 2016 and for the period ended March 31, 2015 have been reclassified to conform to the current period's presentation. There was no effect on net income or shareholders' equity previously reported.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59,941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23,478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317,962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322,520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113,963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113,549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515,344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520,223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36,436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551,780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556,683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20,209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543,770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538,681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564,319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as of March 31, 2016 and December 31, 2015,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178,408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179,487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200,244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16,482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15,831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113,963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113,549</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551,780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556,683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62,745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187,633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19,015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564,319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March 31, 2016, the investment portfolio had gross unrealized losses of $2.2 million, $0.3 million of which has been in an unrealized loss position for a period of 12 months or greater. We did not consider these securities to be other-than-temporarily impaired as of March 31, 2016. We based our conclusion that these investments were not other-than-temporarily impaired as of March 31, 2016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58,765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63,978</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253,348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69,878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79,086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2016, net investment income was comprised of $3.4 million of investment income from fixed maturities and $0.2 million of investment expenses, compared to $1.7 million of investment income from fixed maturities and $0.1 million of investment expenses for the three months ended March 31, 2015.</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2016 and December 31, 2015, there were approximately $7.0 million of cash and investments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60" w:type="dxa"/>
            <w:vAlign w:val="bottom"/>
            <w:gridSpan w:val="3"/>
          </w:tcPr>
          <w:p>
            <w:pPr>
              <w:jc w:val="right"/>
              <w:ind w:right="736"/>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March 31, 2016</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23,907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23,907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322,520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322,520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113,549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113,549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109,763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147,192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482,793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629,985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19,297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473,496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616,553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00" w:type="dxa"/>
            <w:vAlign w:val="bottom"/>
            <w:gridSpan w:val="6"/>
          </w:tcPr>
          <w:p>
            <w:pPr>
              <w:ind w:left="660"/>
              <w:spacing w:after="0"/>
              <w:rPr>
                <w:sz w:val="20"/>
                <w:szCs w:val="20"/>
                <w:color w:val="auto"/>
              </w:rPr>
            </w:pPr>
            <w:r>
              <w:rPr>
                <w:rFonts w:ascii="Arial" w:cs="Arial" w:eastAsia="Arial" w:hAnsi="Arial"/>
                <w:sz w:val="18"/>
                <w:szCs w:val="18"/>
                <w:color w:val="auto"/>
                <w:w w:val="97"/>
              </w:rPr>
              <w:t>The following is a roll-forward of Level 3 liabilities measured at fair value: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Gain on settlement of warrants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March 31, 2016, the assumptions used in the option-pricing model were as follows: a common stock price as of March 31, 2016 of $5.05, risk free interest rate of 1.36%, expected life of 5.92 years, expected volatility of 35.5% and a dividend yield of 0%. The change in fair value is primarily attributable to a decline in the price of our common stock from December 31, 2015 to March 31,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Loan</w:t>
      </w:r>
    </w:p>
    <w:p>
      <w:pPr>
        <w:spacing w:after="0" w:line="17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November 10, 2015, we entered into a credit agreement (the Credit Agreement) to obtain a three-year senior secured term loan B (the Term Loan) for $150 million. The Term Loan bears interest at the Eurodollar based rate (1% floor) plus an annual margin rate of 7.5% (8.5% for the first quarter of 2016), payable quarterly. Quarterly principal payments of $375 thousand are also required. The outstanding balance as of March 31, 2016 was $149.3 million.</w:t>
      </w:r>
    </w:p>
    <w:p>
      <w:pPr>
        <w:spacing w:after="0" w:line="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Debt issuance costs totaling $4.4 million and a 1% debt discount are being amortized to interest expense, using the effective interest method, over the contractual life of the Term Loan. Effective interest rate for the Term Loan includes interest, amortization of issuance cost and the discount. For the quarter ended March 31, 2016, the Company recorded $3.6 million of interest expense, including amortization of the issuance cost and discount.</w:t>
      </w:r>
    </w:p>
    <w:p>
      <w:pPr>
        <w:spacing w:after="0" w:line="1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NMIH is subject to certain quarterly covenants under the Credit Agreement. These covenants include, but are not limited to the following: a maximum debt-to-total capitalization ratio (as defined) of 35%, maximum risk-to-capital (RTC) ratio of 22.0:1.0, liquidity (as defined) of $36 million as of March 31, 2016, compliance with financial requirements of PMIERs, and equity requirements. This description is not intended to be complete in all respects and is qualified in its entirety by the terms of the Credit Agreement, including its covenants and events of default. We were in compliance with all covenants as of March 31, 2016.</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Company's Term Loan as of March 31, 2016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146,625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149,250</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Reserves for Insurance Claims and Claims Expenses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estimated claims incurred on loans that have been in default for at least 60 days that have not yet been reported to us by the servicers, often referred to as IBNR. As of March 31, 2016, we have established reserves for insurance claims of $1.1 million for 55 primary loans in default. We did not pay any claims during the quarter ended March 31, 2016.</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March 31, 2016, 40 loans in the pool were past due by 60 days or more. These 40 loans represent approximately $2.6 million in RIF. Due to the size of the remaining deductible of $10.3 million, the low level of notices of default (NODs) reported through March 31, 2016 and the expected severity (all loans in the pool have loan-to-value ratios (LTVs) under 80%), we have not established any pool reserves for claims or IBNR for the three months ended March 31, 2016 and 2015. In connection with settlement of pool claims, we applied $18 thousand to the pool deductible through March 31, 2016. We have not paid any pool claims to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40" w:type="dxa"/>
            <w:vAlign w:val="bottom"/>
            <w:gridSpan w:val="3"/>
          </w:tcPr>
          <w:p>
            <w:pPr>
              <w:jc w:val="right"/>
              <w:ind w:right="756"/>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324"/>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paid</w:t>
            </w: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a $95 thousand favorable prior year development during the three months ended March 31, 2016. There were $584 thousand of reserves remaining for defaults occurring in prior years as of March 31, 2016 as a result of NOD cures and claim payments. The decrease in the period is generally the result of ongoing analysis of recent loss development trends. We may increase or decrease our original estimates as we learn additional information about individual defaults and claims.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issued 992,000 warrants in connection with our Private Placement. Each warrant gives the holder thereof the right to purchase one share of common stock at an exercise price equal to $10.00. The warrants were issued with an aggregate fair value of $5.1 million.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exercise of these warrants, the amounts will be treated as additional paid-in capital. During the first quarter of 2014, 7,790 warrants were exercised, and we issued 1,115 Class A common shares via a cashless exercise. Upon exercise we recognized a gain of approximately $37 thousand. No warrants have been exercised for the three month periods ended March 31, 2016 or March 31, 2015.</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U.S. taxpayer and are subject to a statutory U.S. federal corporate income tax rate of 35%. Our holding company files a consolidated U.S. federal and various state income tax returns on behalf of itself and its subsidiaries. We currently pay no federal income tax, and had a federal net operating loss carryforward as of December 31, 2015 of $139.4 million. Our effective income tax rate on our pre-tax loss was 0.0% for the three months ended March 31, 2016, compared to 3.0% for the comparable 2015 period. During those periods, the benefits from income taxes were eliminated or reduced by the recognition of a full valuation allowance which was recorded to reflect the amount of the deferred taxes that may not be realized.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Statutory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Office of the Commissioner of Insurance (Wisconsin OCI), NMIC's principal regulator.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 and Re One's combined statutory net loss, statutory surplus, contingency reserve and risk-to-capital (RTC) ratios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three months and year ended</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4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381,451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391,422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42,467</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24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8.7:1</w:t>
            </w:r>
          </w:p>
        </w:tc>
      </w:tr>
    </w:tbl>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2015, NMIC cannot pay any dividends to NMIH through December 31, 2016, without the prior approval of the Wisconsin OCI.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2015 10-K, for a more complete understanding of our financial position and results of operations. In addition, investors should review the "Cautionary Note Regarding Forward-Looking Statements" above and the "Risk Factors" detailed in Part I, Item 1A of our 2015 10-K,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MI through our insurance subsidiaries. Our primary insurance subsidiary, NMIC, is a qualified MI provider on loans purchased by Fannie Mae and Freddie Mac (collectively, the GSEs) and is licensed in all 50 states and D.C. to issue MI. Our reinsurance subsidiary, Re One, solely provides reinsurance to NMIC on certain loans insured by NMIC to meet state statutory coverage limits. Our subsidiary, NMIS, began offering outsourced loan review services to mortgage loan originators in the fourth quarter of 2015. Our stock trades on the NASDAQ under the symbol "NMIH."</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United States who offer MI. Our business strategy is to continue to gain market share with our principal focus on writing insurance on high quality, low down payment residential mortgages in the U.S.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total insurance-in-force (IIF) of $22.7 billion and total risk-in-force (RIF) of $4.6 billion as of March 31, 2016, compared to total IIF of $19.1 billion and total RIF of $3.7 billion as of December 31, 2015. Of total IIF as of March 31, 2016, we had $18.6 billion of primary IIF and $4.1 billion of pool IIF, compared to $14.8 billion of primary IIF and $4.2 billion of pool IIF as of December 31, 2015. As of March 31, 2016, our primary RIF was $4.5 billion compared to primary RIF of $3.6 billion as of December 31, 2015. Pool RIF was $93.1 million as of March 31, 2016 and December 31, 2015.</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and marketing strategy is focused on increasing market share from existing customers and attracting new mortgage originator customers in the U.S. that fall into two primary categories, which we refer to as "National Accounts" and "Regional Accounts." Since we started MI operations in April 2013, we have consistently increased our customer base and market share, and we expect to continue to acquire new customers and increase our market share with existing customers. We had 1023 Master Policy holders as of March 31, 2016, compared to 777 master policy holders as of March 31, 2015. Of those master policy holders, 469 or 45.8% were generating new insurance written (NIW) in the first quarter of 2016, compared to 291 or 37.5% generating NIW in the first quarter of 2015.</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NMIC's primary insurance may be written on a flow basis, in which loans are insured in individual, loan-by-loan transactions, or on an aggregated basis, in which each loan in a portfolio of loans is individually insured in a single transaction. NMIC has also written pool insurance under an agreement with Fannie Mae, in which it insured a group of loans (or pool) in one transaction. NMIC's pool insurance has a stated aggregate loss limit and a deductible under which no losses are paid by NMIC until losses on the pool of loans exceed the deductible. See Item 1</w:t>
      </w:r>
      <w:r>
        <w:rPr>
          <w:rFonts w:ascii="Arial" w:cs="Arial" w:eastAsia="Arial" w:hAnsi="Arial"/>
          <w:sz w:val="17"/>
          <w:szCs w:val="17"/>
          <w:i w:val="1"/>
          <w:iCs w:val="1"/>
          <w:color w:val="auto"/>
        </w:rPr>
        <w:t>, "Financial Statements and Supplementary Data - Notes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Consolidated Financial Statements - Note 5, Reserves for Insurance Claims and Claims Expenses," </w:t>
      </w:r>
      <w:r>
        <w:rPr>
          <w:rFonts w:ascii="Arial" w:cs="Arial" w:eastAsia="Arial" w:hAnsi="Arial"/>
          <w:sz w:val="17"/>
          <w:szCs w:val="17"/>
          <w:color w:val="auto"/>
        </w:rPr>
        <w:t>above.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set premiums at the time a policy is issued based on our expectations regarding likely performance over the term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 xml:space="preserve">coverage. We offer borrower-paid (BPMI) and lender-paid (LPMI) mortgage insurance options. Premium rates are based on the risk characteristics of each insured loan and the capital required to support particular products. Capital charges are governed primarily by the GSEs' private mortgage insurer eligibility requirements (PMIERs), as well as by regulatory and economic capital requirements. See "- </w:t>
      </w:r>
      <w:r>
        <w:rPr>
          <w:rFonts w:ascii="Arial" w:cs="Arial" w:eastAsia="Arial" w:hAnsi="Arial"/>
          <w:sz w:val="18"/>
          <w:szCs w:val="18"/>
          <w:i w:val="1"/>
          <w:iCs w:val="1"/>
          <w:color w:val="auto"/>
        </w:rPr>
        <w:t>GSE Oversight"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 Capital Position of our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Subsidiaries," </w:t>
      </w:r>
      <w:r>
        <w:rPr>
          <w:rFonts w:ascii="Arial" w:cs="Arial" w:eastAsia="Arial" w:hAnsi="Arial"/>
          <w:sz w:val="18"/>
          <w:szCs w:val="18"/>
          <w:color w:val="auto"/>
        </w:rPr>
        <w:t>below.</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monthly, annual and single premium payment plans. Policies written on a single premium basis are paid through a single, upfront payment, the majority of which is initially deferred as unearned premium and earned over the policy term. For monthly policies, premiums are earned and collected each month as coverage is provided.</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shows primary and pool IIF, NIW and premiums written and earned. Single NIW and IIF include policies written on an aggregated and flow basis.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and for the quarter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6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ind w:right="954"/>
              <w:spacing w:after="0"/>
              <w:rPr>
                <w:sz w:val="20"/>
                <w:szCs w:val="20"/>
                <w:color w:val="auto"/>
              </w:rPr>
            </w:pPr>
            <w:r>
              <w:rPr>
                <w:rFonts w:ascii="Arial" w:cs="Arial" w:eastAsia="Arial" w:hAnsi="Arial"/>
                <w:sz w:val="14"/>
                <w:szCs w:val="14"/>
                <w:b w:val="1"/>
                <w:bCs w:val="1"/>
                <w:color w:val="auto"/>
              </w:rPr>
              <w:t>March 31, 2015</w:t>
            </w: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IIF</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IIF</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NIW</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gridSpan w:val="4"/>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9,209,600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2,491,671</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2,258,776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918,697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Single</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9,354,522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1,762,403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2,576,472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777,445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18,564,122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4,254,074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4,835,248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1,696,142</w:t>
            </w:r>
          </w:p>
        </w:tc>
      </w:tr>
      <w:tr>
        <w:trPr>
          <w:trHeight w:val="176"/>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4,135,620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4,621,346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22,699,742</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4,254,074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9,456,594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1,696,142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616"/>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974"/>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4"/>
              </w:rPr>
              <w:t>March 31, 2015</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60" w:type="dxa"/>
            <w:vAlign w:val="bottom"/>
            <w:gridSpan w:val="5"/>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38,129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19,807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6,936</w:t>
            </w:r>
          </w:p>
        </w:tc>
      </w:tr>
    </w:tbl>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our industry, a "book" is a group of loans that an MI company insures in a particular period, normally a calendar year. In general, the majority of any underwriting profit (</w:t>
      </w:r>
      <w:r>
        <w:rPr>
          <w:rFonts w:ascii="Arial" w:cs="Arial" w:eastAsia="Arial" w:hAnsi="Arial"/>
          <w:sz w:val="16"/>
          <w:szCs w:val="16"/>
          <w:i w:val="1"/>
          <w:iCs w:val="1"/>
          <w:color w:val="auto"/>
        </w:rPr>
        <w:t>i.e.</w:t>
      </w:r>
      <w:r>
        <w:rPr>
          <w:rFonts w:ascii="Arial" w:cs="Arial" w:eastAsia="Arial" w:hAnsi="Arial"/>
          <w:sz w:val="16"/>
          <w:szCs w:val="16"/>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and premium plan our customers select.</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quarter ended March 31, 2016, primary NIW increased 151% over the first quarter of 2015 as a result of significant growth in our customer base and primary flow business. In the first quarter of 2016, monthly premium NIW increased 171% over the first quarter of 2015 due to greater lender demand for our monthly premium MI products and the growth of our insurance business.</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quarter ended March 31, 2016, we had net premiums written of $38.1 million and premiums earned of $19.8 million, compared to net premiums written of $12.9 million and premiums earned of $6.9 million for the quarter ended March 31, 2015. Premiums written and earned are generally influenced by NIW, product mix, pricing and persistency. Additionally, premiums earned are influenced by the amortization of earnings on our single premium product over the policies' expected lives in accordance with the expiration of risk for policies covering more than one year.</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recent years, the private MI industry, including NMIC, has experienced price competition, particularly with respect to LPMI single premium policies. Through 2015, single premium policies had comprised a majority of our NIW, some of which were written at rates below our published rate card, which may impact our premium yields in the near term. In January 2016, in response to the required assets provisions of PMIERs, including the additional capital charges applied to LPMI products, we implemented new LPMI and BPMI rates to target a mid-teens return, which we expect will improve premium yields on our LPMI single premium policies. These PMIER imposed LPMI capital charges also drove premium rate increases throughout the industry. We expect that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with our premium rate changes, the mix of business we write will begin to shift to a higher percentage of monthly premium policies. This shift began to occur in the first quarter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primary NIW, IIF, RIF, policies in force, the weighted average coverage and loans in default, by quarter, for the last five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w w:val="94"/>
              </w:rPr>
              <w:t>As of and for the quarter ended</w:t>
            </w:r>
          </w:p>
        </w:tc>
        <w:tc>
          <w:tcPr>
            <w:tcW w:w="1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 2016</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December 31, 2015</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2015</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ind w:left="8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4,254,074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4,546,759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3,632,740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2,548,515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1,696,142</w:t>
            </w:r>
          </w:p>
        </w:tc>
        <w:tc>
          <w:tcPr>
            <w:tcW w:w="0" w:type="dxa"/>
            <w:vAlign w:val="bottom"/>
          </w:tcPr>
          <w:p>
            <w:pPr>
              <w:spacing w:after="0"/>
              <w:rPr>
                <w:sz w:val="1"/>
                <w:szCs w:val="1"/>
                <w:color w:val="auto"/>
              </w:rPr>
            </w:pPr>
          </w:p>
        </w:tc>
      </w:tr>
      <w:tr>
        <w:trPr>
          <w:trHeight w:val="270"/>
        </w:trPr>
        <w:tc>
          <w:tcPr>
            <w:tcW w:w="23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18,564,122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14,823,926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10,601,492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7,190,414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4,835,248</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4,487,456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3,586,462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2,553,347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1,715,442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1,145,602</w:t>
            </w:r>
          </w:p>
        </w:tc>
        <w:tc>
          <w:tcPr>
            <w:tcW w:w="0" w:type="dxa"/>
            <w:vAlign w:val="bottom"/>
          </w:tcPr>
          <w:p>
            <w:pPr>
              <w:spacing w:after="0"/>
              <w:rPr>
                <w:sz w:val="1"/>
                <w:szCs w:val="1"/>
                <w:color w:val="auto"/>
              </w:rPr>
            </w:pPr>
          </w:p>
        </w:tc>
      </w:tr>
      <w:tr>
        <w:trPr>
          <w:trHeight w:val="270"/>
        </w:trPr>
        <w:tc>
          <w:tcPr>
            <w:tcW w:w="23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Policies in force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79,700</w:t>
            </w:r>
          </w:p>
        </w:tc>
        <w:tc>
          <w:tcPr>
            <w:tcW w:w="280" w:type="dxa"/>
            <w:vAlign w:val="bottom"/>
          </w:tcPr>
          <w:p>
            <w:pPr>
              <w:spacing w:after="0"/>
              <w:rPr>
                <w:sz w:val="23"/>
                <w:szCs w:val="23"/>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63,948</w:t>
            </w:r>
          </w:p>
        </w:tc>
        <w:tc>
          <w:tcPr>
            <w:tcW w:w="280" w:type="dxa"/>
            <w:vAlign w:val="bottom"/>
          </w:tcPr>
          <w:p>
            <w:pPr>
              <w:spacing w:after="0"/>
              <w:rPr>
                <w:sz w:val="23"/>
                <w:szCs w:val="23"/>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46,175</w:t>
            </w:r>
          </w:p>
        </w:tc>
        <w:tc>
          <w:tcPr>
            <w:tcW w:w="360" w:type="dxa"/>
            <w:vAlign w:val="bottom"/>
          </w:tcPr>
          <w:p>
            <w:pPr>
              <w:spacing w:after="0"/>
              <w:rPr>
                <w:sz w:val="23"/>
                <w:szCs w:val="23"/>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31,682</w:t>
            </w:r>
          </w:p>
        </w:tc>
        <w:tc>
          <w:tcPr>
            <w:tcW w:w="32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Weighted average coverage</w:t>
            </w:r>
          </w:p>
        </w:tc>
        <w:tc>
          <w:tcPr>
            <w:tcW w:w="24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9"/>
                <w:szCs w:val="1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(2)</w:t>
            </w:r>
          </w:p>
        </w:tc>
        <w:tc>
          <w:tcPr>
            <w:tcW w:w="2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vMerge w:val="continue"/>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24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Risk in force on defaulted</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962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monitor the concentrations of various risk attributes in our insurance portfolio. Generally, insuring loans made to borrowers with higher credit scores tends to result in a lower frequency of claims than with loans made to borrowers with lower credit scores. As of March 31, 2016, approximately 66% of each of our primary IIF and RIF consisted of loans to borrowers who had credit scores at or above 740. Our weighted average FICO for primary NIW in the quarter ended March 31, 2016 was 755. Additionally, as of March 31, 2016, all loans in our insurance portfolio were full documentation loans, and approximately 4.4% of our RIF was on loans above 95% LTV. Our weighted average LTV for primary NIW in the quarter ended March 31, 2016 was 91%.</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three months ended March 31, 2016 and 2015.</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3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14,823,926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3,369,664</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4,254,074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1,696,142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3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(230,558)</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37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18,564,122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4,835,248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700" w:type="dxa"/>
            <w:vAlign w:val="bottom"/>
            <w:vMerge w:val="restart"/>
          </w:tcPr>
          <w:p>
            <w:pPr>
              <w:jc w:val="right"/>
              <w:ind w:right="201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Our persistency rate is the percentage of IIF that remains on our books after any 12-month period. Because our insurance premiums are earned over the life of a policy, changes in persistency rates can have a significant impact on our earnings. The persistency rate on our portfolio was 86.2% at March 31, 2016. Persistency rates are sensitive to fluctuations in interest rates. Decreases in interest rates typically increase our portfolio's cancellation rate. When cancellations increase, we experience lower profitability and returns on our monthly premium business, and conversely, higher returns on our single premium business because, rather than amortizing the single premium over the expected life of the policy, upon cancellation, we immediately recognize all unamortized single premium as earned.</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2016</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IIF</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20" w:type="dxa"/>
            <w:vAlign w:val="bottom"/>
            <w:gridSpan w:val="3"/>
          </w:tcPr>
          <w:p>
            <w:pPr>
              <w:jc w:val="right"/>
              <w:ind w:right="194"/>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4,232,299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1,010,827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w w:val="93"/>
              </w:rPr>
              <w:t>11,805,280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2,864,146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2,461,156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597,166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65,387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18,564,122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4,487,456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color w:val="auto"/>
              </w:rPr>
              <w:t>The table below reflects our total primary IIF, RIF and average loan size, by FICO.</w:t>
            </w: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March 31, 2016</w:t>
            </w: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Primary</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IIF</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Average primary loan size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12,191,260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2,954,383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680 - 739</w:t>
            </w:r>
          </w:p>
        </w:tc>
        <w:tc>
          <w:tcPr>
            <w:tcW w:w="28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5,696,679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1,378,197</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620 - 679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676,183</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154,876</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&lt;= 619</w:t>
            </w:r>
          </w:p>
        </w:tc>
        <w:tc>
          <w:tcPr>
            <w:tcW w:w="28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18,564,122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4,487,456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2016, 98% of our primary RIF was comprised of insurance on fixed rate mortgages, with the remaining 2% of our primary RIF consisting of insurance on adjustable rate mortgages of five years or greater. As of March 31, 2016, 100% of our pool RIF was comprised of insurance on fixed rate mortgages.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reflects the percentage and policy count of our RIF by LTV. We calculate the LTV of a loan as a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ind w:left="40"/>
              <w:spacing w:after="0"/>
              <w:rPr>
                <w:sz w:val="20"/>
                <w:szCs w:val="20"/>
                <w:color w:val="auto"/>
              </w:rPr>
            </w:pPr>
            <w:r>
              <w:rPr>
                <w:rFonts w:ascii="Arial" w:cs="Arial" w:eastAsia="Arial" w:hAnsi="Arial"/>
                <w:sz w:val="14"/>
                <w:szCs w:val="14"/>
                <w:b w:val="1"/>
                <w:bCs w:val="1"/>
                <w:color w:val="auto"/>
              </w:rPr>
              <w:t>Total RIF by LTV</w:t>
            </w:r>
          </w:p>
        </w:tc>
        <w:tc>
          <w:tcPr>
            <w:tcW w:w="360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4"/>
                <w:szCs w:val="14"/>
                <w:b w:val="1"/>
                <w:bCs w:val="1"/>
                <w:color w:val="auto"/>
              </w:rPr>
              <w:t>As of March 31, 2016</w:t>
            </w:r>
          </w:p>
        </w:tc>
        <w:tc>
          <w:tcPr>
            <w:tcW w:w="0" w:type="dxa"/>
            <w:vAlign w:val="bottom"/>
          </w:tcPr>
          <w:p>
            <w:pPr>
              <w:spacing w:after="0"/>
              <w:rPr>
                <w:sz w:val="1"/>
                <w:szCs w:val="1"/>
                <w:color w:val="auto"/>
              </w:rPr>
            </w:pPr>
          </w:p>
        </w:tc>
      </w:tr>
      <w:tr>
        <w:trPr>
          <w:trHeight w:val="263"/>
        </w:trPr>
        <w:tc>
          <w:tcPr>
            <w:tcW w:w="7820" w:type="dxa"/>
            <w:vAlign w:val="bottom"/>
          </w:tcPr>
          <w:p>
            <w:pPr>
              <w:spacing w:after="0"/>
              <w:rPr>
                <w:sz w:val="22"/>
                <w:szCs w:val="22"/>
                <w:color w:val="auto"/>
              </w:rPr>
            </w:pPr>
          </w:p>
        </w:tc>
        <w:tc>
          <w:tcPr>
            <w:tcW w:w="19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 of Total RIF</w:t>
            </w: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Policy Count</w:t>
            </w:r>
          </w:p>
        </w:tc>
        <w:tc>
          <w:tcPr>
            <w:tcW w:w="0" w:type="dxa"/>
            <w:vAlign w:val="bottom"/>
          </w:tcPr>
          <w:p>
            <w:pPr>
              <w:spacing w:after="0"/>
              <w:rPr>
                <w:sz w:val="1"/>
                <w:szCs w:val="1"/>
                <w:color w:val="auto"/>
              </w:rPr>
            </w:pPr>
          </w:p>
        </w:tc>
      </w:tr>
      <w:tr>
        <w:trPr>
          <w:trHeight w:val="264"/>
        </w:trPr>
        <w:tc>
          <w:tcPr>
            <w:tcW w:w="7820" w:type="dxa"/>
            <w:vAlign w:val="bottom"/>
          </w:tcPr>
          <w:p>
            <w:pPr>
              <w:ind w:left="40"/>
              <w:spacing w:after="0"/>
              <w:rPr>
                <w:sz w:val="20"/>
                <w:szCs w:val="20"/>
                <w:color w:val="auto"/>
              </w:rPr>
            </w:pPr>
            <w:r>
              <w:rPr>
                <w:rFonts w:ascii="Arial" w:cs="Arial" w:eastAsia="Arial" w:hAnsi="Arial"/>
                <w:sz w:val="14"/>
                <w:szCs w:val="14"/>
                <w:b w:val="1"/>
                <w:bCs w:val="1"/>
                <w:color w:val="auto"/>
              </w:rPr>
              <w:t>Primary</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37,304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25,197</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1800" w:type="dxa"/>
            <w:vAlign w:val="bottom"/>
          </w:tcPr>
          <w:p>
            <w:pPr>
              <w:jc w:val="right"/>
              <w:ind w:right="1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primary</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79,700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Pool</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2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80.00% and below</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57"/>
        </w:trPr>
        <w:tc>
          <w:tcPr>
            <w:tcW w:w="7820" w:type="dxa"/>
            <w:vAlign w:val="bottom"/>
          </w:tcPr>
          <w:p>
            <w:pPr>
              <w:ind w:left="40"/>
              <w:spacing w:after="0"/>
              <w:rPr>
                <w:sz w:val="20"/>
                <w:szCs w:val="20"/>
                <w:color w:val="auto"/>
              </w:rPr>
            </w:pPr>
            <w:r>
              <w:rPr>
                <w:rFonts w:ascii="Arial" w:cs="Arial" w:eastAsia="Arial" w:hAnsi="Arial"/>
                <w:sz w:val="18"/>
                <w:szCs w:val="18"/>
                <w:color w:val="auto"/>
              </w:rPr>
              <w:t>Total pool</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show the distribution by state of our IIF and RIF, for both primary and pool insurance. As of March 31, 2016, our IIF and RIF continues to be relatively more concentrated in California, primarily as a result of the location and timing of the acquisition of new customers. The distribution of risk across the states as of March 31, 2016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primary IIF and RIF by state</w:t>
            </w: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340" w:type="dxa"/>
            <w:vAlign w:val="bottom"/>
          </w:tcPr>
          <w:p>
            <w:pPr>
              <w:ind w:left="2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6.8</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340" w:type="dxa"/>
            <w:vAlign w:val="bottom"/>
          </w:tcPr>
          <w:p>
            <w:pPr>
              <w:ind w:left="2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340" w:type="dxa"/>
            <w:vAlign w:val="bottom"/>
          </w:tcPr>
          <w:p>
            <w:pPr>
              <w:ind w:left="2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34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340" w:type="dxa"/>
            <w:vAlign w:val="bottom"/>
          </w:tcPr>
          <w:p>
            <w:pPr>
              <w:ind w:left="20"/>
              <w:spacing w:after="0"/>
              <w:rPr>
                <w:sz w:val="20"/>
                <w:szCs w:val="20"/>
                <w:color w:val="auto"/>
              </w:rPr>
            </w:pPr>
            <w:r>
              <w:rPr>
                <w:rFonts w:ascii="Arial" w:cs="Arial" w:eastAsia="Arial" w:hAnsi="Arial"/>
                <w:sz w:val="18"/>
                <w:szCs w:val="18"/>
                <w:color w:val="auto"/>
              </w:rPr>
              <w:t>Maryland</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4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0"/>
        </w:trPr>
        <w:tc>
          <w:tcPr>
            <w:tcW w:w="7780" w:type="dxa"/>
            <w:vAlign w:val="bottom"/>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48"/>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Top 10 pool IIF and RIF by state</w:t>
            </w:r>
          </w:p>
        </w:tc>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IIF</w:t>
            </w:r>
          </w:p>
        </w:tc>
        <w:tc>
          <w:tcPr>
            <w:tcW w:w="17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RIF</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7340" w:type="dxa"/>
            <w:vAlign w:val="bottom"/>
          </w:tcPr>
          <w:p>
            <w:pPr>
              <w:ind w:left="2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6.1</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7340" w:type="dxa"/>
            <w:vAlign w:val="bottom"/>
          </w:tcPr>
          <w:p>
            <w:pPr>
              <w:ind w:left="2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7340" w:type="dxa"/>
            <w:vAlign w:val="bottom"/>
          </w:tcPr>
          <w:p>
            <w:pPr>
              <w:ind w:left="2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734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4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r>
      <w:tr>
        <w:trPr>
          <w:trHeight w:val="243"/>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7340" w:type="dxa"/>
            <w:vAlign w:val="bottom"/>
          </w:tcPr>
          <w:p>
            <w:pPr>
              <w:ind w:left="20"/>
              <w:spacing w:after="0"/>
              <w:rPr>
                <w:sz w:val="20"/>
                <w:szCs w:val="20"/>
                <w:color w:val="auto"/>
              </w:rPr>
            </w:pPr>
            <w:r>
              <w:rPr>
                <w:rFonts w:ascii="Arial" w:cs="Arial" w:eastAsia="Arial" w:hAnsi="Arial"/>
                <w:sz w:val="18"/>
                <w:szCs w:val="18"/>
                <w:color w:val="auto"/>
              </w:rPr>
              <w:t>Wisconsin</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440" w:type="dxa"/>
            <w:vAlign w:val="bottom"/>
            <w:tcBorders>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Claims incurred is the expense that is booked within a particular period to reflect actual and estimated claim payments that we believe will ultimately be made as a result of insured loans that are in default. We do not recognize an estimate of claim expense for loans that are not in default. As of March 31, 2016, we have established reserves for insurance claims of $1.1 million for 55 primary loans in default, compared to a reserve of $187 thousand for 6 primary loans in default as of March 31, 2015. We have not established any reserves for pool claims or IBNR to date. For additional discussion of our reserves, see, Item 1, "</w:t>
      </w:r>
      <w:r>
        <w:rPr>
          <w:rFonts w:ascii="Arial" w:cs="Arial" w:eastAsia="Arial" w:hAnsi="Arial"/>
          <w:sz w:val="18"/>
          <w:szCs w:val="18"/>
          <w:i w:val="1"/>
          <w:iCs w:val="1"/>
          <w:color w:val="auto"/>
        </w:rPr>
        <w:t>Financial Statements and Supplementary Data - Notes to Condensed Consolidated Financial Statements - Note 5. Reserves for Insurance Claims and</w:t>
      </w:r>
      <w:r>
        <w:rPr>
          <w:rFonts w:ascii="Arial" w:cs="Arial" w:eastAsia="Arial" w:hAnsi="Arial"/>
          <w:sz w:val="18"/>
          <w:szCs w:val="18"/>
          <w:color w:val="auto"/>
        </w:rPr>
        <w:t xml:space="preserve"> </w:t>
      </w:r>
      <w:r>
        <w:rPr>
          <w:rFonts w:ascii="Arial" w:cs="Arial" w:eastAsia="Arial" w:hAnsi="Arial"/>
          <w:sz w:val="18"/>
          <w:szCs w:val="18"/>
          <w:i w:val="1"/>
          <w:iCs w:val="1"/>
          <w:color w:val="auto"/>
        </w:rPr>
        <w:t>Claims Expenses.</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648"/>
        <w:spacing w:after="0" w:line="264" w:lineRule="auto"/>
        <w:rPr>
          <w:sz w:val="20"/>
          <w:szCs w:val="20"/>
          <w:color w:val="auto"/>
        </w:rPr>
      </w:pPr>
      <w:r>
        <w:rPr>
          <w:rFonts w:ascii="Arial" w:cs="Arial" w:eastAsia="Arial" w:hAnsi="Arial"/>
          <w:sz w:val="18"/>
          <w:szCs w:val="18"/>
          <w:color w:val="auto"/>
        </w:rPr>
        <w:t>Claims incurred is affected by a variety of factors, including the state of the economy, declines in housing values, product mix of IIF, the size of loans insured and the percentage of coverage on insured loans. Policies with higher loan amounts and coverage percentages tend to result in higher incurred claim amounts.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for the early years of our operations will be relatively low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jc w:val="both"/>
        <w:ind w:left="840" w:hanging="332"/>
        <w:spacing w:after="0" w:line="27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Until our portfolio matures, we expect our reported loss ratio will be less than 10%, due to loss development being generally insignificant in the early years of a loan cycle combined with strong growth in earned premiums on a year-over-year basis. 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w:t>
      </w:r>
    </w:p>
    <w:p>
      <w:pPr>
        <w:spacing w:after="0" w:line="64" w:lineRule="exact"/>
        <w:rPr>
          <w:rFonts w:ascii="Arial" w:cs="Arial" w:eastAsia="Arial" w:hAnsi="Arial"/>
          <w:sz w:val="17"/>
          <w:szCs w:val="17"/>
          <w:color w:val="auto"/>
        </w:rPr>
      </w:pPr>
    </w:p>
    <w:p>
      <w:pPr>
        <w:ind w:left="840" w:hanging="33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as a result of high quality underwriting and a favorable housing market.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nature of the private MI industry in the U.S. is driven in large part by the requirements and practices of the GSEs.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December 31, 2015, the GSEs' final updated PMIERs went into effect for existing, GSE-approved private mortgage insurers, i.e.,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Insurers</w:t>
      </w:r>
      <w:r>
        <w:rPr>
          <w:rFonts w:ascii="Arial" w:cs="Arial" w:eastAsia="Arial" w:hAnsi="Arial"/>
          <w:sz w:val="18"/>
          <w:szCs w:val="18"/>
          <w:color w:val="auto"/>
        </w:rPr>
        <w:t>. (</w:t>
      </w:r>
      <w:r>
        <w:rPr>
          <w:rFonts w:ascii="Arial" w:cs="Arial" w:eastAsia="Arial" w:hAnsi="Arial"/>
          <w:sz w:val="18"/>
          <w:szCs w:val="18"/>
          <w:i w:val="1"/>
          <w:iCs w:val="1"/>
          <w:color w:val="auto"/>
        </w:rPr>
        <w:t xml:space="preserve">Italicized </w:t>
      </w:r>
      <w:r>
        <w:rPr>
          <w:rFonts w:ascii="Arial" w:cs="Arial" w:eastAsia="Arial" w:hAnsi="Arial"/>
          <w:sz w:val="18"/>
          <w:szCs w:val="18"/>
          <w:color w:val="auto"/>
        </w:rPr>
        <w:t>terms have the same meaning that such terms have in the PMIERs, as described below.) The PMIERs establish operational,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The new financial requirements prescribe a risk-based capital methodology whereby the amount of capital required to be held against each insured loan is determined based on certain risk characteristics, such as FICO, vintage (year of origination), performing vs. non-performing, LTV and other risk features. A capital charge is calculated for each insured loan based on its risk profile. In general, higher quality loans carry lower capital charges.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 xml:space="preserve">risk-based 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PMIERs 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 not subject to automatic termination under the Home Owners Protection Act of 1998. As of March 31, 2016, under PMIERs financial requirements, NMIC's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were approximately $302.9 million and its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were approximately $434.1 million.</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in 2016, by April 15th of each year, NMIC must certify it met all PMIERs requirements as of December 31st of the prior year. We have certified to the GSEs that NMIC fully complies with the PMIERs as of December 31, 2015. NMIC also has an ongoing obligation to immediately notify the GSEs in writing upon discovery of its failure to meet one or more of the PMIERs requirements. We will continue to monitor our compliance with the PMIERs going forward.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GSE-imposed capital requirements, NMIC is also subject to state regulatory minimum capital requirements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based on its insured RIF. While formulations of this minimum capital may vary in each jurisdiction, the most common measure allows for a maximum permitted RTC ratio of 25:1. As our insurance writings grow and our RIF increases, our RTC ratio will increase and NMIC's RTC metrics will become more important to an evaluation of its capital needs to support future business writings.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March 31, 2016, NMIC's primary gross RIF was approximately $4.5 billion, representing insurance on a total of 79,700 policies in force, and pool RIF was approximately $93.1 million, representing insurance on a total of 18,629 loans. Based on NMIC's total statutory surplus of $395 million as of March 31, 2016, NMIC's RTC ratio was 10.5:1. Re One had total statutory capital of $29 million as of March 31, 2016, with a RTC ratio of 15.2:1.</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2015, Standard &amp; Poor's (S&amp;P) Ratings Services assigned its "BBB-" financial strength and long-term counter-party credit ratings to NMIC. At the same time, S&amp;P assigned its "BB-" long-term counter-party credit rating to NMIH. S&amp;P's outlook for both companies is "stable." In November 2015, Moody's Investors Service (Moody's) assigned a financial strength rating of "Ba2" to NMIC. Also at that time, Moody's assigned a B2 rating to the $150 million Term Loan held by NMIH. Moody's outlook for both companies is "stable."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FHA and the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companies compete based on service, customer relationships, underwriting, and other factors including price. In the recent past, lenders have pressured MIs to offer discounted rates, primarily on single premium LPMI. Higher capital requirements imposed by the PMIERs have also had an effect on premium rates. We expect the MI market to remain highly competitive, with pressure for industry participants to grow or maintain their market share in the coming years. Our competitors' respective shares of the private MI market for the quarter ended December 31, 2015 ranged from single percentage points penetration to a high of approximately 21%.</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recede to historical levels. On January 26, 2015, the FHA reduced some of its single-family annual mortgage insurance premiums. To date, the impact from the FHA's premium reduction has not had a significant impact on our continued growth in the market. It is difficult to predict what, if any, material impact this premium reduction will have in the future as there are factors beyond premium rate that influence a lender's decision to choose private MI over FHA insurance, including among others, the FHA's loan eligibility requirements and loan size limits and the relative ease of use of private MI products compared to FHA products. However, we believe our pricing continues to be more attractive than the FHA's pricing for a substantial majority of borrowers with credit and loan characteristics similar to those whose loans we insure.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38,129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(5,985)</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1,596</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22,185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3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22,672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18,350</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from 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March 31, 2016, we had net premiums written of $38.1 million and premiums earned of $19.8 million, compared to net premiums written of $12.9 million and premiums earned of $6.9 million for the three months ended March 31, 2015. The principal drivers of the increases in premiums written and earned for the periods presented were the continued growth of our NIW and IIF, primarily related to our monthly products, and the significant development of our customer base, including higher allocations of business to us from existing customers. Additionally, we had $2.3 million of earned premiums in the three months ended March 31, 2016 related to cancellations of single premium policies, compared to $1.4 million for the three months ended March 31, 2015. We believe we will continue to experience higher than expected earnings from cancellations of single premium policies if interest rates remain low and expect single premium policy cancellations to decrease if interest rates rise.</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investment income was higher for the quarter ended March 31, 2016 compared to the quarter ended March 31, 2015, as a result of an increase in the value of our consolidated securities portfolio from $367.9 million as of March 31, 2015 to $556.7 million as of March 31, 2016. We realized a loss on investments of $0.9 million for the quarter ended March 31, 2016, compared to a gain of $0.6 million for the quarter ended March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expenses have historically been related to business development and operating activities. Although we expect our year-over-year expenses to increase as we continue to grow our business, we ultimately expect that the majority of our operating expenses will be relatively fixed in the long term. Until our business matures, our expense ratio is expected to be significantly higher than the industry given the low levels of premium written compared to our "fixed" costs customary to operating a mortgage insurance company.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Insurance claims and claims expenses increased for the quarter ended March 31, 2016, compared to the quarter ended March 31, 2015, as a result of an increase in our NODs, primarily due to an increase in the number of policies in force year-over-year.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Employee compensation represents the majority of our operating expense, which includes both cash and share-based compensation. Our underwriting and operating expenses grew primarily as the result of hiring new employees and expanding our operations and sales activities. Our headcount grew from 196 as of March 31, 2015 to 253 as of March 31, 2016. Underwriting and operating expenses also include costs related to policy acquisition, technology, professional services and facilities.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incurred interest expense of $3.6 million for the quarter ended March 31, 2016 related to the Term Loan entered into during the fourth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recorded no income tax benefit for the quarter ended March 31, 2016 compared to $241 thousand of income tax benefit for the quarter ended March 31, 2015. See Item 1, </w:t>
      </w:r>
      <w:r>
        <w:rPr>
          <w:rFonts w:ascii="Arial" w:cs="Arial" w:eastAsia="Arial" w:hAnsi="Arial"/>
          <w:sz w:val="16"/>
          <w:szCs w:val="16"/>
          <w:i w:val="1"/>
          <w:iCs w:val="1"/>
          <w:color w:val="auto"/>
        </w:rPr>
        <w:t>"Financial Statements and Supplementary Data - Notes to Consolidated Financial Statements - Note 7, Income Taxes."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significant net operating losses since our inception; however, we have seen our net losses decrease steadily as our business has grown. Our net losses were $3.9 million and $7.8 million for the three months ended March 31, 2016 and 2015, respectively. The primary driver of the decrease in net loss for the quarter ended March 31, 2016, compared to the quarter ended March 31, 2015 was the significant increase in premiums earned from our IIF as a result of the addition of new customers and higher allocations of business to us from existing customers, slightly offset by the continued hiring of management and staff personnel and external and professional costs.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556,683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15,201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13,168</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684,314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109,095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90,773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19,108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22,725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410,058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402,731</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684,314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2016, we had approximately $630 million in cash and investments, including $84 million held at NMIH. The increase in cash from year-end 2015 is the result of premiums collected in the quarter. We continued to be cash flow positive from operating activities for the quarter ended March 31, 2016.</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deferred policy acquisition costs asset was $20.9 million as of March 31, 2016, compared to $17.5 million at December 31, 2015. The increase was driven by the deferrable costs associated with premiums written during the quarter ended March 31, 2016 of $38.1 million .</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software and equipment balance increased from $15.2 million as of December 31, 2015, to $17.2 million as of March 31, 2016, as a result of the continued development of our technology platform to support the growth of our business.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other assets balance increased from $13.2 million as of December 31, 2015, to $16.2 million as of March 31, 2016, primarily as a result of the increase in our premiums receivable balance related to the growth in IIF of our monthly policies.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2015, we entered into the Credit Agreement and obtained the Term Loan. Our long-term debt balance under the Term Loan as of March 31, 2016 was $144.0 million.</w:t>
      </w:r>
    </w:p>
    <w:p>
      <w:pPr>
        <w:sectPr>
          <w:pgSz w:w="11900" w:h="16838" w:orient="portrait"/>
          <w:cols w:equalWidth="0" w:num="1">
            <w:col w:w="11420"/>
          </w:cols>
          <w:pgMar w:left="240" w:top="66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65" w:right="239" w:bottom="1440" w:gutter="0" w:footer="0" w:header="0"/>
          <w:type w:val="continuous"/>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to $109.1 million as of March 31, 2016, from $90.8 million as of December 31, 2015 due to single premiums written in the quarter ended March 31, 2016, offset by cancellations of lender paid single premium policies and earnings of existing unearned premiums in accordance with the expiration of risk in the related policies.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NODs reported as of March 31, 2016, our reserves for insurance claims and claims expenses increased to $1.1 million as of March 31, 2016, compared to $679 thousand as of December 31, 2015.</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accounts payable and accrued expenses decreased to $19.1 million as of March 31, 2016, from $22.7 million at December 31, 2015. The decrease reflects the payment of accrued liabilities at year-end, offset by accruals for liabilities related to increased headcount, accrued premium taxes, an increase in IT projects and expenses, as well as an increase in our investment payable balance from December 31, 2015.</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warrant liability decreased to $0.8 million as of March 31, 2016 from $1.5 million as of December 31, 2015, as a result of a decline in our stock price during the first quarter of 2016.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7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21"/>
                <w:szCs w:val="21"/>
                <w:color w:val="auto"/>
              </w:rPr>
            </w:pPr>
          </w:p>
        </w:tc>
        <w:tc>
          <w:tcPr>
            <w:tcW w:w="20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15,784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(29,058)</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15,985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(36,601)</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$0.7 million for the three months ended March 31, 2016, compared to net cash used in operating activities in the same period in 2015 of $7.5 million. Positive cash flow from operating activities was the result of an increase in premiums written, partially offset by increased personnel costs.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provided by investing activities for the three months ended March 31, 2016 was $15.8 million, compared to cash used of $29.1 million during the same period in 2015, as a result of portfolio re-balancing in the first quarters of 2015 and 2016.</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by financing activities for the three months ended March 31, 2016 and March 31, 2015 consisted primarily of taxes paid related to the net share settlement of equity awards offset by the proceeds from the issuance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tax payments to the Internal Revenue Service (IRS); (iv) the payment of principal and interest related to the Term Loan; and (v)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March 31, 2016, NMIH's shareholders' equity was approximately $410 million.</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2016, NMIH had $84 million of cash and investments. NMIH's principal source of operating cash is investment income, and could include future dividends from NMIC, if available and permitted under law and by the GSEs.</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We expect NMIH may make additional capital contributions to its insurance subsidiaries to support their applicable capital adequacy requirements from time-to-time. In 2016, we expect to implement a reinsurance program as a key component of our capital plan. In the future, we may also choose to utilize other sources of capital, depending on costs, availability, and terms and conditions that are acceptable to us, our regulators and the GSEs.</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has entered into expense-sharing agreements with its insurance subsidiaries which have been approved by the Wisconsin OCI, but such approval may be changed or revoked at any time. NMIC's ability to pay dividends to NMIH is subject to insurance regulations requiring insurance department approval. In general, dividends in excess of prescribed limits are deemed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7"/>
          <w:szCs w:val="17"/>
          <w:color w:val="auto"/>
        </w:rPr>
        <w:t>"extraordinary" and require insurance regulatory approval. Since inception, NMIC has not paid any dividends to NMIH. As NMIC had a statutory net loss for the year ended December 31, 2015, NMIC cannot pay any dividends to NMIH through December 31, 2016 without the prior approval of the Wisconsin OCI. Certain other states in which NMIC is licensed also have statutes or regulations that restrict its ability to pay dividends.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NIW over the coming years.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fourth quarter of 2015, NMIH entered into the Credit Agreement for the Term Loan to support the continued growth of its IIF. The Credit Agreement contains various restrictive covenants and required financial ratios and tests that we are required to meet or maintain. These covenants include, but are not limited to the following: a maximum debt-to-total capitalization ratio (as defined) of 35%, maximum RTC ratio of 22.0:1.0, liquidity (as defined) of $36 million as of March 31, 2016, compliance with financial requirements of PMIERs, and equity requirements. The Term Loan bears interest at the Eurodollar based rate (1%) plus an annual margin rate of 7.5%, payable quarterly. The Company recorded $3.6 million of interest expense for the quarter ended March 31, 2016. The Term Loan matures on November 10,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Our net investment income for the three months ended March 31, 2016 was $3.2 million, compared to $1.6 million for the three months ended March 31, 2015. As of March 31, 2016,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pre-tax book yield on our portfolio as of March 31, 2016 was 0.4%, excluding unrealized gains and losses. The book yield is calculated on our year-to-date net investment income over our average portfolio book value as of March 31, 2016. We believe that the yield on our investment portfolio likely will change over time based on potential changes to the interest rate environment, the duration or mix of our investment portfolio or other factors.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2016</w:t>
            </w:r>
          </w:p>
        </w:tc>
        <w:tc>
          <w:tcPr>
            <w:tcW w:w="178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2016</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4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a U.S. taxpayer and are subject to a statutory U.S. federal corporate income tax rate of 35%. Our holding company files a consolidated U.S. federal and various state income tax returns on behalf of itself and its subsidiaries. We currently pay no federal income tax, and had a federal net operating loss carryforward as of December 31, 2015 of $139.4 million. Our effective income tax rate on our pre-tax loss was 0.0% for the three months ended March 31, 2016 and 3.0% for the comparable 2015 period.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and Supplementary Data - Notes to Condensed Consolidated Financial Statements - Note 7.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As the Company has limited history, management has not yet concluded that it is more-likely-than-not that the results of future operations will generate sufficient taxable income. If we conclude the taxable income will be sufficient to release the valuation allowance, we would recognize an income tax benefit associated primarily with the carry forward of federal net operating losses and future tax deductions from share-based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no off-balance sheet arrangements as of March 31, 2016. There are no material changes outside the ordinary course of business in the contractual obligations specified in our 2015 10-K.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2015 10-K.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March 31, 2016 and December 31, 2015 was $557 million and $559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2016, the duration of our fixed income portfolio, including cash and cash equivalents, was 0.81 years, which means that an instantaneous parallel shift (movement up or down) in the yield curve of 100 basis points would result in a change of 0.81% in fair value of our fixed income portfolio. Excluding cash, our fixed income portfolio duration was 1.58 years, which means that an instantaneous parallel shift (movement up or down) in the yield curve of 100 basis points would result in a change of 1.58%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As discussed in Item 1,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Term Loan,</w:t>
      </w:r>
      <w:r>
        <w:rPr>
          <w:rFonts w:ascii="Arial" w:cs="Arial" w:eastAsia="Arial" w:hAnsi="Arial"/>
          <w:sz w:val="18"/>
          <w:szCs w:val="18"/>
          <w:color w:val="auto"/>
        </w:rPr>
        <w:t>" the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March 31, 2016,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March 31, 2016,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2015 10-K. You should carefully consider the risks and uncertainties described herein and in the above referenced filing, which have the potential to affect our business, financial condition, results of operations, cash flows or prospects in a material and adverse manner. The risks described herein and in the above referenced filing are not the only risks we face, as there are additional risks and uncertainties not currently known to us or that we currently deem to be immaterial which may in the future adversely affect our business, financial condition and/or operating results. As of the date of this report, we are not aware of any material changes in the risk factors set forth in our 2015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April 28, 2016</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1012" w:right="7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220" w:hanging="760"/>
        <w:spacing w:after="0" w:line="298"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1" w:lineRule="exact"/>
        <w:rPr>
          <w:sz w:val="20"/>
          <w:szCs w:val="20"/>
          <w:color w:val="auto"/>
        </w:rPr>
      </w:pP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77"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8"/>
          <w:szCs w:val="18"/>
          <w:color w:val="auto"/>
        </w:rPr>
        <w:t>Amended and Restated Employment Agreement by and between NMI Holdings, Inc. and Bradley M. Shuster, dated December 23, 2015 (incorporated herein by reference to Exhibit 10.1 to our Form 8-K, filed on December 29, 2015)</w:t>
      </w:r>
    </w:p>
    <w:p>
      <w:pPr>
        <w:spacing w:after="0" w:line="8" w:lineRule="exact"/>
        <w:rPr>
          <w:sz w:val="20"/>
          <w:szCs w:val="20"/>
          <w:color w:val="auto"/>
        </w:rPr>
      </w:pPr>
    </w:p>
    <w:p>
      <w:pPr>
        <w:jc w:val="both"/>
        <w:ind w:left="1160" w:right="20" w:hanging="876"/>
        <w:spacing w:after="0" w:line="277" w:lineRule="auto"/>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8"/>
          <w:szCs w:val="18"/>
          <w:color w:val="auto"/>
        </w:rPr>
        <w:t>Offer Letter by and between NMI Holdings, Inc. and Glenn Farrell, effective December 4, 2014 (incorporated herein by reference to Exhibit 10.1 to our Form 8-K, filed on December 9, 2014)</w:t>
      </w:r>
    </w:p>
    <w:p>
      <w:pPr>
        <w:spacing w:after="0" w:line="8"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color w:val="auto"/>
        </w:rPr>
        <w:t>10.10 ~</w:t>
      </w:r>
      <w:r>
        <w:rPr>
          <w:sz w:val="20"/>
          <w:szCs w:val="20"/>
          <w:color w:val="auto"/>
        </w:rPr>
        <w:tab/>
      </w:r>
      <w:r>
        <w:rPr>
          <w:rFonts w:ascii="Arial" w:cs="Arial" w:eastAsia="Arial" w:hAnsi="Arial"/>
          <w:sz w:val="16"/>
          <w:szCs w:val="16"/>
          <w:color w:val="auto"/>
        </w:rPr>
        <w:t>Offer Letter by and between NMI Holdings, Inc. and William Leatherberry, dated July 11, 2014</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Restricted Stock Unit Award Agreement for Executive Officers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Phantom Unit Award Agreement for Independent Directors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10.21 to our Form 10-Q, filed on August 5,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NMI Holdings, Inc. Severance Benefit Plan (incorporated herein by reference to Exhibit 10.1 to our Form 8-K, filed on February 17, 2016)</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Subsidiaries of NMI Holdings, Inc. (incorporated herein by reference to Exhibit 21.1 to our Form 10-Q, filed on October 30,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7"/>
              </w:rPr>
              <w:t>The following financial information from NMI Holdings, Inc.'s Quarterly Report on Form 10-Q for the quarter ended March 31, 2016,</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formatted in XBRL (eXtensible Business Reporting Language):</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 Consolidated Balance Sheets as of March 31, 2016 and December 31, 2015</w:t>
            </w:r>
          </w:p>
        </w:tc>
      </w:tr>
    </w:tbl>
    <w:p>
      <w:pPr>
        <w:ind w:left="1160" w:right="2280"/>
        <w:spacing w:after="0" w:line="281" w:lineRule="auto"/>
        <w:rPr>
          <w:sz w:val="20"/>
          <w:szCs w:val="20"/>
          <w:color w:val="auto"/>
        </w:rPr>
      </w:pPr>
      <w:r>
        <w:rPr>
          <w:rFonts w:ascii="Arial" w:cs="Arial" w:eastAsia="Arial" w:hAnsi="Arial"/>
          <w:sz w:val="16"/>
          <w:szCs w:val="16"/>
          <w:color w:val="auto"/>
        </w:rPr>
        <w:t>(ii) Consolidated Statements of Comprehensive Loss for the three months ended March 31, 2016 and 2015 (iii) Consolidated Statements of Changes in Shareholders' Equity for the three months ended March 31, 2016</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 the year ended December 31, 2015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(iv) Consolidated Statements of Cash Flows for the three months ended March 31, 2015 and 2015, and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 Notes to Consolidated Financial Statements</w:t>
      </w:r>
    </w:p>
    <w:p>
      <w:pPr>
        <w:spacing w:after="0" w:line="377"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500" w:right="40" w:hanging="221"/>
        <w:spacing w:after="0" w:line="278"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500" w:right="60" w:hanging="221"/>
        <w:spacing w:after="0" w:line="27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10.10</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“Bill” J. Leatherberry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19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pleased and excited to offer you employment with NMI Holdings, Inc. (the "Company") beginning on August 1, 2014 (the "Start Date"). You will initially serve as Executive Vice President, General Counsel and you will report directly to the Chief Executive Officer, currently Bradley Shuster. You will be based in the Company’s Emeryville, CA office. During your employment, you will be entitled to be paid an annual base salary at the rate of $350,000 per year, less applicable withholdings and deductions ("Annual Base Salary"), payable at times consistent with the Company's general policies regarding compensation of employees, as in effect from time to time. In addition, during your employment, you will be eligible to participate in any health and welfare benefit programs adopted and maintained by the Company for its employees, subject to the terms and limitations of the applicable plan and the Company's ability, in its sole discretion, at any time and from time to time, to change or terminate any of its employee benefit plans, programs or policies. Also, as an Executive Vice President, you will be eligible to participate in the Company’s perquisite program, as in effect from time to time, at the rate of $30,000 per year, less applicable withholdings and deductions, payable at times consistent with the Company's payroll practices, as in effect from time to time.</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calendar year 2014, the Company will pay to you a minimum bonus of $262,500, pro-rated based on the number of days from the Start Date through December 31, 2014 (“Minimum Guaranteed Bonus”), payable in accordance with the Company's customary practices with respect to the payment of bonuses. The Company currently expects to pay 2014 bonuses in the first quarter of 2015, but in no event later than March 15, 2015. Except as provided below upon certain qualifying terminations of employment, in order to receive the Minimum Guaranteed Bonus, you must be in an "active working status" at the time of bonus payment. For purposes of this letter, "active working status" means that you have not resigned (or given notice of your intention to resign) and have not been terminated for any reason (or been given notice of your termination).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With respect to calendar year 2015 and thereafter, you will be eligible to be awarded an annual discretionary cash bonus, with a target annual bonus opportunity of up to seventy-five-percent (75%) of your Annual Base Salary, less applicable withholdings and deductions (the "Discretionary Bonus"), payable in accordance with the Company's customary practices with respect to the payment of bonuses, as in effect from time to time. Any Discretionary Bonus will be determined by your supervisor, subject to approval by the Compensation Committee (the “Committee”) of the Company’s Board of Directors (the “Board”). Except as provided below upon certain qualifying terminations of employment, in order to receive a Discretionary Bonus, you must be in an "active working status" (as described above) at the time of bonus payment. For the avoidance of doubt, you will not be eligible to receive a Discretionary Bonus if you resign or if your employment is terminated for any reason at any time during the applicable year to which such Discretionary Bonus relates prior to the payment date of such Discretionary Bonus.</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soon as reasonably practicable following your Start Date, management will recommend to the Committee that you be granted equity-based awards in respect of Company stock under the Company’s 2014 Omnibus Incentive Plan (the “Plan”) with a grant date fair market value equivalent to approximately $300,000 (the “Sign-On Awards”). The proposed Sign-On Awards will consist of a combination of restricted stock or restricted stock units (as determined by the Committee in its sole discretion) and options, split approximately 25% and 75%, respectively, with such split determined by the Committee in its sole discretion. The number of shares of Company stock subject to the Sign-On Awards will be determined based on the Company’s stock price at the date of the grant, rounded down to the nearest share, with the grant date fair market value of any options to be determined based on the methodology and factors generally used by the Company. The terms and conditions of the Sign-On Awards, including the grant date, exercise price and vesting schedules will be set forth in the applicable award agreement and will be subject to the terms of the Plan, as amended from time to time. There can be no assurances that the Committee will approve all or any of the Sign-On Awards recommended by the Company's management.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10.10</w:t>
      </w:r>
    </w:p>
    <w:p>
      <w:pPr>
        <w:spacing w:after="0" w:line="200" w:lineRule="exact"/>
        <w:rPr>
          <w:sz w:val="20"/>
          <w:szCs w:val="20"/>
          <w:color w:val="auto"/>
        </w:rPr>
      </w:pPr>
    </w:p>
    <w:p>
      <w:pPr>
        <w:spacing w:after="0" w:line="26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Assuming that your job performance meets or exceeds management’s expectations, management will also recommend to the Committee at the next regular meeting when it considers annual employee equity awards that you be considered for an annual equity-based award in respect of Company stock. At this time, it is anticipated that the Committee will consider annual employee equity-based awards at its meeting scheduled for February 2015, but this may occur later in the year. The terms and conditions of any equity-based award, including the grant date, exercise price (if any) and vesting schedule(s) will be set forth in the applicable award agreement and will be subject to the terms of the Plan, as amended from time to time. There can be no assurances that the Committee will approve all or any equity-based awards recommended by the Company's management.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offers a generous 25 days of Paid Time Off (PTO) per year. For 2014, you will be eligible for PTO on a pro-rated calendar year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Your PTO will begin to accrue on the Start Date.</w:t>
      </w:r>
    </w:p>
    <w:p>
      <w:pPr>
        <w:spacing w:after="0" w:line="21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your employment with the Company is terminated without Cause (as defined in the Plan) within twelve months following a Change in Control (as defined in the Plan), you will be entitled to, subject to your execution and non-revocation of a release of claims in a form acceptable to the Company within 30 days of your termination of employment, a lump sum cash payment on the 45th day following the date of your termination of employment equal to the sum of (i) your earned Annual Base Salary through the date your employment terminates, to the extent not yet paid, (ii) any annual cash bonus payment earned for the completed calendar year prior to your date of termination (other than any deferred portion of an annual bonus, which will be paid in accordance with the applicable deferral arrangement), (iii) one and a half times the sum of your (A) Annual Base Salary in effect immediately prior to the termination of your employment, and (B) target Discretionary Bonus or Minimum Guaranteed Bonus, if applicable, in each case, as in effect immediately prior to the termination of your employment and (iv) any other vested amounts or benefits that the Company is required to pay or provide or for which you are eligible to receive under any plan, program, policy, practice, contract or agreement with the Company through the date of your termination of employment.</w:t>
      </w:r>
    </w:p>
    <w:p>
      <w:pPr>
        <w:spacing w:after="0" w:line="16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This offer is not a contract guaranteeing employment for any specific duration. Rather, your employment with the Company is on an at-will basis. As an at-will employee, both you and the Company have the right to terminate your employment at any time with or without cause. Similarly, nothing in this letter shall be construed as an agreement to pay you any compensation or grant you any benefit beyond the end of your employment with the Company.</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Any amounts payable under this letter are intended to be exempt or excluded from the application of Section 409A of the Internal Revenue Code of 1986, as amended (“Section 409A”), or are otherwise intended to avoid the incurrence of tax penalties under Section 409A, and, with respect to amounts payable under this letter that are subject to Section 409A, this letter shall in all respects be administered in accordance with Section 409A. For purposes of Section 409A, any right to a series of payments under this letter agreement, if any, shall be treated as a right to a series of separate payments. In no event may you, directly or indirectly, designate the calendar year of payment of any amounts payable under this letter.</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This letter shall be governed, construed, and interpreted under the laws of the State of California, without giving effect to any conflict of laws provisions.</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This offer of employment is contingent upon the successful completion of the Company's pre-employment screening process, which includes reference checking and the background check required as an insurance company and by many of our vendors and customers. This background check will be initiated shortly before the Start Date, but may not be completed prior to the Start Date, and your employment and continued employment is contingent upon the successful completion of this process. The Company will determine, in its sole discretion, if you have successfully completed the process.</w:t>
      </w:r>
    </w:p>
    <w:p>
      <w:pPr>
        <w:spacing w:after="0" w:line="15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You agree to comply fully with all policies and procedures in effect for employees, including but not limited to, the Employee Handbook, the Business Conduct Policy and any other memoranda and communications</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 to you pertaining to policies, procedures, rules and regulations, as currently in effect and as may be amended from time to time.</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Immigration Reform and Control Act require employers to verify the employment eligibility and identity of new employees. You will be emailed a link to complete the online Employment Verification Form I-9 that you are required to complete as a condition of employment.</w:t>
      </w:r>
    </w:p>
    <w:p>
      <w:pPr>
        <w:spacing w:after="0" w:line="147"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By accepting this offer, 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2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This letter constitutes the entire agreement between you and the Company regarding your employment with the Company and supersedes any and all oral or written employment or compensation agreements between you and the Company or its affiliates.</w:t>
      </w:r>
    </w:p>
    <w:p>
      <w:pPr>
        <w:spacing w:after="0" w:line="1"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are confident that your experience and abilities are going to have a significant impact on the Company and our growth prospects. We look forward to working with you in developing and growing the Company.</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Please confirm acceptance of this offer by signing below and returning a signed copy of this letter to me. Please feel free to call if you have any questions.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M. Shuster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M. Shuster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acknowledge receipt of this letter and I accept the position offered</w:t>
      </w:r>
    </w:p>
    <w:p>
      <w:pPr>
        <w:spacing w:after="0" w:line="200" w:lineRule="exact"/>
        <w:rPr>
          <w:sz w:val="20"/>
          <w:szCs w:val="20"/>
          <w:color w:val="auto"/>
        </w:rPr>
      </w:pPr>
    </w:p>
    <w:p>
      <w:pPr>
        <w:spacing w:after="0" w:line="241"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 xml:space="preserve">Signature By: </w:t>
      </w:r>
      <w:r>
        <w:rPr>
          <w:rFonts w:ascii="Arial" w:cs="Arial" w:eastAsia="Arial" w:hAnsi="Arial"/>
          <w:sz w:val="18"/>
          <w:szCs w:val="18"/>
          <w:u w:val="single" w:color="auto"/>
          <w:color w:val="auto"/>
        </w:rPr>
        <w:t>/s/ William J. Leatherberry</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11, 2014</w:t>
      </w:r>
    </w:p>
    <w:p>
      <w:pPr>
        <w:sectPr>
          <w:pgSz w:w="11900" w:h="16838" w:orient="portrait"/>
          <w:cols w:equalWidth="0" w:num="1">
            <w:col w:w="11420"/>
          </w:cols>
          <w:pgMar w:left="240" w:top="125" w:right="239" w:bottom="1440" w:gutter="0" w:footer="0" w:header="0"/>
        </w:sectPr>
      </w:pPr>
    </w:p>
    <w:bookmarkStart w:id="38" w:name="page39"/>
    <w:bookmarkEnd w:id="38"/>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hanging="4"/>
        <w:spacing w:after="0" w:line="308" w:lineRule="auto"/>
        <w:tabs>
          <w:tab w:leader="none" w:pos="901"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6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2016</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169545</wp:posOffset>
            </wp:positionV>
            <wp:extent cx="3601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9" w:name="page40"/>
    <w:bookmarkEnd w:id="3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2016</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March 31, 2016,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66"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2019-12-29T11:22:51Z</dcterms:created>
  <dcterms:modified xsi:type="dcterms:W3CDTF">2019-12-29T11:22:51Z</dcterms:modified>
</cp:coreProperties>
</file>