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jc w:val="left"/>
        <w:rPr/>
      </w:pPr>
      <w:r>
        <w:rPr/>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 xml:space="preserve">FORM 10-Q </w:t>
      </w:r>
    </w:p>
    <w:tbl>
      <w:tblPr>
        <w:tblW w:w="9834" w:type="dxa"/>
        <w:jc w:val="center"/>
        <w:tblInd w:w="0" w:type="dxa"/>
        <w:tblLayout w:type="fixed"/>
        <w:tblCellMar>
          <w:top w:w="28" w:type="dxa"/>
          <w:left w:w="28" w:type="dxa"/>
          <w:bottom w:w="28" w:type="dxa"/>
          <w:right w:w="28" w:type="dxa"/>
        </w:tblCellMar>
      </w:tblPr>
      <w:tblGrid>
        <w:gridCol w:w="124"/>
        <w:gridCol w:w="109"/>
        <w:gridCol w:w="109"/>
        <w:gridCol w:w="1473"/>
        <w:gridCol w:w="1473"/>
        <w:gridCol w:w="1473"/>
        <w:gridCol w:w="1473"/>
        <w:gridCol w:w="1473"/>
        <w:gridCol w:w="21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2127" w:type="dxa"/>
            <w:tcBorders/>
            <w:vAlign w:val="center"/>
          </w:tcPr>
          <w:p>
            <w:pPr>
              <w:pStyle w:val="TableContents"/>
              <w:bidi w:val="0"/>
              <w:spacing w:before="0" w:after="283"/>
              <w:jc w:val="left"/>
              <w:rPr>
                <w:sz w:val="4"/>
                <w:szCs w:val="4"/>
              </w:rPr>
            </w:pPr>
            <w:r>
              <w:rPr>
                <w:sz w:val="4"/>
                <w:szCs w:val="4"/>
              </w:rPr>
            </w:r>
          </w:p>
        </w:tc>
      </w:tr>
      <w:tr>
        <w:trPr/>
        <w:tc>
          <w:tcPr>
            <w:tcW w:w="983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(Mark One)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9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QUARTERLY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quarterly period ended</w:t>
            </w:r>
          </w:p>
        </w:tc>
        <w:tc>
          <w:tcPr>
            <w:tcW w:w="50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March 31, 2025</w:t>
            </w:r>
          </w:p>
        </w:tc>
      </w:tr>
    </w:tbl>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OR</w:t>
      </w:r>
    </w:p>
    <w:tbl>
      <w:tblPr>
        <w:tblW w:w="9806" w:type="dxa"/>
        <w:jc w:val="center"/>
        <w:tblInd w:w="0" w:type="dxa"/>
        <w:tblLayout w:type="fixed"/>
        <w:tblCellMar>
          <w:top w:w="28" w:type="dxa"/>
          <w:left w:w="28" w:type="dxa"/>
          <w:bottom w:w="28" w:type="dxa"/>
          <w:right w:w="28" w:type="dxa"/>
        </w:tblCellMar>
      </w:tblPr>
      <w:tblGrid>
        <w:gridCol w:w="124"/>
        <w:gridCol w:w="109"/>
        <w:gridCol w:w="109"/>
        <w:gridCol w:w="2771"/>
        <w:gridCol w:w="2771"/>
        <w:gridCol w:w="39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39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TRANSITION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transition period from ______ to ______</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pPr>
      <w:r>
        <w:rPr>
          <w:rFonts w:ascii="Times New Roman;sans-serif" w:hAnsi="Times New Roman;sans-serif"/>
          <w:b w:val="false"/>
          <w:color w:val="000000"/>
          <w:sz w:val="18"/>
        </w:rPr>
        <w:t xml:space="preserve">Commission file number </w:t>
      </w:r>
      <w:r>
        <w:rPr>
          <w:rFonts w:ascii="Times New Roman;sans-serif" w:hAnsi="Times New Roman;sans-serif"/>
          <w:b/>
          <w:color w:val="000000"/>
          <w:sz w:val="18"/>
        </w:rPr>
        <w:t xml:space="preserve">001-36174 </w:t>
      </w:r>
    </w:p>
    <w:tbl>
      <w:tblPr>
        <w:tblW w:w="3720" w:type="dxa"/>
        <w:jc w:val="center"/>
        <w:tblInd w:w="0" w:type="dxa"/>
        <w:tblLayout w:type="fixed"/>
        <w:tblCellMar>
          <w:top w:w="28" w:type="dxa"/>
          <w:left w:w="28" w:type="dxa"/>
          <w:bottom w:w="28" w:type="dxa"/>
          <w:right w:w="28" w:type="dxa"/>
        </w:tblCellMar>
      </w:tblPr>
      <w:tblGrid>
        <w:gridCol w:w="1192"/>
        <w:gridCol w:w="1046"/>
        <w:gridCol w:w="1482"/>
      </w:tblGrid>
      <w:tr>
        <w:trPr/>
        <w:tc>
          <w:tcPr>
            <w:tcW w:w="1192"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36"/>
              </w:rPr>
            </w:pPr>
            <w:r>
              <w:rPr>
                <w:rFonts w:ascii="Times New Roman;sans-serif" w:hAnsi="Times New Roman;sans-serif"/>
                <w:b/>
                <w:color w:val="000000"/>
                <w:sz w:val="36"/>
              </w:rPr>
              <w:t>NMI Holdings, Inc.</w:t>
            </w:r>
          </w:p>
        </w:tc>
      </w:tr>
      <w:tr>
        <w:trPr/>
        <w:tc>
          <w:tcPr>
            <w:tcW w:w="372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(Exact name of registrant as specified in its charter)</w:t>
            </w:r>
          </w:p>
        </w:tc>
      </w:tr>
    </w:tbl>
    <w:tbl>
      <w:tblPr>
        <w:tblW w:w="8540" w:type="dxa"/>
        <w:jc w:val="center"/>
        <w:tblInd w:w="0" w:type="dxa"/>
        <w:tblLayout w:type="fixed"/>
        <w:tblCellMar>
          <w:top w:w="28" w:type="dxa"/>
          <w:left w:w="28" w:type="dxa"/>
          <w:bottom w:w="28" w:type="dxa"/>
          <w:right w:w="28" w:type="dxa"/>
        </w:tblCellMar>
      </w:tblPr>
      <w:tblGrid>
        <w:gridCol w:w="614"/>
        <w:gridCol w:w="540"/>
        <w:gridCol w:w="540"/>
        <w:gridCol w:w="301"/>
        <w:gridCol w:w="301"/>
        <w:gridCol w:w="301"/>
        <w:gridCol w:w="355"/>
        <w:gridCol w:w="355"/>
        <w:gridCol w:w="356"/>
        <w:gridCol w:w="301"/>
        <w:gridCol w:w="301"/>
        <w:gridCol w:w="301"/>
        <w:gridCol w:w="301"/>
        <w:gridCol w:w="301"/>
        <w:gridCol w:w="301"/>
        <w:gridCol w:w="109"/>
        <w:gridCol w:w="109"/>
        <w:gridCol w:w="109"/>
        <w:gridCol w:w="801"/>
        <w:gridCol w:w="801"/>
        <w:gridCol w:w="1142"/>
      </w:tblGrid>
      <w:tr>
        <w:trPr/>
        <w:tc>
          <w:tcPr>
            <w:tcW w:w="61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r>
      <w:tr>
        <w:trPr/>
        <w:tc>
          <w:tcPr>
            <w:tcW w:w="546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45-4914248</w:t>
            </w:r>
          </w:p>
        </w:tc>
      </w:tr>
      <w:tr>
        <w:trPr/>
        <w:tc>
          <w:tcPr>
            <w:tcW w:w="546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 Identification No.)</w:t>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2100 Powell Street</w:t>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Emeryville</w:t>
            </w:r>
          </w:p>
        </w:tc>
        <w:tc>
          <w:tcPr>
            <w:tcW w:w="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94608</w:t>
            </w:r>
          </w:p>
        </w:tc>
      </w:tr>
      <w:tr>
        <w:trPr/>
        <w:tc>
          <w:tcPr>
            <w:tcW w:w="546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(855) 530-6642 </w:t>
      </w:r>
    </w:p>
    <w:p>
      <w:pPr>
        <w:pStyle w:val="TextBody"/>
        <w:bidi w:val="0"/>
        <w:spacing w:lineRule="auto" w:line="288" w:before="0" w:after="12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053" w:type="dxa"/>
        <w:jc w:val="center"/>
        <w:tblInd w:w="0" w:type="dxa"/>
        <w:tblLayout w:type="fixed"/>
        <w:tblCellMar>
          <w:top w:w="28" w:type="dxa"/>
          <w:left w:w="28" w:type="dxa"/>
          <w:bottom w:w="28" w:type="dxa"/>
          <w:right w:w="28" w:type="dxa"/>
        </w:tblCellMar>
      </w:tblPr>
      <w:tblGrid>
        <w:gridCol w:w="988"/>
        <w:gridCol w:w="865"/>
        <w:gridCol w:w="876"/>
        <w:gridCol w:w="539"/>
        <w:gridCol w:w="539"/>
        <w:gridCol w:w="541"/>
        <w:gridCol w:w="1085"/>
        <w:gridCol w:w="1085"/>
        <w:gridCol w:w="1535"/>
      </w:tblGrid>
      <w:tr>
        <w:trPr/>
        <w:tc>
          <w:tcPr>
            <w:tcW w:w="988"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272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$0.01</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NMIH</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Nasdaq</w:t>
            </w:r>
          </w:p>
        </w:tc>
      </w:tr>
    </w:tbl>
    <w:p>
      <w:pPr>
        <w:pStyle w:val="TextBody"/>
        <w:bidi w:val="0"/>
        <w:spacing w:lineRule="auto" w:line="288" w:before="0" w:after="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p>
    <w:p>
      <w:pPr>
        <w:pStyle w:val="TextBody"/>
        <w:bidi w:val="0"/>
        <w:spacing w:lineRule="auto" w:line="288" w:before="0" w:after="180"/>
        <w:jc w:val="both"/>
        <w:rPr/>
      </w:pPr>
      <w:r>
        <w:rPr>
          <w:rFonts w:ascii="Times New Roman;sans-serif" w:hAnsi="Times New Roman;sans-serif"/>
          <w:b/>
          <w:color w:val="000000"/>
          <w:sz w:val="20"/>
        </w:rPr>
        <w:t xml:space="preserve">Yes </w:t>
      </w:r>
      <w:r>
        <w:rPr>
          <w:color w:val="000000"/>
        </w:rPr>
        <w:t xml:space="preserve">☒ </w:t>
      </w:r>
      <w:r>
        <w:rPr>
          <w:rFonts w:ascii="Times New Roman;sans-serif" w:hAnsi="Times New Roman;sans-serif"/>
          <w:b/>
          <w:color w:val="000000"/>
          <w:sz w:val="20"/>
        </w:rPr>
        <w:t xml:space="preserve">No </w:t>
      </w:r>
      <w:r>
        <w:rPr>
          <w:color w:val="000000"/>
        </w:rPr>
        <w:t>☐</w:t>
      </w:r>
    </w:p>
    <w:p>
      <w:pPr>
        <w:pStyle w:val="TextBody"/>
        <w:bidi w:val="0"/>
        <w:spacing w:lineRule="auto" w:line="288" w:before="0" w:after="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p>
    <w:p>
      <w:pPr>
        <w:pStyle w:val="TextBody"/>
        <w:bidi w:val="0"/>
        <w:spacing w:lineRule="auto" w:line="288" w:before="0" w:after="180"/>
        <w:jc w:val="both"/>
        <w:rPr/>
      </w:pPr>
      <w:r>
        <w:rPr>
          <w:rFonts w:ascii="Times New Roman;sans-serif" w:hAnsi="Times New Roman;sans-serif"/>
          <w:b/>
          <w:color w:val="000000"/>
          <w:sz w:val="20"/>
        </w:rPr>
        <w:t xml:space="preserve">Yes </w:t>
      </w:r>
      <w:r>
        <w:rPr>
          <w:color w:val="000000"/>
        </w:rPr>
        <w:t xml:space="preserve">☒ </w:t>
      </w:r>
      <w:r>
        <w:rPr>
          <w:rFonts w:ascii="Times New Roman;sans-serif" w:hAnsi="Times New Roman;sans-serif"/>
          <w:b/>
          <w:color w:val="000000"/>
          <w:sz w:val="20"/>
        </w:rPr>
        <w:t xml:space="preserve">No </w:t>
      </w:r>
      <w:r>
        <w:rPr>
          <w:color w:val="000000"/>
        </w:rPr>
        <w:t>☐</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55"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0" w:after="0"/>
        <w:jc w:val="both"/>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both"/>
        <w:rPr/>
      </w:pPr>
      <w:r>
        <w:rPr/>
      </w:r>
    </w:p>
    <w:p>
      <w:pPr>
        <w:pStyle w:val="TextBody"/>
        <w:bidi w:val="0"/>
        <w:spacing w:lineRule="auto" w:line="288" w:before="0" w:after="6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shell company (as defined in Rule 12b-2 of the Exchange Act).</w:t>
      </w:r>
    </w:p>
    <w:p>
      <w:pPr>
        <w:pStyle w:val="TextBody"/>
        <w:bidi w:val="0"/>
        <w:spacing w:lineRule="auto" w:line="288" w:before="0" w:after="180"/>
        <w:jc w:val="both"/>
        <w:rPr/>
      </w:pPr>
      <w:r>
        <w:rPr>
          <w:rFonts w:ascii="Times New Roman;sans-serif" w:hAnsi="Times New Roman;sans-serif"/>
          <w:b/>
          <w:color w:val="000000"/>
          <w:sz w:val="20"/>
        </w:rPr>
        <w:t xml:space="preserve">Yes </w:t>
      </w:r>
      <w:r>
        <w:rPr>
          <w:color w:val="000000"/>
        </w:rPr>
        <w:t xml:space="preserve">☐ </w:t>
      </w:r>
      <w:r>
        <w:rPr>
          <w:rFonts w:ascii="Times New Roman;sans-serif" w:hAnsi="Times New Roman;sans-serif"/>
          <w:b/>
          <w:color w:val="000000"/>
          <w:sz w:val="20"/>
        </w:rPr>
        <w:t xml:space="preserve">No </w:t>
      </w:r>
      <w:r>
        <w:rPr>
          <w:color w:val="000000"/>
        </w:rPr>
        <w:t>☒</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number of shares of common stock, $0.01 par value per share, of the registrant outstanding on April 24, 2025 was 78,122,938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923"/>
        <w:gridCol w:w="809"/>
        <w:gridCol w:w="809"/>
        <w:gridCol w:w="2417"/>
        <w:gridCol w:w="2414"/>
        <w:gridCol w:w="2459"/>
        <w:gridCol w:w="109"/>
        <w:gridCol w:w="109"/>
        <w:gridCol w:w="156"/>
      </w:tblGrid>
      <w:tr>
        <w:trPr/>
        <w:tc>
          <w:tcPr>
            <w:tcW w:w="923"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2417" w:type="dxa"/>
            <w:tcBorders/>
            <w:vAlign w:val="center"/>
          </w:tcPr>
          <w:p>
            <w:pPr>
              <w:pStyle w:val="TableContents"/>
              <w:bidi w:val="0"/>
              <w:spacing w:before="0" w:after="283"/>
              <w:jc w:val="left"/>
              <w:rPr>
                <w:sz w:val="4"/>
                <w:szCs w:val="4"/>
              </w:rPr>
            </w:pPr>
            <w:r>
              <w:rPr>
                <w:sz w:val="4"/>
                <w:szCs w:val="4"/>
              </w:rPr>
            </w:r>
          </w:p>
        </w:tc>
        <w:tc>
          <w:tcPr>
            <w:tcW w:w="2414" w:type="dxa"/>
            <w:tcBorders/>
            <w:vAlign w:val="center"/>
          </w:tcPr>
          <w:p>
            <w:pPr>
              <w:pStyle w:val="TableContents"/>
              <w:bidi w:val="0"/>
              <w:spacing w:before="0" w:after="283"/>
              <w:jc w:val="left"/>
              <w:rPr>
                <w:sz w:val="4"/>
                <w:szCs w:val="4"/>
              </w:rPr>
            </w:pPr>
            <w:r>
              <w:rPr>
                <w:sz w:val="4"/>
                <w:szCs w:val="4"/>
              </w:rPr>
            </w:r>
          </w:p>
        </w:tc>
        <w:tc>
          <w:tcPr>
            <w:tcW w:w="2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831"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1621f6d28f1404595dbb9f006b2c15d_10">
              <w:r>
                <w:rPr>
                  <w:rStyle w:val="InternetLink"/>
                  <w:rFonts w:ascii="Times New Roman;sans-serif" w:hAnsi="Times New Roman;sans-serif"/>
                  <w:b/>
                  <w:color w:val="0000FF"/>
                  <w:sz w:val="20"/>
                  <w:u w:val="single"/>
                </w:rPr>
                <w:t>Cautionary Note Regarding Forward-Looking Statements</w:t>
              </w:r>
            </w:hyperlink>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1621f6d28f1404595dbb9f006b2c15d_10">
              <w:r>
                <w:rPr>
                  <w:rStyle w:val="InternetLink"/>
                  <w:rFonts w:ascii="Times New Roman;sans-serif" w:hAnsi="Times New Roman;sans-serif"/>
                  <w:b w:val="false"/>
                  <w:color w:val="0000FF"/>
                  <w:sz w:val="20"/>
                  <w:u w:val="single"/>
                </w:rPr>
                <w:t>3</w:t>
              </w:r>
            </w:hyperlink>
          </w:p>
        </w:tc>
      </w:tr>
      <w:tr>
        <w:trPr/>
        <w:tc>
          <w:tcPr>
            <w:tcW w:w="9831"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1621f6d28f1404595dbb9f006b2c15d_13">
              <w:r>
                <w:rPr>
                  <w:rStyle w:val="InternetLink"/>
                  <w:rFonts w:ascii="Times New Roman;sans-serif" w:hAnsi="Times New Roman;sans-serif"/>
                  <w:b/>
                  <w:color w:val="0000FF"/>
                  <w:sz w:val="20"/>
                  <w:u w:val="single"/>
                </w:rPr>
                <w:t xml:space="preserve">PART I </w:t>
              </w:r>
            </w:hyperlink>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1621f6d28f1404595dbb9f006b2c15d_13">
              <w:r>
                <w:rPr>
                  <w:rStyle w:val="InternetLink"/>
                  <w:rFonts w:ascii="Times New Roman;sans-serif" w:hAnsi="Times New Roman;sans-serif"/>
                  <w:b w:val="false"/>
                  <w:color w:val="0000FF"/>
                  <w:sz w:val="20"/>
                  <w:u w:val="single"/>
                </w:rPr>
                <w:t>5</w:t>
              </w:r>
            </w:hyperlink>
          </w:p>
        </w:tc>
      </w:tr>
      <w:tr>
        <w:trPr/>
        <w:tc>
          <w:tcPr>
            <w:tcW w:w="2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72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1621f6d28f1404595dbb9f006b2c15d_16">
              <w:r>
                <w:rPr>
                  <w:rStyle w:val="InternetLink"/>
                  <w:rFonts w:ascii="Times New Roman;sans-serif" w:hAnsi="Times New Roman;sans-serif"/>
                  <w:b w:val="false"/>
                  <w:color w:val="0000FF"/>
                  <w:sz w:val="20"/>
                  <w:u w:val="single"/>
                </w:rPr>
                <w:t>Financial Statements</w:t>
              </w:r>
            </w:hyperlink>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1621f6d28f1404595dbb9f006b2c15d_16">
              <w:r>
                <w:rPr>
                  <w:rStyle w:val="InternetLink"/>
                  <w:rFonts w:ascii="Times New Roman;sans-serif" w:hAnsi="Times New Roman;sans-serif"/>
                  <w:b w:val="false"/>
                  <w:color w:val="0000FF"/>
                  <w:sz w:val="20"/>
                  <w:u w:val="single"/>
                </w:rPr>
                <w:t>5</w:t>
              </w:r>
            </w:hyperlink>
          </w:p>
        </w:tc>
      </w:tr>
      <w:tr>
        <w:trPr/>
        <w:tc>
          <w:tcPr>
            <w:tcW w:w="2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72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1621f6d28f1404595dbb9f006b2c15d_106">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1621f6d28f1404595dbb9f006b2c15d_106">
              <w:r>
                <w:rPr>
                  <w:rStyle w:val="InternetLink"/>
                  <w:rFonts w:ascii="Times New Roman;sans-serif" w:hAnsi="Times New Roman;sans-serif"/>
                  <w:b w:val="false"/>
                  <w:color w:val="0000FF"/>
                  <w:sz w:val="20"/>
                  <w:u w:val="single"/>
                </w:rPr>
                <w:t>26</w:t>
              </w:r>
            </w:hyperlink>
          </w:p>
        </w:tc>
      </w:tr>
      <w:tr>
        <w:trPr/>
        <w:tc>
          <w:tcPr>
            <w:tcW w:w="2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72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1621f6d28f1404595dbb9f006b2c15d_196">
              <w:r>
                <w:rPr>
                  <w:rStyle w:val="InternetLink"/>
                  <w:rFonts w:ascii="Times New Roman;sans-serif" w:hAnsi="Times New Roman;sans-serif"/>
                  <w:b w:val="false"/>
                  <w:color w:val="0000FF"/>
                  <w:sz w:val="20"/>
                  <w:u w:val="single"/>
                </w:rPr>
                <w:t>Quantitative and Qualitative Disclosures About Market Risk</w:t>
              </w:r>
            </w:hyperlink>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1621f6d28f1404595dbb9f006b2c15d_196">
              <w:r>
                <w:rPr>
                  <w:rStyle w:val="InternetLink"/>
                  <w:rFonts w:ascii="Times New Roman;sans-serif" w:hAnsi="Times New Roman;sans-serif"/>
                  <w:b w:val="false"/>
                  <w:color w:val="0000FF"/>
                  <w:sz w:val="20"/>
                  <w:u w:val="single"/>
                </w:rPr>
                <w:t>51</w:t>
              </w:r>
            </w:hyperlink>
          </w:p>
        </w:tc>
      </w:tr>
      <w:tr>
        <w:trPr/>
        <w:tc>
          <w:tcPr>
            <w:tcW w:w="2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72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1621f6d28f1404595dbb9f006b2c15d_199">
              <w:r>
                <w:rPr>
                  <w:rStyle w:val="InternetLink"/>
                  <w:rFonts w:ascii="Times New Roman;sans-serif" w:hAnsi="Times New Roman;sans-serif"/>
                  <w:b w:val="false"/>
                  <w:color w:val="0000FF"/>
                  <w:sz w:val="20"/>
                  <w:u w:val="single"/>
                </w:rPr>
                <w:t>Controls and Procedures</w:t>
              </w:r>
            </w:hyperlink>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1621f6d28f1404595dbb9f006b2c15d_199">
              <w:r>
                <w:rPr>
                  <w:rStyle w:val="InternetLink"/>
                  <w:rFonts w:ascii="Times New Roman;sans-serif" w:hAnsi="Times New Roman;sans-serif"/>
                  <w:b w:val="false"/>
                  <w:color w:val="0000FF"/>
                  <w:sz w:val="20"/>
                  <w:u w:val="single"/>
                </w:rPr>
                <w:t>52</w:t>
              </w:r>
            </w:hyperlink>
          </w:p>
        </w:tc>
      </w:tr>
      <w:tr>
        <w:trPr/>
        <w:tc>
          <w:tcPr>
            <w:tcW w:w="9831"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1621f6d28f1404595dbb9f006b2c15d_202">
              <w:r>
                <w:rPr>
                  <w:rStyle w:val="InternetLink"/>
                  <w:rFonts w:ascii="Times New Roman;sans-serif" w:hAnsi="Times New Roman;sans-serif"/>
                  <w:b/>
                  <w:color w:val="0000FF"/>
                  <w:sz w:val="20"/>
                  <w:u w:val="single"/>
                </w:rPr>
                <w:t>PART II</w:t>
              </w:r>
            </w:hyperlink>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1621f6d28f1404595dbb9f006b2c15d_202">
              <w:r>
                <w:rPr>
                  <w:rStyle w:val="InternetLink"/>
                  <w:rFonts w:ascii="Times New Roman;sans-serif" w:hAnsi="Times New Roman;sans-serif"/>
                  <w:b w:val="false"/>
                  <w:color w:val="0000FF"/>
                  <w:sz w:val="20"/>
                  <w:u w:val="single"/>
                </w:rPr>
                <w:t>53</w:t>
              </w:r>
            </w:hyperlink>
          </w:p>
        </w:tc>
      </w:tr>
      <w:tr>
        <w:trPr/>
        <w:tc>
          <w:tcPr>
            <w:tcW w:w="2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72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1621f6d28f1404595dbb9f006b2c15d_205">
              <w:r>
                <w:rPr>
                  <w:rStyle w:val="InternetLink"/>
                  <w:rFonts w:ascii="Times New Roman;sans-serif" w:hAnsi="Times New Roman;sans-serif"/>
                  <w:b w:val="false"/>
                  <w:color w:val="0000FF"/>
                  <w:sz w:val="20"/>
                  <w:u w:val="single"/>
                </w:rPr>
                <w:t>Legal Proceedings</w:t>
              </w:r>
            </w:hyperlink>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1621f6d28f1404595dbb9f006b2c15d_205">
              <w:r>
                <w:rPr>
                  <w:rStyle w:val="InternetLink"/>
                  <w:rFonts w:ascii="Times New Roman;sans-serif" w:hAnsi="Times New Roman;sans-serif"/>
                  <w:b w:val="false"/>
                  <w:color w:val="0000FF"/>
                  <w:sz w:val="20"/>
                  <w:u w:val="single"/>
                </w:rPr>
                <w:t>53</w:t>
              </w:r>
            </w:hyperlink>
          </w:p>
        </w:tc>
      </w:tr>
      <w:tr>
        <w:trPr/>
        <w:tc>
          <w:tcPr>
            <w:tcW w:w="2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72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1621f6d28f1404595dbb9f006b2c15d_208">
              <w:r>
                <w:rPr>
                  <w:rStyle w:val="InternetLink"/>
                  <w:rFonts w:ascii="Times New Roman;sans-serif" w:hAnsi="Times New Roman;sans-serif"/>
                  <w:b w:val="false"/>
                  <w:color w:val="0000FF"/>
                  <w:sz w:val="20"/>
                  <w:u w:val="single"/>
                  <w:shd w:fill="CCEEFF" w:val="clear"/>
                </w:rPr>
                <w:t>Risk Factors</w:t>
              </w:r>
            </w:hyperlink>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1621f6d28f1404595dbb9f006b2c15d_208">
              <w:r>
                <w:rPr>
                  <w:rStyle w:val="InternetLink"/>
                  <w:rFonts w:ascii="Times New Roman;sans-serif" w:hAnsi="Times New Roman;sans-serif"/>
                  <w:b w:val="false"/>
                  <w:color w:val="0000FF"/>
                  <w:sz w:val="20"/>
                  <w:u w:val="single"/>
                </w:rPr>
                <w:t>53</w:t>
              </w:r>
            </w:hyperlink>
          </w:p>
        </w:tc>
      </w:tr>
      <w:tr>
        <w:trPr/>
        <w:tc>
          <w:tcPr>
            <w:tcW w:w="2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72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1621f6d28f1404595dbb9f006b2c15d_211">
              <w:r>
                <w:rPr>
                  <w:rStyle w:val="InternetLink"/>
                  <w:rFonts w:ascii="Times New Roman;sans-serif" w:hAnsi="Times New Roman;sans-serif"/>
                  <w:b w:val="false"/>
                  <w:color w:val="0000FF"/>
                  <w:sz w:val="20"/>
                  <w:u w:val="single"/>
                </w:rPr>
                <w:t>Unregistered Sales of Equity Securities and Use of Proceeds</w:t>
              </w:r>
            </w:hyperlink>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1621f6d28f1404595dbb9f006b2c15d_211">
              <w:r>
                <w:rPr>
                  <w:rStyle w:val="InternetLink"/>
                  <w:rFonts w:ascii="Times New Roman;sans-serif" w:hAnsi="Times New Roman;sans-serif"/>
                  <w:b w:val="false"/>
                  <w:color w:val="0000FF"/>
                  <w:sz w:val="20"/>
                  <w:u w:val="single"/>
                </w:rPr>
                <w:t>54</w:t>
              </w:r>
            </w:hyperlink>
          </w:p>
        </w:tc>
      </w:tr>
      <w:tr>
        <w:trPr/>
        <w:tc>
          <w:tcPr>
            <w:tcW w:w="2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72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1621f6d28f1404595dbb9f006b2c15d_214">
              <w:r>
                <w:rPr>
                  <w:rStyle w:val="InternetLink"/>
                  <w:rFonts w:ascii="Times New Roman;sans-serif" w:hAnsi="Times New Roman;sans-serif"/>
                  <w:b w:val="false"/>
                  <w:color w:val="0000FF"/>
                  <w:sz w:val="20"/>
                  <w:u w:val="single"/>
                </w:rPr>
                <w:t>Other Information</w:t>
              </w:r>
            </w:hyperlink>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1621f6d28f1404595dbb9f006b2c15d_214">
              <w:r>
                <w:rPr>
                  <w:rStyle w:val="InternetLink"/>
                  <w:rFonts w:ascii="Times New Roman;sans-serif" w:hAnsi="Times New Roman;sans-serif"/>
                  <w:b w:val="false"/>
                  <w:color w:val="0000FF"/>
                  <w:sz w:val="20"/>
                  <w:u w:val="single"/>
                </w:rPr>
                <w:t>54</w:t>
              </w:r>
            </w:hyperlink>
          </w:p>
        </w:tc>
      </w:tr>
      <w:tr>
        <w:trPr/>
        <w:tc>
          <w:tcPr>
            <w:tcW w:w="2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72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1621f6d28f1404595dbb9f006b2c15d_226">
              <w:r>
                <w:rPr>
                  <w:rStyle w:val="InternetLink"/>
                  <w:rFonts w:ascii="Times New Roman;sans-serif" w:hAnsi="Times New Roman;sans-serif"/>
                  <w:b w:val="false"/>
                  <w:color w:val="0000FF"/>
                  <w:sz w:val="20"/>
                  <w:u w:val="single"/>
                </w:rPr>
                <w:t>Exhibits</w:t>
              </w:r>
            </w:hyperlink>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1621f6d28f1404595dbb9f006b2c15d_226">
              <w:r>
                <w:rPr>
                  <w:rStyle w:val="InternetLink"/>
                  <w:rFonts w:ascii="Times New Roman;sans-serif" w:hAnsi="Times New Roman;sans-serif"/>
                  <w:b w:val="false"/>
                  <w:color w:val="0000FF"/>
                  <w:sz w:val="20"/>
                  <w:u w:val="single"/>
                </w:rPr>
                <w:t>55</w:t>
              </w:r>
            </w:hyperlink>
          </w:p>
        </w:tc>
      </w:tr>
      <w:tr>
        <w:trPr/>
        <w:tc>
          <w:tcPr>
            <w:tcW w:w="9831"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1621f6d28f1404595dbb9f006b2c15d_229">
              <w:r>
                <w:rPr>
                  <w:rStyle w:val="InternetLink"/>
                  <w:rFonts w:ascii="Times New Roman;sans-serif" w:hAnsi="Times New Roman;sans-serif"/>
                  <w:b/>
                  <w:color w:val="0000FF"/>
                  <w:sz w:val="20"/>
                  <w:u w:val="single"/>
                </w:rPr>
                <w:t>Signatures</w:t>
              </w:r>
            </w:hyperlink>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1621f6d28f1404595dbb9f006b2c15d_229">
              <w:r>
                <w:rPr>
                  <w:rStyle w:val="InternetLink"/>
                  <w:rFonts w:ascii="Times New Roman;sans-serif" w:hAnsi="Times New Roman;sans-serif"/>
                  <w:b w:val="false"/>
                  <w:color w:val="0000FF"/>
                  <w:sz w:val="20"/>
                  <w:u w:val="single"/>
                </w:rPr>
                <w:t>58</w:t>
              </w:r>
            </w:hyperlink>
          </w:p>
        </w:tc>
      </w:tr>
    </w:tbl>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bidi w:val="0"/>
        <w:spacing w:lineRule="auto" w:line="288" w:before="0" w:after="180"/>
        <w:jc w:val="both"/>
        <w:rPr>
          <w:color w:val="000000"/>
        </w:rPr>
      </w:pPr>
      <w:r>
        <w:rPr>
          <w:color w:val="000000"/>
        </w:rPr>
        <w:t>    </w:t>
      </w:r>
      <w:r>
        <w:rPr>
          <w:rFonts w:ascii="Times New Roman;sans-serif" w:hAnsi="Times New Roman;sans-serif"/>
          <w:b w:val="false"/>
          <w:color w:val="000000"/>
          <w:sz w:val="20"/>
        </w:rPr>
        <w:t>This report contains forward-looking statements within the meaning of Section 27A of the Securities Act of 1933, as amended (Securities Act), Section 21E of the Securities Exchange Act of 1934, as amended (Exchange Act), and the U.S. Private Securities Litigation Reform Act of 1995. Any statements about our expectations, outlook, beliefs, plans, predictions, forecasts, objectives, assumptions or future events or performance are not historical facts and may be forward-looking. These statements are often, but not always, made through the use of words or phrases such as “anticipate,” “believe,” “can,” “could,” “may,” “predict,” “assume,” “potential,” “should,” “will,” “estimate,” “perceive,” “plan,” “project,” “continuing,” “ongoing,” “expect,” “intend” or words of similar meaning and include, but are not limited to, statements regarding the outlook for our future business and financial performance. All forward-looking statements are necessarily only estimates of future results, and actual results may differ materially from expectations. You are, therefore, cautioned not to place undue reliance on such statements, which should be read in conjunction with the other cautionary statements that are included elsewhere in this report. Further, any forward-looking statement speaks only as of the date on which it is made, and we undertake no obligation to update or revise any forward-looking statement to reflect events or circumstances after the date on which the statement is made or to reflect the occurrence of unanticipated events. We have based these forward-looking statements on our current expectations and projections about future events and financial trends that we believe may affect our financial condition, operating results, business strategy and financial needs. There are important factors that could cause our actual results, level of activity, performance or achievements to differ materially from the results, level of activity, performance or achievements expressed or implied by the forward-looking statements including, but not limited to:</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changes in general economic, market and political conditions and policies (including changes in interest rates and inflation) and investment results or other conditions that affect the U.S. housing market or the U.S. markets for home mortgages, mortgage insurance, reinsurance and credit risk transfer markets, including the risk related to geopolitical instability, inflation, an economic downturn (including any decline in home prices) or recession, and their impacts on our business, operations and personnel;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changes in the charters, business practices, policy, pricing or priorities of Fannie Mae and Freddie Mac (collectively, the GSEs), which may include decisions that have the impact of decreasing or discontinuing the use of mortgage insurance as credit enhancement generally, or with first time homebuyers or on very high- loan-to-value (LTV) mortgages; or changes in the direction of housing policy objectives of the Federal Housing Finance Agency (FHFA), such as the FHFA's priority to increase the accessibility to and affordability of homeownership for low-and-moderate income borrowers and underrepresented communities;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our ability to remain an eligible mortgage insurer under the private mortgage insurer eligibility requirements (PMIERs) and other requirements imposed by the GSEs, which they may change at any time;</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retention of our existing certificates of authority in each state and the District of Columbia (D.C.) and our ability to remain a mortgage insurer in good standing in each state and D.C.;</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our future profitability, liquidity and capital resources;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actions of existing competitors, including other private mortgage insurers and government mortgage insurers such as the Federal Housing Administration, the U.S. Department of Agriculture's Rural Housing Service and the U.S. Department of Veterans Affairs (collectively, government MIs), and potential market entry by new competitors or consolidation of existing competitors;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adoption of new or changes to existing laws, rules and regulations that impact our business or financial condition directly or the mortgage insurance industry generally or their enforcement and implementation by regulators, including the implementation of the final rules defining and/or concerning “Qualified Mortgage” and “Qualified Residential Mortgage”;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U.S. federal tax reform and other potential changes in tax law and their impact on us and our operations;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legislative or regulatory changes to the GSEs' role in the secondary mortgage market or other changes that could affect the residential mortgage industry generally or mortgage insurance industry in particular;</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potential legal and regulatory claims, investigations, actions, audits or inquiries that could result in adverse judgements, settlements, fines or other reliefs that could require significant expenditures or have other negative effects on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our ability to successfully execute and implement our capital plans, including our ability to access the equity, credit and reinsurance markets and to enter into, and receive approval of, reinsurance arrangements on terms and conditions that are acceptable to us, the GSEs and our regulators;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lenders, the GSEs, or other market participants seeking alternatives to private mortgage insurance;</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our ability to implement our business strategy, including our ability to write mortgage insurance on high quality low down payment residential mortgage loans, implement successfully and on a timely basis, complex infrastructure, systems, procedures, and internal controls to support our business and regulatory and reporting requirements of the insurance industry;</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our ability to attract and retain a diverse customer base, including the largest mortgage originators;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failure of risk management or pricing or investment strategies;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decrease in the length of time our insurance policies are in force;</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emergence of unexpected claim and coverage issues, including claims exceeding our reserves or amounts we had expected to experience;</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potential adverse impacts arising from natural disasters including, with respect to affected areas, a decline in new business, adverse effects on home prices, and an increase in notices of default on insured mortgages;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climate risk and efforts to manage or regulate climate risk by government agencies could affect our business and operations;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potential adverse impacts arising from the occurrence of any man-made disasters or public health emergencies, including pandemics;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inability of our counter-parties, including third-party reinsurers, to meet their obligations to us;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failure to maintain, improve and continue to develop necessary information technology (IT) systems or the failure of technology providers to perform;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effectiveness and security of our information technology systems and digital products and services, including the risks these systems, products or services may fail to operate as expected or planned, or expose us to cybersecurity or third-party risks (including exposure of our confidential customer and other information);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ability to recruit, train and retain key personnel.</w:t>
      </w:r>
    </w:p>
    <w:p>
      <w:pPr>
        <w:pStyle w:val="TextBody"/>
        <w:bidi w:val="0"/>
        <w:spacing w:lineRule="auto" w:line="288" w:before="0" w:after="180"/>
        <w:ind w:left="0" w:right="0" w:firstLine="720"/>
        <w:jc w:val="both"/>
        <w:rPr/>
      </w:pPr>
      <w:r>
        <w:rPr>
          <w:rFonts w:ascii="Times New Roman;sans-serif" w:hAnsi="Times New Roman;sans-serif"/>
          <w:b w:val="false"/>
          <w:color w:val="000000"/>
          <w:sz w:val="20"/>
        </w:rPr>
        <w:t>For further information regarding these risks and uncertainties as well as certain additional risks that we face, you should refer to Part I, Item 2, “</w:t>
      </w:r>
      <w:r>
        <w:rPr>
          <w:rFonts w:ascii="Times New Roman;sans-serif" w:hAnsi="Times New Roman;sans-serif"/>
          <w:b w:val="false"/>
          <w:i/>
          <w:color w:val="000000"/>
          <w:sz w:val="20"/>
        </w:rPr>
        <w:t>Management's Discussion and Analysis of Financial Condition and Results of Operations</w:t>
      </w:r>
      <w:r>
        <w:rPr>
          <w:color w:val="000000"/>
        </w:rPr>
        <w:t xml:space="preserve">” </w:t>
      </w:r>
      <w:r>
        <w:rPr>
          <w:rFonts w:ascii="Times New Roman;sans-serif" w:hAnsi="Times New Roman;sans-serif"/>
          <w:b w:val="false"/>
          <w:color w:val="000000"/>
          <w:sz w:val="20"/>
        </w:rPr>
        <w:t xml:space="preserve">and elsewhere in this report on Form 10-Q, including the exhibits hereto. In addition, for additional discussion of those risks and uncertainties that have the potential to affect our business, financial condition, results of operations, cash flows or prospects in a material and adverse manner, you should review </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color w:val="000000"/>
          <w:sz w:val="20"/>
        </w:rPr>
        <w:t>in Part II, Item 1A of this Report and in Part I, Item 1A, of our Annual Report on Form 10-K for the year ended December 31, 2024 (2024 10-K), as subsequently updated in other reports we file from time to time with the U.S. Securities and Exchange Commission (SEC).</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Unless expressly indicated or the context requires otherwise, the terms “we,” “our,” “us,” “Company” and “NMI” in this document refer to NMI Holdings, Inc., a Delaware corporation, and its wholly-owned subsidiaries on a consolidated basis.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1. Financial Statements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INDEX TO FINANCIAL STATEMENTS</w:t>
      </w:r>
    </w:p>
    <w:tbl>
      <w:tblPr>
        <w:tblW w:w="10205" w:type="dxa"/>
        <w:jc w:val="center"/>
        <w:tblInd w:w="0" w:type="dxa"/>
        <w:tblLayout w:type="fixed"/>
        <w:tblCellMar>
          <w:top w:w="28" w:type="dxa"/>
          <w:left w:w="28" w:type="dxa"/>
          <w:bottom w:w="28" w:type="dxa"/>
          <w:right w:w="28" w:type="dxa"/>
        </w:tblCellMar>
      </w:tblPr>
      <w:tblGrid>
        <w:gridCol w:w="3581"/>
        <w:gridCol w:w="3118"/>
        <w:gridCol w:w="3133"/>
        <w:gridCol w:w="109"/>
        <w:gridCol w:w="109"/>
        <w:gridCol w:w="155"/>
      </w:tblGrid>
      <w:tr>
        <w:trPr/>
        <w:tc>
          <w:tcPr>
            <w:tcW w:w="3581" w:type="dxa"/>
            <w:tcBorders/>
            <w:vAlign w:val="center"/>
          </w:tcPr>
          <w:p>
            <w:pPr>
              <w:pStyle w:val="TableContents"/>
              <w:bidi w:val="0"/>
              <w:spacing w:before="0" w:after="283"/>
              <w:jc w:val="left"/>
              <w:rPr>
                <w:sz w:val="4"/>
                <w:szCs w:val="4"/>
              </w:rPr>
            </w:pPr>
            <w:r>
              <w:rPr>
                <w:sz w:val="4"/>
                <w:szCs w:val="4"/>
              </w:rPr>
            </w:r>
          </w:p>
        </w:tc>
        <w:tc>
          <w:tcPr>
            <w:tcW w:w="3118" w:type="dxa"/>
            <w:tcBorders/>
            <w:vAlign w:val="center"/>
          </w:tcPr>
          <w:p>
            <w:pPr>
              <w:pStyle w:val="TableContents"/>
              <w:bidi w:val="0"/>
              <w:spacing w:before="0" w:after="283"/>
              <w:jc w:val="left"/>
              <w:rPr>
                <w:sz w:val="4"/>
                <w:szCs w:val="4"/>
              </w:rPr>
            </w:pPr>
            <w:r>
              <w:rPr>
                <w:sz w:val="4"/>
                <w:szCs w:val="4"/>
              </w:rPr>
            </w:r>
          </w:p>
        </w:tc>
        <w:tc>
          <w:tcPr>
            <w:tcW w:w="3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8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Condensed Consolidated Balance Sheets as of March 31, 2025 (Unaudited) and December 31, 2024 </w:t>
            </w:r>
          </w:p>
        </w:tc>
        <w:tc>
          <w:tcPr>
            <w:tcW w:w="3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1621f6d28f1404595dbb9f006b2c15d_19">
              <w:r>
                <w:rPr>
                  <w:rStyle w:val="InternetLink"/>
                  <w:rFonts w:ascii="Times New Roman;sans-serif" w:hAnsi="Times New Roman;sans-serif"/>
                  <w:b w:val="false"/>
                  <w:color w:val="0000FF"/>
                  <w:sz w:val="20"/>
                  <w:u w:val="single"/>
                </w:rPr>
                <w:t>6</w:t>
              </w:r>
            </w:hyperlink>
          </w:p>
        </w:tc>
      </w:tr>
      <w:tr>
        <w:trPr/>
        <w:tc>
          <w:tcPr>
            <w:tcW w:w="98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Condensed Consolidated Statements of Operations and Comprehensive Income for the three months ended March 31, 2025 and 2024 (Unaudited)</w:t>
            </w:r>
          </w:p>
        </w:tc>
        <w:tc>
          <w:tcPr>
            <w:tcW w:w="3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1621f6d28f1404595dbb9f006b2c15d_22">
              <w:r>
                <w:rPr>
                  <w:rStyle w:val="InternetLink"/>
                  <w:rFonts w:ascii="Times New Roman;sans-serif" w:hAnsi="Times New Roman;sans-serif"/>
                  <w:b w:val="false"/>
                  <w:color w:val="0000FF"/>
                  <w:sz w:val="20"/>
                  <w:u w:val="single"/>
                </w:rPr>
                <w:t>7</w:t>
              </w:r>
            </w:hyperlink>
          </w:p>
        </w:tc>
      </w:tr>
      <w:tr>
        <w:trPr/>
        <w:tc>
          <w:tcPr>
            <w:tcW w:w="98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Condensed Consolidated Statements of Changes in Shareholders' Equity for the three months ended March 31, 2025 and 2024 (Unaudited)</w:t>
            </w:r>
          </w:p>
        </w:tc>
        <w:tc>
          <w:tcPr>
            <w:tcW w:w="3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1621f6d28f1404595dbb9f006b2c15d_25">
              <w:r>
                <w:rPr>
                  <w:rStyle w:val="InternetLink"/>
                  <w:rFonts w:ascii="Times New Roman;sans-serif" w:hAnsi="Times New Roman;sans-serif"/>
                  <w:b w:val="false"/>
                  <w:color w:val="0000FF"/>
                  <w:sz w:val="20"/>
                  <w:u w:val="single"/>
                </w:rPr>
                <w:t>8</w:t>
              </w:r>
            </w:hyperlink>
          </w:p>
        </w:tc>
      </w:tr>
      <w:tr>
        <w:trPr/>
        <w:tc>
          <w:tcPr>
            <w:tcW w:w="98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Condensed Consolidated Statements of Cash Flows for the three months ended March 31, 2025 and 2024 (Unaudited)</w:t>
            </w:r>
          </w:p>
        </w:tc>
        <w:tc>
          <w:tcPr>
            <w:tcW w:w="3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1621f6d28f1404595dbb9f006b2c15d_28">
              <w:r>
                <w:rPr>
                  <w:rStyle w:val="InternetLink"/>
                  <w:rFonts w:ascii="Times New Roman;sans-serif" w:hAnsi="Times New Roman;sans-serif"/>
                  <w:b w:val="false"/>
                  <w:color w:val="0000FF"/>
                  <w:sz w:val="20"/>
                  <w:u w:val="single"/>
                </w:rPr>
                <w:t>9</w:t>
              </w:r>
            </w:hyperlink>
          </w:p>
        </w:tc>
      </w:tr>
      <w:tr>
        <w:trPr/>
        <w:tc>
          <w:tcPr>
            <w:tcW w:w="9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(Unaudited)</w:t>
            </w:r>
          </w:p>
        </w:tc>
        <w:tc>
          <w:tcPr>
            <w:tcW w:w="3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1621f6d28f1404595dbb9f006b2c15d_31">
              <w:r>
                <w:rPr>
                  <w:rStyle w:val="InternetLink"/>
                  <w:rFonts w:ascii="Times New Roman;sans-serif" w:hAnsi="Times New Roman;sans-serif"/>
                  <w:b w:val="false"/>
                  <w:color w:val="0000FF"/>
                  <w:sz w:val="20"/>
                  <w:u w:val="single"/>
                </w:rPr>
                <w:t>10</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NMI HOLDINGS, INC.</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CONDENSED CONSOLIDATED BALANCE SHEETS (UNAUDITED)</w:t>
      </w:r>
    </w:p>
    <w:tbl>
      <w:tblPr>
        <w:tblW w:w="10205" w:type="dxa"/>
        <w:jc w:val="center"/>
        <w:tblInd w:w="0" w:type="dxa"/>
        <w:tblLayout w:type="fixed"/>
        <w:tblCellMar>
          <w:top w:w="28" w:type="dxa"/>
          <w:left w:w="28" w:type="dxa"/>
          <w:bottom w:w="28" w:type="dxa"/>
          <w:right w:w="28" w:type="dxa"/>
        </w:tblCellMar>
      </w:tblPr>
      <w:tblGrid>
        <w:gridCol w:w="2640"/>
        <w:gridCol w:w="2259"/>
        <w:gridCol w:w="2276"/>
        <w:gridCol w:w="211"/>
        <w:gridCol w:w="976"/>
        <w:gridCol w:w="109"/>
        <w:gridCol w:w="109"/>
        <w:gridCol w:w="109"/>
        <w:gridCol w:w="109"/>
        <w:gridCol w:w="221"/>
        <w:gridCol w:w="1023"/>
        <w:gridCol w:w="163"/>
      </w:tblGrid>
      <w:tr>
        <w:trPr/>
        <w:tc>
          <w:tcPr>
            <w:tcW w:w="2640" w:type="dxa"/>
            <w:tcBorders/>
            <w:vAlign w:val="center"/>
          </w:tcPr>
          <w:p>
            <w:pPr>
              <w:pStyle w:val="TableContents"/>
              <w:bidi w:val="0"/>
              <w:spacing w:before="0" w:after="283"/>
              <w:jc w:val="left"/>
              <w:rPr>
                <w:sz w:val="4"/>
                <w:szCs w:val="4"/>
              </w:rPr>
            </w:pPr>
            <w:r>
              <w:rPr>
                <w:sz w:val="4"/>
                <w:szCs w:val="4"/>
              </w:rPr>
            </w:r>
          </w:p>
        </w:tc>
        <w:tc>
          <w:tcPr>
            <w:tcW w:w="2259" w:type="dxa"/>
            <w:tcBorders/>
            <w:vAlign w:val="center"/>
          </w:tcPr>
          <w:p>
            <w:pPr>
              <w:pStyle w:val="TableContents"/>
              <w:bidi w:val="0"/>
              <w:spacing w:before="0" w:after="283"/>
              <w:jc w:val="left"/>
              <w:rPr>
                <w:sz w:val="4"/>
                <w:szCs w:val="4"/>
              </w:rPr>
            </w:pPr>
            <w:r>
              <w:rPr>
                <w:sz w:val="4"/>
                <w:szCs w:val="4"/>
              </w:rPr>
            </w:r>
          </w:p>
        </w:tc>
        <w:tc>
          <w:tcPr>
            <w:tcW w:w="22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71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303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for share data)</w:t>
            </w:r>
          </w:p>
        </w:tc>
      </w:tr>
      <w:tr>
        <w:trPr/>
        <w:tc>
          <w:tcPr>
            <w:tcW w:w="71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maturities, available-for-sale, at fair value (amortized cost of $2,923,088 and $2,876,343 as of March 31, 2025 and December 31, 2024, respectively)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2,809,247 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2,723,541 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(including restricted cash of $90 as of December 31, 2024)</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54,308 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Premiums receivable,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82,804 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investment income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22,386 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policy acquisition costs,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64,327 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 and equipment,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25,681 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and goodwill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Reinsurance recoverable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32,260 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federal income taxes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322,175 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18,857 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3,456,196 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3,349,973 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415,146 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r>
      <w:tr>
        <w:trPr/>
        <w:tc>
          <w:tcPr>
            <w:tcW w:w="7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Unearned premiums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65,217 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103,164 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 for insurance claims and claim expenses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152,071 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r>
      <w:tr>
        <w:trPr/>
        <w:tc>
          <w:tcPr>
            <w:tcW w:w="7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liability,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386,192 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1,134,625 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1,132,541 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Shareholders' equity</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 $0.01 par value; 88,321,226 shares issued and 78,301,469 shares outstanding as of March 31, 2025 and 87,902,626 shares issued and 78,600,726 shares outstanding as of December 31, 2024 (250,000,000 shares authorized)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1,004,692 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 at cost: 10,019,757 and 9,301,900 common shares as of March 31, 2025 and December 31, 2024,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(272,647)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(246,594)</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 net of tax</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(124,804)</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Retained earnings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1,685,818 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1,583,259 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shareholders' equity</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2,321,571 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2,217,432 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shareholders'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3,456,196 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3,349,973 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both"/>
        <w:rPr/>
      </w:pPr>
      <w:r>
        <w:rPr/>
      </w:r>
    </w:p>
    <w:p>
      <w:pPr>
        <w:pStyle w:val="TextBody"/>
        <w:bidi w:val="0"/>
        <w:spacing w:before="0" w:after="0"/>
        <w:ind w:left="0" w:right="0" w:hanging="360"/>
        <w:jc w:val="left"/>
        <w:rPr/>
      </w:pPr>
      <w:r>
        <w:rPr/>
      </w:r>
    </w:p>
    <w:p>
      <w:pPr>
        <w:pStyle w:val="TextBody"/>
        <w:bidi w:val="0"/>
        <w:spacing w:before="0" w:after="180"/>
        <w:jc w:val="right"/>
        <w:rPr/>
      </w:pPr>
      <w:r>
        <w:rPr/>
      </w:r>
    </w:p>
    <w:p>
      <w:pPr>
        <w:pStyle w:val="TextBody"/>
        <w:bidi w:val="0"/>
        <w:spacing w:before="0" w:after="180"/>
        <w:jc w:val="right"/>
        <w:rPr/>
      </w:pPr>
      <w:r>
        <w:rPr/>
      </w:r>
    </w:p>
    <w:p>
      <w:pPr>
        <w:pStyle w:val="TextBody"/>
        <w:bidi w:val="0"/>
        <w:spacing w:before="0" w:after="180"/>
        <w:jc w:val="right"/>
        <w:rPr/>
      </w:pPr>
      <w:r>
        <w:rPr/>
      </w:r>
    </w:p>
    <w:p>
      <w:pPr>
        <w:pStyle w:val="TextBody"/>
        <w:bidi w:val="0"/>
        <w:spacing w:before="0" w:after="180"/>
        <w:jc w:val="right"/>
        <w:rPr/>
      </w:pPr>
      <w:r>
        <w:rPr/>
      </w:r>
    </w:p>
    <w:p>
      <w:pPr>
        <w:pStyle w:val="TextBody"/>
        <w:bidi w:val="0"/>
        <w:spacing w:lineRule="auto" w:line="288" w:before="0" w:after="180"/>
        <w:jc w:val="right"/>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NMI HOLDINGS, INC.</w:t>
      </w:r>
    </w:p>
    <w:p>
      <w:pPr>
        <w:pStyle w:val="TextBody"/>
        <w:bidi w:val="0"/>
        <w:spacing w:lineRule="auto" w:line="288" w:before="0" w:after="0"/>
        <w:jc w:val="center"/>
        <w:rPr/>
      </w:pPr>
      <w:r>
        <w:rPr>
          <w:rFonts w:ascii="Times New Roman;sans-serif" w:hAnsi="Times New Roman;sans-serif"/>
          <w:b w:val="false"/>
          <w:color w:val="000000"/>
          <w:sz w:val="20"/>
        </w:rPr>
        <w:t>C</w:t>
      </w:r>
      <w:r>
        <w:rPr>
          <w:rFonts w:ascii="Times New Roman;sans-serif" w:hAnsi="Times New Roman;sans-serif"/>
          <w:b w:val="false"/>
          <w:color w:val="000000"/>
          <w:sz w:val="18"/>
        </w:rPr>
        <w:t>ONDENSED CONSOLIDATED STATEMENTS OF OPERATIONS AND COMPREHENSIVE INCOME (UNAUDITED)</w:t>
      </w:r>
    </w:p>
    <w:tbl>
      <w:tblPr>
        <w:tblW w:w="10205" w:type="dxa"/>
        <w:jc w:val="center"/>
        <w:tblInd w:w="0" w:type="dxa"/>
        <w:tblLayout w:type="fixed"/>
        <w:tblCellMar>
          <w:top w:w="28" w:type="dxa"/>
          <w:left w:w="28" w:type="dxa"/>
          <w:bottom w:w="28" w:type="dxa"/>
          <w:right w:w="28" w:type="dxa"/>
        </w:tblCellMar>
      </w:tblPr>
      <w:tblGrid>
        <w:gridCol w:w="2710"/>
        <w:gridCol w:w="2116"/>
        <w:gridCol w:w="2128"/>
        <w:gridCol w:w="223"/>
        <w:gridCol w:w="874"/>
        <w:gridCol w:w="114"/>
        <w:gridCol w:w="114"/>
        <w:gridCol w:w="114"/>
        <w:gridCol w:w="114"/>
        <w:gridCol w:w="223"/>
        <w:gridCol w:w="874"/>
        <w:gridCol w:w="114"/>
        <w:gridCol w:w="109"/>
        <w:gridCol w:w="109"/>
        <w:gridCol w:w="109"/>
        <w:gridCol w:w="160"/>
      </w:tblGrid>
      <w:tr>
        <w:trPr/>
        <w:tc>
          <w:tcPr>
            <w:tcW w:w="2710"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gridSpan w:val="2"/>
            <w:tcBorders/>
          </w:tcPr>
          <w:p>
            <w:pPr>
              <w:pStyle w:val="TableContents"/>
              <w:bidi w:val="0"/>
              <w:spacing w:before="0" w:after="283"/>
              <w:jc w:val="left"/>
              <w:rPr>
                <w:sz w:val="4"/>
                <w:szCs w:val="4"/>
              </w:rPr>
            </w:pPr>
            <w:r>
              <w:rPr>
                <w:sz w:val="4"/>
                <w:szCs w:val="4"/>
              </w:rPr>
            </w:r>
          </w:p>
        </w:tc>
      </w:tr>
      <w:tr>
        <w:trPr/>
        <w:tc>
          <w:tcPr>
            <w:tcW w:w="6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for per share data)</w:t>
            </w:r>
          </w:p>
        </w:tc>
        <w:tc>
          <w:tcPr>
            <w:tcW w:w="487" w:type="dxa"/>
            <w:gridSpan w:val="4"/>
            <w:tcBorders/>
          </w:tcPr>
          <w:p>
            <w:pPr>
              <w:pStyle w:val="TableContents"/>
              <w:bidi w:val="0"/>
              <w:spacing w:before="0" w:after="283"/>
              <w:jc w:val="left"/>
              <w:rPr>
                <w:sz w:val="4"/>
                <w:szCs w:val="4"/>
              </w:rPr>
            </w:pPr>
            <w:r>
              <w:rPr>
                <w:sz w:val="4"/>
                <w:szCs w:val="4"/>
              </w:rPr>
            </w:r>
          </w:p>
        </w:tc>
      </w:tr>
      <w:tr>
        <w:trPr/>
        <w:tc>
          <w:tcPr>
            <w:tcW w:w="6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954"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954"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954"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954"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premiums earned</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149,366 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136,657 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income</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23,686 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19,436 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realized investment gains</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revenues</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0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173,246 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156,253 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Expenses</w:t>
            </w:r>
          </w:p>
        </w:tc>
        <w:tc>
          <w:tcPr>
            <w:tcW w:w="12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Insurance claims and claim expenses</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Underwriting and operating expenses</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30,175 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29,815 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expenses</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954"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expenses</w:t>
            </w:r>
          </w:p>
        </w:tc>
        <w:tc>
          <w:tcPr>
            <w:tcW w:w="10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41,875 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41,686 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131,371 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114,567 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 expense </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28,812 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25,517 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102,559 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89,050 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Earnings per share </w:t>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w:t>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78,407 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80,726 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79,858 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82,099 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954"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954"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954"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954"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102,559 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89,050 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net of tax:</w:t>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9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gains (losses) in accumulated other comprehensive loss, net of tax expense (benefit) of $8,186 and $(2,729) for the quarters ended March 31, 2025 and 2024, respectively</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30,795 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954"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9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adjustment for realized gains included in net income, net of tax expense of $5 for the quarter ended March 31, 2025</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net of tax</w:t>
            </w:r>
          </w:p>
        </w:tc>
        <w:tc>
          <w:tcPr>
            <w:tcW w:w="10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30,776 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(9,905)</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133,335 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79,145 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60" w:after="60"/>
        <w:ind w:left="0" w:right="0" w:hanging="360"/>
        <w:jc w:val="both"/>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right"/>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NMI HOLDINGS, INC.</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CONDENSED CONSOLIDATED STATEMENTS OF CHANGES IN SHAREHOLDERS' EQUITY (UNAUDITED)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894"/>
        <w:gridCol w:w="504"/>
        <w:gridCol w:w="505"/>
        <w:gridCol w:w="360"/>
        <w:gridCol w:w="361"/>
        <w:gridCol w:w="196"/>
        <w:gridCol w:w="212"/>
        <w:gridCol w:w="470"/>
        <w:gridCol w:w="110"/>
        <w:gridCol w:w="211"/>
        <w:gridCol w:w="976"/>
        <w:gridCol w:w="109"/>
        <w:gridCol w:w="222"/>
        <w:gridCol w:w="896"/>
        <w:gridCol w:w="114"/>
        <w:gridCol w:w="243"/>
        <w:gridCol w:w="1037"/>
        <w:gridCol w:w="125"/>
        <w:gridCol w:w="213"/>
        <w:gridCol w:w="987"/>
        <w:gridCol w:w="110"/>
        <w:gridCol w:w="211"/>
        <w:gridCol w:w="976"/>
        <w:gridCol w:w="163"/>
      </w:tblGrid>
      <w:tr>
        <w:trPr/>
        <w:tc>
          <w:tcPr>
            <w:tcW w:w="89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129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Additional </w:t>
              <w:br/>
              <w:t>Paid-in Capital</w:t>
            </w:r>
          </w:p>
        </w:tc>
        <w:tc>
          <w:tcPr>
            <w:tcW w:w="1232"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 At Cost</w:t>
            </w:r>
          </w:p>
        </w:tc>
        <w:tc>
          <w:tcPr>
            <w:tcW w:w="1405"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Loss</w:t>
            </w:r>
          </w:p>
        </w:tc>
        <w:tc>
          <w:tcPr>
            <w:tcW w:w="1310"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w:t>
            </w:r>
          </w:p>
        </w:tc>
        <w:tc>
          <w:tcPr>
            <w:tcW w:w="1350"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7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129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232"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405"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310"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350"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1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Balances, December 31, 2024</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78,601 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(246,594)</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(124,804)</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1,583,259 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2,217,432 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shares issued under stock plans, net of shares withheld for employee taxes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(7,650)</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common stock</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(26,053)</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(26,053)</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Change in unrealized investment gains/losses, net of tax expense of $8,181</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30,776 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30,776 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102,559 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102,559 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Balances, March 31, 2025</w:t>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78,301 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1,001,545 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(272,647)</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(94,028)</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1,685,818 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2,321,571 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903"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1903"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1903"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1903"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1903"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1903"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1903"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1903"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1903"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1903"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1903"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1903"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right"/>
        <w:rPr/>
      </w:pPr>
      <w:r>
        <w:rPr/>
      </w:r>
    </w:p>
    <w:p>
      <w:pPr>
        <w:pStyle w:val="TextBody"/>
        <w:bidi w:val="0"/>
        <w:spacing w:before="0" w:after="180"/>
        <w:jc w:val="center"/>
        <w:rPr/>
      </w:pPr>
      <w:r>
        <w:rPr/>
      </w:r>
    </w:p>
    <w:tbl>
      <w:tblPr>
        <w:tblW w:w="10205" w:type="dxa"/>
        <w:jc w:val="center"/>
        <w:tblInd w:w="0" w:type="dxa"/>
        <w:tblLayout w:type="fixed"/>
        <w:tblCellMar>
          <w:top w:w="28" w:type="dxa"/>
          <w:left w:w="28" w:type="dxa"/>
          <w:bottom w:w="28" w:type="dxa"/>
          <w:right w:w="28" w:type="dxa"/>
        </w:tblCellMar>
      </w:tblPr>
      <w:tblGrid>
        <w:gridCol w:w="926"/>
        <w:gridCol w:w="537"/>
        <w:gridCol w:w="538"/>
        <w:gridCol w:w="360"/>
        <w:gridCol w:w="361"/>
        <w:gridCol w:w="196"/>
        <w:gridCol w:w="213"/>
        <w:gridCol w:w="471"/>
        <w:gridCol w:w="110"/>
        <w:gridCol w:w="212"/>
        <w:gridCol w:w="832"/>
        <w:gridCol w:w="109"/>
        <w:gridCol w:w="224"/>
        <w:gridCol w:w="905"/>
        <w:gridCol w:w="115"/>
        <w:gridCol w:w="249"/>
        <w:gridCol w:w="1058"/>
        <w:gridCol w:w="128"/>
        <w:gridCol w:w="213"/>
        <w:gridCol w:w="989"/>
        <w:gridCol w:w="110"/>
        <w:gridCol w:w="211"/>
        <w:gridCol w:w="976"/>
        <w:gridCol w:w="162"/>
      </w:tblGrid>
      <w:tr>
        <w:trPr/>
        <w:tc>
          <w:tcPr>
            <w:tcW w:w="926"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1153"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Additional </w:t>
              <w:br/>
              <w:t>Paid-in Capital</w:t>
            </w:r>
          </w:p>
        </w:tc>
        <w:tc>
          <w:tcPr>
            <w:tcW w:w="1244"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 At Cost</w:t>
            </w:r>
          </w:p>
        </w:tc>
        <w:tc>
          <w:tcPr>
            <w:tcW w:w="1435"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Loss</w:t>
            </w:r>
          </w:p>
        </w:tc>
        <w:tc>
          <w:tcPr>
            <w:tcW w:w="1312"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w:t>
            </w:r>
          </w:p>
        </w:tc>
        <w:tc>
          <w:tcPr>
            <w:tcW w:w="1349"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7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1153"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24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435"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312"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349"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2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2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Balances, December 31, 2023</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80,881 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(148,921)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(139,917)</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1,223,153 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1,926,004 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shares issued under stock plans, net of shares withheld for employee taxes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(5,579)</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common stock</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(25,306)</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(25,306)</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Change in unrealized investment gains/losses, net of tax benefit of $2,729</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(9,905)</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(9,905)</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89,050 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89,050 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Balances, March 31, 2024</w:t>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80,546 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989,349 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(174,227)</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(149,822)</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1,312,203 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1,978,381 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001"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1435"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2001"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1435"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2001"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1435"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2001"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1435"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2001"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1435"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2001"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1435"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2001"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1435"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2001"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1435"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2001"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1435"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2001"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1435"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2001"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1435"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2001"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1435"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hanging="360"/>
        <w:jc w:val="both"/>
        <w:rPr/>
      </w:pPr>
      <w:r>
        <w:rPr/>
      </w:r>
    </w:p>
    <w:p>
      <w:pPr>
        <w:pStyle w:val="TextBody"/>
        <w:bidi w:val="0"/>
        <w:spacing w:before="0" w:after="180"/>
        <w:ind w:left="0" w:right="0" w:hanging="360"/>
        <w:jc w:val="right"/>
        <w:rPr/>
      </w:pPr>
      <w:r>
        <w:rPr/>
      </w:r>
    </w:p>
    <w:p>
      <w:pPr>
        <w:pStyle w:val="TextBody"/>
        <w:bidi w:val="0"/>
        <w:spacing w:before="0" w:after="180"/>
        <w:ind w:left="0" w:right="0" w:hanging="360"/>
        <w:jc w:val="right"/>
        <w:rPr/>
      </w:pPr>
      <w:r>
        <w:rPr/>
      </w:r>
    </w:p>
    <w:p>
      <w:pPr>
        <w:pStyle w:val="TextBody"/>
        <w:bidi w:val="0"/>
        <w:spacing w:before="0" w:after="180"/>
        <w:ind w:left="0" w:right="0" w:hanging="360"/>
        <w:jc w:val="right"/>
        <w:rPr/>
      </w:pPr>
      <w:r>
        <w:rPr/>
      </w:r>
    </w:p>
    <w:p>
      <w:pPr>
        <w:pStyle w:val="TextBody"/>
        <w:bidi w:val="0"/>
        <w:spacing w:before="0" w:after="180"/>
        <w:ind w:left="0" w:right="0" w:hanging="360"/>
        <w:jc w:val="right"/>
        <w:rPr/>
      </w:pPr>
      <w:r>
        <w:rPr/>
      </w:r>
    </w:p>
    <w:p>
      <w:pPr>
        <w:pStyle w:val="TextBody"/>
        <w:bidi w:val="0"/>
        <w:spacing w:before="0" w:after="180"/>
        <w:jc w:val="right"/>
        <w:rPr/>
      </w:pPr>
      <w:r>
        <w:rPr/>
      </w:r>
    </w:p>
    <w:p>
      <w:pPr>
        <w:pStyle w:val="TextBody"/>
        <w:bidi w:val="0"/>
        <w:spacing w:before="0" w:after="180"/>
        <w:jc w:val="right"/>
        <w:rPr/>
      </w:pPr>
      <w:r>
        <w:rPr/>
      </w:r>
    </w:p>
    <w:p>
      <w:pPr>
        <w:pStyle w:val="TextBody"/>
        <w:bidi w:val="0"/>
        <w:spacing w:before="0" w:after="180"/>
        <w:jc w:val="right"/>
        <w:rPr/>
      </w:pPr>
      <w:r>
        <w:rPr/>
      </w:r>
    </w:p>
    <w:p>
      <w:pPr>
        <w:pStyle w:val="TextBody"/>
        <w:bidi w:val="0"/>
        <w:spacing w:before="0" w:after="180"/>
        <w:jc w:val="right"/>
        <w:rPr/>
      </w:pPr>
      <w:r>
        <w:rPr/>
      </w:r>
    </w:p>
    <w:p>
      <w:pPr>
        <w:pStyle w:val="TextBody"/>
        <w:bidi w:val="0"/>
        <w:spacing w:before="0" w:after="180"/>
        <w:jc w:val="right"/>
        <w:rPr/>
      </w:pPr>
      <w:r>
        <w:rPr/>
      </w:r>
    </w:p>
    <w:p>
      <w:pPr>
        <w:pStyle w:val="TextBody"/>
        <w:bidi w:val="0"/>
        <w:spacing w:before="0" w:after="180"/>
        <w:jc w:val="right"/>
        <w:rPr/>
      </w:pPr>
      <w:r>
        <w:rPr/>
      </w:r>
    </w:p>
    <w:p>
      <w:pPr>
        <w:pStyle w:val="TextBody"/>
        <w:bidi w:val="0"/>
        <w:spacing w:lineRule="auto" w:line="288" w:before="0" w:after="180"/>
        <w:jc w:val="right"/>
        <w:rPr>
          <w:rFonts w:ascii="Times New Roman;sans-serif" w:hAnsi="Times New Roman;sans-serif"/>
          <w:b w:val="false"/>
          <w:i/>
          <w:color w:val="000000"/>
          <w:sz w:val="19"/>
        </w:rPr>
      </w:pPr>
      <w:r>
        <w:rPr>
          <w:rFonts w:ascii="Times New Roman;sans-serif" w:hAnsi="Times New Roman;sans-serif"/>
          <w:b w:val="false"/>
          <w:i/>
          <w:color w:val="000000"/>
          <w:sz w:val="19"/>
        </w:rPr>
        <w:t>See accompanying notes to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NMI HOLDINGS, INC.</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CONDENSED CONSOLIDATED STATEMENTS OF CASH FLOWS (UNAUDITED)</w:t>
      </w:r>
    </w:p>
    <w:tbl>
      <w:tblPr>
        <w:tblW w:w="10205" w:type="dxa"/>
        <w:jc w:val="right"/>
        <w:tblInd w:w="0" w:type="dxa"/>
        <w:tblLayout w:type="fixed"/>
        <w:tblCellMar>
          <w:top w:w="28" w:type="dxa"/>
          <w:left w:w="28" w:type="dxa"/>
          <w:bottom w:w="28" w:type="dxa"/>
          <w:right w:w="28" w:type="dxa"/>
        </w:tblCellMar>
      </w:tblPr>
      <w:tblGrid>
        <w:gridCol w:w="2640"/>
        <w:gridCol w:w="2314"/>
        <w:gridCol w:w="2321"/>
        <w:gridCol w:w="231"/>
        <w:gridCol w:w="908"/>
        <w:gridCol w:w="119"/>
        <w:gridCol w:w="119"/>
        <w:gridCol w:w="119"/>
        <w:gridCol w:w="119"/>
        <w:gridCol w:w="231"/>
        <w:gridCol w:w="908"/>
        <w:gridCol w:w="176"/>
      </w:tblGrid>
      <w:tr>
        <w:trPr/>
        <w:tc>
          <w:tcPr>
            <w:tcW w:w="2640" w:type="dxa"/>
            <w:tcBorders/>
            <w:vAlign w:val="center"/>
          </w:tcPr>
          <w:p>
            <w:pPr>
              <w:pStyle w:val="TableContents"/>
              <w:bidi w:val="0"/>
              <w:spacing w:before="0" w:after="283"/>
              <w:jc w:val="left"/>
              <w:rPr>
                <w:sz w:val="4"/>
                <w:szCs w:val="4"/>
              </w:rPr>
            </w:pPr>
            <w:r>
              <w:rPr>
                <w:sz w:val="4"/>
                <w:szCs w:val="4"/>
              </w:rPr>
            </w:r>
          </w:p>
        </w:tc>
        <w:tc>
          <w:tcPr>
            <w:tcW w:w="2314" w:type="dxa"/>
            <w:tcBorders/>
            <w:vAlign w:val="center"/>
          </w:tcPr>
          <w:p>
            <w:pPr>
              <w:pStyle w:val="TableContents"/>
              <w:bidi w:val="0"/>
              <w:spacing w:before="0" w:after="283"/>
              <w:jc w:val="left"/>
              <w:rPr>
                <w:sz w:val="4"/>
                <w:szCs w:val="4"/>
              </w:rPr>
            </w:pPr>
            <w:r>
              <w:rPr>
                <w:sz w:val="4"/>
                <w:szCs w:val="4"/>
              </w:rPr>
            </w:r>
          </w:p>
        </w:tc>
        <w:tc>
          <w:tcPr>
            <w:tcW w:w="232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7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March 31,</w:t>
            </w:r>
          </w:p>
        </w:tc>
      </w:tr>
      <w:tr>
        <w:trPr/>
        <w:tc>
          <w:tcPr>
            <w:tcW w:w="7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7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operating activities</w:t>
            </w:r>
          </w:p>
        </w:tc>
        <w:tc>
          <w:tcPr>
            <w:tcW w:w="293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7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Net income </w:t>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102,559 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89,050 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Adjustments to reconcile net income to net cash provided by operating activities:</w:t>
            </w:r>
          </w:p>
        </w:tc>
        <w:tc>
          <w:tcPr>
            <w:tcW w:w="12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realized investment gains</w:t>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Depreciation and amortization</w:t>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2,888 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2,996 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(accretion)/amortization of (discount)/premium on investment securities</w:t>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(770)</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437 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5"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r>
      <w:tr>
        <w:trPr/>
        <w:tc>
          <w:tcPr>
            <w:tcW w:w="7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Amortization of debt discount and debt issuance costs</w:t>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592 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510 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5"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r>
      <w:tr>
        <w:trPr/>
        <w:tc>
          <w:tcPr>
            <w:tcW w:w="7275"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r>
      <w:tr>
        <w:trPr/>
        <w:tc>
          <w:tcPr>
            <w:tcW w:w="7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Deferred income taxes</w:t>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24,543 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23,808 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Share-based compensation expense</w:t>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4,507 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4,117 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Changes in operating assets and liabilities:</w:t>
            </w:r>
          </w:p>
        </w:tc>
        <w:tc>
          <w:tcPr>
            <w:tcW w:w="12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Premiums receivable, net</w:t>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(1,349)</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1,094 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Accrued investment income</w:t>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(1,255)</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(75)</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5"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r>
      <w:tr>
        <w:trPr/>
        <w:tc>
          <w:tcPr>
            <w:tcW w:w="7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Deferred policy acquisition costs, net</w:t>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Reinsurance recoverable</w:t>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881 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(366)</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5"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r>
      <w:tr>
        <w:trPr/>
        <w:tc>
          <w:tcPr>
            <w:tcW w:w="7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assets</w:t>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(555)</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(1,352)</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Unearned premiums</w:t>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(6,041)</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(6,511)</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Reserve for insurance claims and claim expenses</w:t>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(224)</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3,208 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Reinsurance balances, net</w:t>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(118)</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(123)</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Accounts payable and accrued expenses</w:t>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(24,797)</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(5,323)</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5"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r>
      <w:tr>
        <w:trPr/>
        <w:tc>
          <w:tcPr>
            <w:tcW w:w="7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cash provided by operating activities</w:t>
            </w:r>
          </w:p>
        </w:tc>
        <w:tc>
          <w:tcPr>
            <w:tcW w:w="11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101,151 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111,574 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flows from investing activities</w:t>
            </w:r>
          </w:p>
        </w:tc>
        <w:tc>
          <w:tcPr>
            <w:tcW w:w="12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Purchase of short-term investments</w:t>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(14,811)</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Purchase of fixed-maturity investments, available-for-sale</w:t>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(141,474)</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(81,162)</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Proceeds from maturities of short-term investments</w:t>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55,100 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15,300 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Proceeds from maturities and redemptions of fixed-maturity investments, available-for-sale</w:t>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40,423 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45,107 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5"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r>
      <w:tr>
        <w:trPr/>
        <w:tc>
          <w:tcPr>
            <w:tcW w:w="7275"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r>
      <w:tr>
        <w:trPr/>
        <w:tc>
          <w:tcPr>
            <w:tcW w:w="7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Additions to software and equipment</w:t>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(1,706)</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(2,186)</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cash used in investing activities</w:t>
            </w:r>
          </w:p>
        </w:tc>
        <w:tc>
          <w:tcPr>
            <w:tcW w:w="11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(47,657)</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(37,752)</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flows from financing activities</w:t>
            </w:r>
          </w:p>
        </w:tc>
        <w:tc>
          <w:tcPr>
            <w:tcW w:w="12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5"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r>
      <w:tr>
        <w:trPr/>
        <w:tc>
          <w:tcPr>
            <w:tcW w:w="7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Proceeds from issuance of common stock related to employee equity plans</w:t>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2,778 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4,221 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5"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r>
      <w:tr>
        <w:trPr/>
        <w:tc>
          <w:tcPr>
            <w:tcW w:w="7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Taxes paid related to net share settlement of equity awards</w:t>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(10,428)</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(9,800)</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5"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r>
      <w:tr>
        <w:trPr/>
        <w:tc>
          <w:tcPr>
            <w:tcW w:w="7275"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r>
      <w:tr>
        <w:trPr/>
        <w:tc>
          <w:tcPr>
            <w:tcW w:w="7275"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r>
      <w:tr>
        <w:trPr/>
        <w:tc>
          <w:tcPr>
            <w:tcW w:w="7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Repurchases of common stock</w:t>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(25,943)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(25,206)</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cash used in financing activities</w:t>
            </w:r>
          </w:p>
        </w:tc>
        <w:tc>
          <w:tcPr>
            <w:tcW w:w="11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(33,593)</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(30,785)</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increase in cash, cash equivalents and restricted cash</w:t>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19,901 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43,037 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cash equivalents and restricted cash, beginning of period</w:t>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54,308 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96,689 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cash equivalents and restricted cash, end of period</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74,209 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139,726 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Supplemental disclosures of cash flow information</w:t>
            </w:r>
          </w:p>
        </w:tc>
        <w:tc>
          <w:tcPr>
            <w:tcW w:w="12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 paid</w:t>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18,700 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5"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right"/>
        <w:rPr/>
      </w:pPr>
      <w:r>
        <w:rPr/>
      </w:r>
    </w:p>
    <w:p>
      <w:pPr>
        <w:pStyle w:val="TextBody"/>
        <w:bidi w:val="0"/>
        <w:spacing w:before="0" w:after="180"/>
        <w:jc w:val="right"/>
        <w:rPr/>
      </w:pPr>
      <w:r>
        <w:rPr/>
      </w:r>
    </w:p>
    <w:p>
      <w:pPr>
        <w:pStyle w:val="TextBody"/>
        <w:bidi w:val="0"/>
        <w:spacing w:before="0" w:after="180"/>
        <w:jc w:val="right"/>
        <w:rPr/>
      </w:pPr>
      <w:r>
        <w:rPr/>
      </w:r>
    </w:p>
    <w:p>
      <w:pPr>
        <w:pStyle w:val="TextBody"/>
        <w:bidi w:val="0"/>
        <w:spacing w:lineRule="auto" w:line="288" w:before="0" w:after="180"/>
        <w:jc w:val="right"/>
        <w:rPr>
          <w:rFonts w:ascii="Times New Roman;sans-serif" w:hAnsi="Times New Roman;sans-serif"/>
          <w:b w:val="false"/>
          <w:i/>
          <w:color w:val="000000"/>
          <w:sz w:val="19"/>
        </w:rPr>
      </w:pPr>
      <w:r>
        <w:rPr>
          <w:rFonts w:ascii="Times New Roman;sans-serif" w:hAnsi="Times New Roman;sans-serif"/>
          <w:b w:val="false"/>
          <w:i/>
          <w:color w:val="000000"/>
          <w:sz w:val="19"/>
        </w:rPr>
        <w:t>See accompanying notes to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NMI HOLDINGS, INC.</w:t>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(UNAUDITED)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1. Organization, Basis of Presentation and Summary of Accounting Principles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NMI Holdings, Inc. (NMIH) is a Delaware corporation, incorporated in May 2011 to provide private mortgage guaranty insurance (which we refer to as mortgage insurance or MI) through its wholly-owned insurance subsidiaries, National Mortgage Insurance Corporation (NMIC) and National Mortgage Reinsurance Inc One (Re One). Our common stock is listed on the Nasdaq exchange under the ticker symbol “NMIH.”</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NMIC, our primary insurance subsidiary, issued its first mortgage insurance policy in April 2013. NMIC is licensed to write mortgage insurance in all 50 states and the District of Columbia (D.C.). Re One historically provided reinsurance coverage to NMIC in accordance with certain statutory risk retention requirements. Such requirements have been repealed and the reinsurance coverage provided by Re One to NMIC has been commuted. Re One remains a wholly-owned, licensed insurance subsidiary; however, it does not currently have active insurance exposures. In August 2015, NMIH capitalized a wholly-owned subsidiary, NMI Services, Inc. (NMIS), through which we offer outsourced loan review services to mortgage loan originators. We operate as a single segment for the purposes of assessing performance and making operating decisions.</w:t>
      </w:r>
    </w:p>
    <w:p>
      <w:pPr>
        <w:pStyle w:val="TextBody"/>
        <w:bidi w:val="0"/>
        <w:spacing w:lineRule="auto" w:line="288" w:before="0" w:after="18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condensed consolidated financial statements, which include the results of NMIH and its wholly-owned subsidiaries, have been prepared in accordance with the instructions to Form 10-Q as prescribed by the SEC for interim reporting and include other information and disclosures required by accounting principles generally accepted in the U.S. (GAAP). Our accounts are maintained in U.S. dollars. These statements should be read in conjunction with our consolidated financial statements and notes thereto for the year ended December 31, 2024, included in our 2024 10-K. All intercompany transactions have been eliminated. The preparation of financial statements in accordance with GAAP requires management to make estimates and assumptions that affect reported amounts of assets and liabilities, as well as disclosure of contingent assets and liabilities as of the balance sheet date. Estimates also affect the reported amounts of income and expenses for the reporting period. Actual results could differ from those estimates. In the opinion of management, these unaudited condensed consolidated financial statements include all adjustments (including normal recurring adjustments) that are necessary to present a fair statement of financial position, results of operations and cash flows for the periods presented. The results of operations for the interim period may not be indicative of the results that may be expected for the full year ending December 31, 2025.</w:t>
      </w:r>
    </w:p>
    <w:p>
      <w:pPr>
        <w:pStyle w:val="TextBody"/>
        <w:bidi w:val="0"/>
        <w:spacing w:lineRule="auto" w:line="288" w:before="0" w:after="18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Significant Accounting Principles</w:t>
      </w:r>
    </w:p>
    <w:p>
      <w:pPr>
        <w:pStyle w:val="TextBody"/>
        <w:bidi w:val="0"/>
        <w:spacing w:lineRule="auto" w:line="288" w:before="0" w:after="180"/>
        <w:ind w:left="0" w:right="0" w:firstLine="720"/>
        <w:jc w:val="both"/>
        <w:rPr/>
      </w:pPr>
      <w:r>
        <w:rPr>
          <w:rFonts w:ascii="Times New Roman;sans-serif" w:hAnsi="Times New Roman;sans-serif"/>
          <w:b w:val="false"/>
          <w:color w:val="000000"/>
          <w:sz w:val="20"/>
        </w:rPr>
        <w:t>There have been no changes to our significant accounting principles as described in Item 8, “</w:t>
      </w:r>
      <w:r>
        <w:rPr>
          <w:rFonts w:ascii="Times New Roman;sans-serif" w:hAnsi="Times New Roman;sans-serif"/>
          <w:b w:val="false"/>
          <w:i/>
          <w:color w:val="000000"/>
          <w:sz w:val="20"/>
        </w:rPr>
        <w:t>Financial Statements and Supplementary Data - Notes to Consolidated Financial Statements - Note 2 - Summary of Accounting Principles”</w:t>
      </w:r>
      <w:r>
        <w:rPr>
          <w:color w:val="000000"/>
        </w:rPr>
        <w:t xml:space="preserve"> </w:t>
      </w:r>
      <w:r>
        <w:rPr>
          <w:rFonts w:ascii="Times New Roman;sans-serif" w:hAnsi="Times New Roman;sans-serif"/>
          <w:b w:val="false"/>
          <w:color w:val="000000"/>
          <w:sz w:val="20"/>
        </w:rPr>
        <w:t>of our 2024 10-K.</w:t>
      </w:r>
    </w:p>
    <w:p>
      <w:pPr>
        <w:pStyle w:val="TextBody"/>
        <w:bidi w:val="0"/>
        <w:spacing w:lineRule="auto" w:line="288" w:before="0" w:after="18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Recent Accounting Pronouncements – Adopted</w:t>
      </w:r>
    </w:p>
    <w:p>
      <w:pPr>
        <w:pStyle w:val="TextBody"/>
        <w:bidi w:val="0"/>
        <w:spacing w:lineRule="auto" w:line="268" w:before="0" w:after="198"/>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2023, the FASB issued ASU 2023-09, Income Taxes (Topic 740). The update enhances the disclosure requirements related to tax rate reconciliations and income taxes paid, and took effect for all public business entities for annual reporting periods beginning after December 15, 2024. We adopted this ASU on January 1, 2025 and will include enhanced disclosures in our fiscal year-end 2025 annual consolidated financial statements, as applicable.</w:t>
      </w:r>
    </w:p>
    <w:p>
      <w:pPr>
        <w:pStyle w:val="TextBody"/>
        <w:bidi w:val="0"/>
        <w:spacing w:lineRule="auto" w:line="288" w:before="0" w:after="18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Recent Accounting Pronouncements – Not Yet Adopted</w:t>
      </w:r>
    </w:p>
    <w:p>
      <w:pPr>
        <w:pStyle w:val="TextBody"/>
        <w:bidi w:val="0"/>
        <w:spacing w:lineRule="auto" w:line="288" w:before="0" w:after="198"/>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2024, the FASB issued ASU 2024-03, Disaggregation of Income Statement Expense (Topic 220). The update expands disclosure requirements related to certain income statement expenses, including a requirement to provide a tabular disaggregation of certain operating expenses by category. The standard will take effect for all public business entities for annual reporting periods beginning after December 15, 2026, and interim reporting periods beginning after December 15, 2027. Early adoption is permitted. We are currently evaluating the impact the adoption of this ASU will have, if any, on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NMI HOLDINGS, INC.</w:t>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(UNAUDITED)</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2. Investments</w:t>
      </w:r>
    </w:p>
    <w:p>
      <w:pPr>
        <w:pStyle w:val="TextBody"/>
        <w:bidi w:val="0"/>
        <w:spacing w:lineRule="auto" w:line="288" w:before="0" w:after="180"/>
        <w:ind w:left="0" w:right="0" w:firstLine="540"/>
        <w:jc w:val="both"/>
        <w:rPr/>
      </w:pPr>
      <w:r>
        <w:rPr>
          <w:rFonts w:ascii="Times New Roman;sans-serif" w:hAnsi="Times New Roman;sans-serif"/>
          <w:b w:val="false"/>
          <w:color w:val="000000"/>
          <w:sz w:val="20"/>
        </w:rPr>
        <w:t>We hold all investments on an available-for-sale basis at fair value on our condensed consolidated balance sheets and evaluate each position quarterly for impairment. We recognize an impairment on a security through the statement of operations if (i) we intend to sell the impaired security; or (ii) it is more likely than not that we will be required to sell the impaired security prior to recovery of its amortized cost basis. If a sale is intended or likely to be required, we recognize an impairment loss equivalent to the difference of the amortized cost basis of the security and its fair value through the condensed consolidated statements of operations and comprehensive income as a “</w:t>
      </w:r>
      <w:r>
        <w:rPr>
          <w:rFonts w:ascii="Times New Roman;sans-serif" w:hAnsi="Times New Roman;sans-serif"/>
          <w:b w:val="false"/>
          <w:i/>
          <w:color w:val="000000"/>
          <w:sz w:val="20"/>
        </w:rPr>
        <w:t>Net Realized Investment Loss</w:t>
      </w:r>
      <w:r>
        <w:rPr>
          <w:rFonts w:ascii="Times New Roman;sans-serif" w:hAnsi="Times New Roman;sans-serif"/>
          <w:b w:val="false"/>
          <w:color w:val="000000"/>
          <w:sz w:val="20"/>
        </w:rPr>
        <w:t xml:space="preserve">.” In the event of an impairment of a security that we intend to and have the ability to hold to maturity, we evaluate the drivers of the impairment to determine the portion that is credit related and the portion that is non-credit related. The portion of impairment loss that is attributed to credit related factors is recognized through the statement of operations as a provision for credit loss and the portion that is attributed to non-credit related factors is recognized in other comprehensive income, net of taxes. </w:t>
      </w:r>
    </w:p>
    <w:p>
      <w:pPr>
        <w:pStyle w:val="TextBody"/>
        <w:bidi w:val="0"/>
        <w:spacing w:lineRule="auto" w:line="288" w:before="0" w:after="18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Fair Values and Gross Unrealized Gains and Losses on Investments</w:t>
      </w:r>
    </w:p>
    <w:tbl>
      <w:tblPr>
        <w:tblW w:w="10205" w:type="dxa"/>
        <w:jc w:val="left"/>
        <w:tblInd w:w="0" w:type="dxa"/>
        <w:tblLayout w:type="fixed"/>
        <w:tblCellMar>
          <w:top w:w="28" w:type="dxa"/>
          <w:left w:w="28" w:type="dxa"/>
          <w:bottom w:w="28" w:type="dxa"/>
          <w:right w:w="28" w:type="dxa"/>
        </w:tblCellMar>
      </w:tblPr>
      <w:tblGrid>
        <w:gridCol w:w="1654"/>
        <w:gridCol w:w="1352"/>
        <w:gridCol w:w="1336"/>
        <w:gridCol w:w="211"/>
        <w:gridCol w:w="976"/>
        <w:gridCol w:w="109"/>
        <w:gridCol w:w="109"/>
        <w:gridCol w:w="109"/>
        <w:gridCol w:w="109"/>
        <w:gridCol w:w="211"/>
        <w:gridCol w:w="721"/>
        <w:gridCol w:w="109"/>
        <w:gridCol w:w="109"/>
        <w:gridCol w:w="109"/>
        <w:gridCol w:w="109"/>
        <w:gridCol w:w="211"/>
        <w:gridCol w:w="883"/>
        <w:gridCol w:w="109"/>
        <w:gridCol w:w="109"/>
        <w:gridCol w:w="109"/>
        <w:gridCol w:w="109"/>
        <w:gridCol w:w="211"/>
        <w:gridCol w:w="976"/>
        <w:gridCol w:w="155"/>
      </w:tblGrid>
      <w:tr>
        <w:trPr/>
        <w:tc>
          <w:tcPr>
            <w:tcW w:w="1654"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r>
      <w:tr>
        <w:trPr/>
        <w:tc>
          <w:tcPr>
            <w:tcW w:w="4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4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As of March 31, 2025</w:t>
            </w:r>
          </w:p>
        </w:tc>
        <w:tc>
          <w:tcPr>
            <w:tcW w:w="586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4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 and obligations of U.S. government agencies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115,315 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debt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632,114 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2,069,541 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1,995,068 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38,729 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bonds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2,895,068 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(128,975)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2,781,226 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28,021 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investments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2,923,088 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(128,976)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2,809,247 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670"/>
        <w:gridCol w:w="1384"/>
        <w:gridCol w:w="1390"/>
        <w:gridCol w:w="211"/>
        <w:gridCol w:w="976"/>
        <w:gridCol w:w="109"/>
        <w:gridCol w:w="109"/>
        <w:gridCol w:w="109"/>
        <w:gridCol w:w="109"/>
        <w:gridCol w:w="211"/>
        <w:gridCol w:w="616"/>
        <w:gridCol w:w="109"/>
        <w:gridCol w:w="109"/>
        <w:gridCol w:w="109"/>
        <w:gridCol w:w="109"/>
        <w:gridCol w:w="211"/>
        <w:gridCol w:w="884"/>
        <w:gridCol w:w="109"/>
        <w:gridCol w:w="109"/>
        <w:gridCol w:w="109"/>
        <w:gridCol w:w="109"/>
        <w:gridCol w:w="211"/>
        <w:gridCol w:w="976"/>
        <w:gridCol w:w="157"/>
      </w:tblGrid>
      <w:tr>
        <w:trPr/>
        <w:tc>
          <w:tcPr>
            <w:tcW w:w="1670"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r>
      <w:tr>
        <w:trPr/>
        <w:tc>
          <w:tcPr>
            <w:tcW w:w="4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4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As of December 31, 2024</w:t>
            </w:r>
          </w:p>
        </w:tc>
        <w:tc>
          <w:tcPr>
            <w:tcW w:w="576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4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 and obligations of U.S. government agencies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116,060 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debt securities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684,523 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(49,867)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635,245 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1,949,800 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1,847,640 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41,980 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bonds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2,793,769 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(158,622)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2,640,925 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4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82,616 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investments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2,876,343 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(158,622)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2,723,541 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did not own any mortgage-backed securities in our asset-backed securities portfolio at March 31, 2025 or December 31,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NMI HOLDINGS, INC.</w:t>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(UNAUDITED)</w:t>
      </w:r>
    </w:p>
    <w:p>
      <w:pPr>
        <w:pStyle w:val="TextBody"/>
        <w:bidi w:val="0"/>
        <w:spacing w:lineRule="auto" w:line="288" w:before="0" w:after="18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a breakdown of the fair value of our corporate debt securities by issuer industry group as of March 31, 2025 and December 31, 2024: </w:t>
      </w:r>
    </w:p>
    <w:tbl>
      <w:tblPr>
        <w:tblW w:w="4647" w:type="dxa"/>
        <w:jc w:val="left"/>
        <w:tblInd w:w="0" w:type="dxa"/>
        <w:tblLayout w:type="fixed"/>
        <w:tblCellMar>
          <w:top w:w="28" w:type="dxa"/>
          <w:left w:w="28" w:type="dxa"/>
          <w:bottom w:w="28" w:type="dxa"/>
          <w:right w:w="28" w:type="dxa"/>
        </w:tblCellMar>
      </w:tblPr>
      <w:tblGrid>
        <w:gridCol w:w="548"/>
        <w:gridCol w:w="482"/>
        <w:gridCol w:w="486"/>
        <w:gridCol w:w="279"/>
        <w:gridCol w:w="279"/>
        <w:gridCol w:w="701"/>
        <w:gridCol w:w="109"/>
        <w:gridCol w:w="109"/>
        <w:gridCol w:w="109"/>
        <w:gridCol w:w="314"/>
        <w:gridCol w:w="314"/>
        <w:gridCol w:w="917"/>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r>
      <w:tr>
        <w:trPr/>
        <w:tc>
          <w:tcPr>
            <w:tcW w:w="1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w:t>
            </w:r>
          </w:p>
        </w:tc>
        <w:tc>
          <w:tcPr>
            <w:tcW w:w="5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w:t>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Utilities</w:t>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7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9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Industrial</w:t>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Communications</w:t>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7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9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w:t>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55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7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9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8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both March 31, 2025 and December 31, 2024, approximately $5.3 million of our cash and investments were held in the form of U.S. Treasury securities on deposit with various state insurance departments to satisfy regulatory requirements.</w:t>
      </w:r>
    </w:p>
    <w:p>
      <w:pPr>
        <w:pStyle w:val="TextBody"/>
        <w:bidi w:val="0"/>
        <w:spacing w:lineRule="auto" w:line="288" w:before="0" w:after="18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Scheduled Maturities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amortized cost and fair value of available-for-sale securities as of March 31, 2025 and December 31, 2024, by contractual maturity, are shown below. Expected maturities will differ from contractual maturities because issuers may have the right to call or prepay obligations with or without call or prepayment penalties. Because most asset-backed securities provide for periodic payments throughout their lives, they are listed below in a separate category.</w:t>
      </w:r>
    </w:p>
    <w:tbl>
      <w:tblPr>
        <w:tblW w:w="5679" w:type="dxa"/>
        <w:jc w:val="left"/>
        <w:tblInd w:w="0" w:type="dxa"/>
        <w:tblLayout w:type="fixed"/>
        <w:tblCellMar>
          <w:top w:w="28" w:type="dxa"/>
          <w:left w:w="28" w:type="dxa"/>
          <w:bottom w:w="28" w:type="dxa"/>
          <w:right w:w="28" w:type="dxa"/>
        </w:tblCellMar>
      </w:tblPr>
      <w:tblGrid>
        <w:gridCol w:w="981"/>
        <w:gridCol w:w="862"/>
        <w:gridCol w:w="872"/>
        <w:gridCol w:w="211"/>
        <w:gridCol w:w="976"/>
        <w:gridCol w:w="109"/>
        <w:gridCol w:w="109"/>
        <w:gridCol w:w="109"/>
        <w:gridCol w:w="109"/>
        <w:gridCol w:w="211"/>
        <w:gridCol w:w="976"/>
        <w:gridCol w:w="154"/>
      </w:tblGrid>
      <w:tr>
        <w:trPr/>
        <w:tc>
          <w:tcPr>
            <w:tcW w:w="981"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As of March 31, 2025</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in one year or less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239,970 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after one through five years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1,603,885 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1,549,805 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after five through ten years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969,078 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after ten years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investments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2,923,088 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2,809,247 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5678" w:type="dxa"/>
        <w:jc w:val="left"/>
        <w:tblInd w:w="0" w:type="dxa"/>
        <w:tblLayout w:type="fixed"/>
        <w:tblCellMar>
          <w:top w:w="28" w:type="dxa"/>
          <w:left w:w="28" w:type="dxa"/>
          <w:bottom w:w="28" w:type="dxa"/>
          <w:right w:w="28" w:type="dxa"/>
        </w:tblCellMar>
      </w:tblPr>
      <w:tblGrid>
        <w:gridCol w:w="981"/>
        <w:gridCol w:w="864"/>
        <w:gridCol w:w="869"/>
        <w:gridCol w:w="211"/>
        <w:gridCol w:w="976"/>
        <w:gridCol w:w="109"/>
        <w:gridCol w:w="109"/>
        <w:gridCol w:w="109"/>
        <w:gridCol w:w="109"/>
        <w:gridCol w:w="211"/>
        <w:gridCol w:w="976"/>
        <w:gridCol w:w="154"/>
      </w:tblGrid>
      <w:tr>
        <w:trPr/>
        <w:tc>
          <w:tcPr>
            <w:tcW w:w="981"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As of December 31, 2024</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in one year or less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260,132 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after one through five years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1,549,468 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1,479,220 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after five through ten years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916,885 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after ten years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25,324 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investments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2,876,343 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2,723,541 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Aging of Unrealized Losses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the investment portfolio had gross unrealized losses of $129.0 million, of which $126.3 million were associated with securities that had been in an unrealized loss position for a period of twelve months or longer. As of December 31, 2024, the investment portfolio had gross unrealized losses of $158.6 million, of which $150.8 million were associated with securities that had been in an unrealized loss position for a period of twelve months or longer. For those securities in an unrealized loss position, the length of time the securities were in such a position is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NMI HOLDINGS, INC.</w:t>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(UNAUDITED)</w:t>
      </w:r>
    </w:p>
    <w:tbl>
      <w:tblPr>
        <w:tblW w:w="11299" w:type="dxa"/>
        <w:jc w:val="left"/>
        <w:tblInd w:w="0" w:type="dxa"/>
        <w:tblLayout w:type="fixed"/>
        <w:tblCellMar>
          <w:top w:w="28" w:type="dxa"/>
          <w:left w:w="28" w:type="dxa"/>
          <w:bottom w:w="28" w:type="dxa"/>
          <w:right w:w="28" w:type="dxa"/>
        </w:tblCellMar>
      </w:tblPr>
      <w:tblGrid>
        <w:gridCol w:w="717"/>
        <w:gridCol w:w="291"/>
        <w:gridCol w:w="193"/>
        <w:gridCol w:w="265"/>
        <w:gridCol w:w="265"/>
        <w:gridCol w:w="266"/>
        <w:gridCol w:w="211"/>
        <w:gridCol w:w="826"/>
        <w:gridCol w:w="109"/>
        <w:gridCol w:w="211"/>
        <w:gridCol w:w="631"/>
        <w:gridCol w:w="109"/>
        <w:gridCol w:w="109"/>
        <w:gridCol w:w="109"/>
        <w:gridCol w:w="109"/>
        <w:gridCol w:w="265"/>
        <w:gridCol w:w="265"/>
        <w:gridCol w:w="266"/>
        <w:gridCol w:w="211"/>
        <w:gridCol w:w="976"/>
        <w:gridCol w:w="109"/>
        <w:gridCol w:w="211"/>
        <w:gridCol w:w="841"/>
        <w:gridCol w:w="109"/>
        <w:gridCol w:w="109"/>
        <w:gridCol w:w="109"/>
        <w:gridCol w:w="109"/>
        <w:gridCol w:w="265"/>
        <w:gridCol w:w="265"/>
        <w:gridCol w:w="266"/>
        <w:gridCol w:w="211"/>
        <w:gridCol w:w="976"/>
        <w:gridCol w:w="109"/>
        <w:gridCol w:w="211"/>
        <w:gridCol w:w="841"/>
        <w:gridCol w:w="154"/>
      </w:tblGrid>
      <w:tr>
        <w:trPr/>
        <w:tc>
          <w:tcPr>
            <w:tcW w:w="71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Less Than Twelve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Twelve Months or Greater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Securities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Securities</w:t>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Securities</w:t>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12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Losses</w:t>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As of March 31, 2025</w:t>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2" w:type="dxa"/>
            <w:gridSpan w:val="30"/>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 In Thousands)</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 and obligations of U.S. government agencies</w:t>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debt securities</w:t>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53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228,876 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461 </w:t>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1,572,463 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(126,266)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509 </w:t>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1,801,339 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(128,976)</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1299" w:type="dxa"/>
        <w:jc w:val="left"/>
        <w:tblInd w:w="0" w:type="dxa"/>
        <w:tblLayout w:type="fixed"/>
        <w:tblCellMar>
          <w:top w:w="28" w:type="dxa"/>
          <w:left w:w="28" w:type="dxa"/>
          <w:bottom w:w="28" w:type="dxa"/>
          <w:right w:w="28" w:type="dxa"/>
        </w:tblCellMar>
      </w:tblPr>
      <w:tblGrid>
        <w:gridCol w:w="664"/>
        <w:gridCol w:w="268"/>
        <w:gridCol w:w="269"/>
        <w:gridCol w:w="265"/>
        <w:gridCol w:w="265"/>
        <w:gridCol w:w="266"/>
        <w:gridCol w:w="211"/>
        <w:gridCol w:w="826"/>
        <w:gridCol w:w="109"/>
        <w:gridCol w:w="211"/>
        <w:gridCol w:w="631"/>
        <w:gridCol w:w="109"/>
        <w:gridCol w:w="109"/>
        <w:gridCol w:w="109"/>
        <w:gridCol w:w="109"/>
        <w:gridCol w:w="265"/>
        <w:gridCol w:w="265"/>
        <w:gridCol w:w="266"/>
        <w:gridCol w:w="211"/>
        <w:gridCol w:w="976"/>
        <w:gridCol w:w="109"/>
        <w:gridCol w:w="211"/>
        <w:gridCol w:w="841"/>
        <w:gridCol w:w="109"/>
        <w:gridCol w:w="109"/>
        <w:gridCol w:w="109"/>
        <w:gridCol w:w="109"/>
        <w:gridCol w:w="265"/>
        <w:gridCol w:w="265"/>
        <w:gridCol w:w="266"/>
        <w:gridCol w:w="211"/>
        <w:gridCol w:w="976"/>
        <w:gridCol w:w="109"/>
        <w:gridCol w:w="211"/>
        <w:gridCol w:w="841"/>
        <w:gridCol w:w="154"/>
      </w:tblGrid>
      <w:tr>
        <w:trPr/>
        <w:tc>
          <w:tcPr>
            <w:tcW w:w="66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Less Than Twelve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Twelve Months or Greater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Securities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Securities</w:t>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Securities</w:t>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12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Losses</w:t>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As of December 31, 2024</w:t>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2" w:type="dxa"/>
            <w:gridSpan w:val="30"/>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 In Thousands)</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 and obligations of U.S. government agencies</w:t>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debt securities</w:t>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1,053,862 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1,419,975 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53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486,314 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474 </w:t>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1,578,701 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(150,774)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572 </w:t>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2,065,015 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(158,622)</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100" w:after="18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    Amounts not identifiable due to rounding.</w:t>
      </w:r>
    </w:p>
    <w:p>
      <w:pPr>
        <w:pStyle w:val="TextBody"/>
        <w:bidi w:val="0"/>
        <w:spacing w:lineRule="auto" w:line="288" w:before="0" w:after="18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Allowance for Credit Losses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and December 31, 2024, we did not recognize an allowance for credit loss for any security in the investment portfolio and we did not record any provision for credit loss for investment securities during the three months ended March 31, 2025 or 2024.</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evaluated the securities in an unrealized loss position as of March 31, 2025, assessing their credit ratings as well as any adverse conditions specifically related to the security. Based upon our assessment of the amount and timing of cash flows to be collected over the remaining life of each instrument, we believe the unrealized losses as of March 31, 2025 are not indicative of the ultimate collectability of the current amortized cost of the securities. Rather, the unrealized losses on securities held as of March 31, 2025 were primarily driven by fluctuations in interest rates, and to a lesser extent, movements in credit spreads following the purchase of those securities.</w:t>
      </w:r>
    </w:p>
    <w:p>
      <w:pPr>
        <w:pStyle w:val="TextBody"/>
        <w:bidi w:val="0"/>
        <w:spacing w:lineRule="auto" w:line="288" w:before="0" w:after="18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Net Investment Income</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components of net investment income:</w:t>
      </w:r>
    </w:p>
    <w:tbl>
      <w:tblPr>
        <w:tblW w:w="5369" w:type="dxa"/>
        <w:jc w:val="left"/>
        <w:tblInd w:w="0" w:type="dxa"/>
        <w:tblLayout w:type="fixed"/>
        <w:tblCellMar>
          <w:top w:w="28" w:type="dxa"/>
          <w:left w:w="28" w:type="dxa"/>
          <w:bottom w:w="28" w:type="dxa"/>
          <w:right w:w="28" w:type="dxa"/>
        </w:tblCellMar>
      </w:tblPr>
      <w:tblGrid>
        <w:gridCol w:w="723"/>
        <w:gridCol w:w="635"/>
        <w:gridCol w:w="637"/>
        <w:gridCol w:w="253"/>
        <w:gridCol w:w="866"/>
        <w:gridCol w:w="131"/>
        <w:gridCol w:w="131"/>
        <w:gridCol w:w="131"/>
        <w:gridCol w:w="131"/>
        <w:gridCol w:w="253"/>
        <w:gridCol w:w="866"/>
        <w:gridCol w:w="131"/>
        <w:gridCol w:w="109"/>
        <w:gridCol w:w="109"/>
        <w:gridCol w:w="109"/>
        <w:gridCol w:w="154"/>
      </w:tblGrid>
      <w:tr>
        <w:trPr/>
        <w:tc>
          <w:tcPr>
            <w:tcW w:w="72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Investment income</w:t>
            </w:r>
            <w:r>
              <w:rPr>
                <w:color w:val="000000"/>
              </w:rPr>
              <w:t xml:space="preserve"> </w:t>
            </w:r>
            <w:r>
              <w:rPr>
                <w:rFonts w:ascii="Times New Roman;sans-serif" w:hAnsi="Times New Roman;sans-serif"/>
                <w:b w:val="false"/>
                <w:color w:val="000000"/>
                <w:sz w:val="13"/>
              </w:rPr>
              <w:t>(1)</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24,035 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19,697 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expenses</w:t>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income</w:t>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23,686 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19,436 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0" w:after="18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    Includes interest income recognized on cash and cash equivalents of $0.9 million and $1.1 million during the three months ended March 31, 2025 and 2024, respectively.</w:t>
      </w:r>
    </w:p>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NMI HOLDINGS, INC.</w:t>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(UNAUDITED)</w:t>
      </w:r>
    </w:p>
    <w:p>
      <w:pPr>
        <w:pStyle w:val="TextBody"/>
        <w:bidi w:val="0"/>
        <w:spacing w:before="180" w:after="180"/>
        <w:jc w:val="both"/>
        <w:rPr/>
      </w:pPr>
      <w:r>
        <w:rPr/>
      </w:r>
    </w:p>
    <w:p>
      <w:pPr>
        <w:pStyle w:val="TextBody"/>
        <w:bidi w:val="0"/>
        <w:spacing w:lineRule="auto" w:line="288" w:before="18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components of net realized investment gains:</w:t>
      </w:r>
    </w:p>
    <w:tbl>
      <w:tblPr>
        <w:tblW w:w="6105" w:type="dxa"/>
        <w:jc w:val="left"/>
        <w:tblInd w:w="0" w:type="dxa"/>
        <w:tblLayout w:type="fixed"/>
        <w:tblCellMar>
          <w:top w:w="28" w:type="dxa"/>
          <w:left w:w="28" w:type="dxa"/>
          <w:bottom w:w="28" w:type="dxa"/>
          <w:right w:w="28" w:type="dxa"/>
        </w:tblCellMar>
      </w:tblPr>
      <w:tblGrid>
        <w:gridCol w:w="990"/>
        <w:gridCol w:w="868"/>
        <w:gridCol w:w="872"/>
        <w:gridCol w:w="352"/>
        <w:gridCol w:w="602"/>
        <w:gridCol w:w="182"/>
        <w:gridCol w:w="182"/>
        <w:gridCol w:w="182"/>
        <w:gridCol w:w="182"/>
        <w:gridCol w:w="352"/>
        <w:gridCol w:w="678"/>
        <w:gridCol w:w="182"/>
        <w:gridCol w:w="109"/>
        <w:gridCol w:w="109"/>
        <w:gridCol w:w="109"/>
        <w:gridCol w:w="154"/>
      </w:tblGrid>
      <w:tr>
        <w:trPr/>
        <w:tc>
          <w:tcPr>
            <w:tcW w:w="990"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5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realized investment gains</w:t>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realized investment losses</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realized investment gains</w:t>
            </w:r>
          </w:p>
        </w:tc>
        <w:tc>
          <w:tcPr>
            <w:tcW w:w="3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3. Fair Value of Financial Instruments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describes the valuation techniques used by us to determine the fair value of our financial instruments: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established a fair value hierarchy by prioritizing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this standard are described below:</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Level 1 – Fair value measurements based on quoted prices in active markets that we have the ability to access for identical assets or liabilities. Market price data generally is obtained from exchange or dealer markets. We do not adjust the quoted price for such instruments.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Level 2 – Fair value measurements based on inputs other than quoted prices included in Level 1 that are observable for the asset or liability, either directly or indirectly. Level 2 inputs include quoted prices for similar assets and liabilities in active markets, quoted prices for identical or similar assets or liabilities in markets that are not active, and inputs other than quoted prices that are observable for the asset or liability, such as interest rates and yield curves that are observable at commonly quoted intervals.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Level 3 – Fair value measurements based on valuation techniques that use significant inputs that are unobservable. Both observable and unobservable inputs may be used to determine the fair values of positions classified in Level 3. The circumstances for using these measurements include those in which there is little, if any, market activity for the asset or liability. Therefore, we must make certain assumptions, which require significant management judgment or estimation about the inputs a hypothetical market participant would use to value that asset or liability.</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certain cases, the inputs used to measure fair value may fall into different levels of the fair value hierarchy. In such cases, the level in the fair value hierarchy is determined based on the lowest level input that is significant to the fair value measurement in its entirety.</w:t>
      </w:r>
    </w:p>
    <w:p>
      <w:pPr>
        <w:pStyle w:val="TextBody"/>
        <w:bidi w:val="0"/>
        <w:spacing w:lineRule="auto" w:line="288" w:before="0" w:after="18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Assets Classified as Level 1 and Level 2</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To determine the fair value of securities available-for-sale in Level 1 and Level 2 of the fair value hierarchy, independent pricing sources have been utilized. One price is provided per security based on observable market data. To ensure securities are appropriately classified in the fair value hierarchy, we review the pricing techniques and methodologies of the independent pricing sources and believe that their policies adequately consider market activity, either based on specific transactions for the issue valued or based on modeling of securities with similar credit quality, duration, yield and structure that were recently traded. A variety of inputs are utilized by the independent pricing sources including benchmark yields, reported trades, non-binding broker/dealer quotes, issuer spreads, two sided markets, benchmark securities, bids, offers and reference data including data published in market research publications. Inputs may be weighted differently for any security, and not all inputs are used for each security evaluation. Market indicators, industry and economic events are also considered. This information is evaluated using a multidimensional pricing model. Quality controls are performed by the independent pricing sources throughout this process, which include reviewing tolerance reports, trading information and data changes, and directional moves compared to market moves. This model combines all inputs to arrive at a value assigned to each security. We have not made any adjustments to the prices obtained from the independent pricing sources.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NMI HOLDINGS, INC.</w:t>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(UNAUDITED)</w:t>
      </w:r>
    </w:p>
    <w:p>
      <w:pPr>
        <w:pStyle w:val="TextBody"/>
        <w:bidi w:val="0"/>
        <w:spacing w:before="0" w:after="180"/>
        <w:ind w:left="0" w:right="0" w:firstLine="720"/>
        <w:jc w:val="both"/>
        <w:rPr/>
      </w:pPr>
      <w:r>
        <w:rPr/>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the level within the fair value hierarchy at which our financial instruments were measured:</w:t>
      </w:r>
    </w:p>
    <w:tbl>
      <w:tblPr>
        <w:tblW w:w="10205" w:type="dxa"/>
        <w:jc w:val="left"/>
        <w:tblInd w:w="0" w:type="dxa"/>
        <w:tblLayout w:type="fixed"/>
        <w:tblCellMar>
          <w:top w:w="28" w:type="dxa"/>
          <w:left w:w="28" w:type="dxa"/>
          <w:bottom w:w="28" w:type="dxa"/>
          <w:right w:w="28" w:type="dxa"/>
        </w:tblCellMar>
      </w:tblPr>
      <w:tblGrid>
        <w:gridCol w:w="1574"/>
        <w:gridCol w:w="1244"/>
        <w:gridCol w:w="1229"/>
        <w:gridCol w:w="250"/>
        <w:gridCol w:w="981"/>
        <w:gridCol w:w="129"/>
        <w:gridCol w:w="109"/>
        <w:gridCol w:w="109"/>
        <w:gridCol w:w="109"/>
        <w:gridCol w:w="224"/>
        <w:gridCol w:w="1037"/>
        <w:gridCol w:w="115"/>
        <w:gridCol w:w="109"/>
        <w:gridCol w:w="109"/>
        <w:gridCol w:w="109"/>
        <w:gridCol w:w="318"/>
        <w:gridCol w:w="612"/>
        <w:gridCol w:w="166"/>
        <w:gridCol w:w="109"/>
        <w:gridCol w:w="109"/>
        <w:gridCol w:w="109"/>
        <w:gridCol w:w="211"/>
        <w:gridCol w:w="976"/>
        <w:gridCol w:w="158"/>
      </w:tblGrid>
      <w:tr>
        <w:trPr/>
        <w:tc>
          <w:tcPr>
            <w:tcW w:w="157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Measurements Using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Quoted Prices in</w:t>
              <w:br/>
              <w:t>Active Markets for</w:t>
              <w:br/>
              <w:t>Identical Assets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Other</w:t>
              <w:br/>
              <w:t>Observable Inputs</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w:t>
              <w:br/>
              <w:t>Unobservable</w:t>
              <w:br/>
              <w:t>Inputs</w:t>
              <w:b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40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 of March 31, 2025</w:t>
            </w:r>
          </w:p>
        </w:tc>
        <w:tc>
          <w:tcPr>
            <w:tcW w:w="615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4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 and obligations of U.S. government agencies</w:t>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115,315 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115,315 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debt securities</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632,114 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632,114 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1,995,068 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1,995,068 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38,729 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38,729 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4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short-term investments</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102,230 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102,230 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217,545 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2,665,911 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2,883,456 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404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539"/>
        <w:gridCol w:w="1252"/>
        <w:gridCol w:w="1256"/>
        <w:gridCol w:w="250"/>
        <w:gridCol w:w="981"/>
        <w:gridCol w:w="129"/>
        <w:gridCol w:w="109"/>
        <w:gridCol w:w="109"/>
        <w:gridCol w:w="109"/>
        <w:gridCol w:w="224"/>
        <w:gridCol w:w="1037"/>
        <w:gridCol w:w="115"/>
        <w:gridCol w:w="109"/>
        <w:gridCol w:w="109"/>
        <w:gridCol w:w="109"/>
        <w:gridCol w:w="318"/>
        <w:gridCol w:w="612"/>
        <w:gridCol w:w="166"/>
        <w:gridCol w:w="109"/>
        <w:gridCol w:w="109"/>
        <w:gridCol w:w="109"/>
        <w:gridCol w:w="211"/>
        <w:gridCol w:w="976"/>
        <w:gridCol w:w="158"/>
      </w:tblGrid>
      <w:tr>
        <w:trPr/>
        <w:tc>
          <w:tcPr>
            <w:tcW w:w="1539"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Measurements Using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Quoted Prices in</w:t>
              <w:br/>
              <w:t>Active Markets for</w:t>
              <w:br/>
              <w:t>Identical Assets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Other</w:t>
              <w:br/>
              <w:t>Observable Inputs</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w:t>
              <w:br/>
              <w:t>Unobservable</w:t>
              <w:br/>
              <w:t>Inputs</w:t>
              <w:b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40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 of December 31, 2024</w:t>
            </w:r>
          </w:p>
        </w:tc>
        <w:tc>
          <w:tcPr>
            <w:tcW w:w="615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4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 and obligations of U.S. government agencies</w:t>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116,060 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116,060 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debt securities</w:t>
            </w:r>
          </w:p>
        </w:tc>
        <w:tc>
          <w:tcPr>
            <w:tcW w:w="12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635,245 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635,245 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1,847,640 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1,847,640 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12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41,980 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41,980 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4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short-term investments</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136,924 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136,924 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5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252,984 </w:t>
            </w:r>
          </w:p>
        </w:tc>
        <w:tc>
          <w:tcPr>
            <w:tcW w:w="12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2,524,865 </w:t>
            </w:r>
          </w:p>
        </w:tc>
        <w:tc>
          <w:tcPr>
            <w:tcW w:w="1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2,777,849 </w:t>
            </w:r>
          </w:p>
        </w:tc>
        <w:tc>
          <w:tcPr>
            <w:tcW w:w="15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404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transfers between Level 2 and Level 3 of the fair value hierarchy during the three months ended March 31, 2025 or the year ended December 31, 2024.</w:t>
      </w:r>
    </w:p>
    <w:p>
      <w:pPr>
        <w:pStyle w:val="TextBody"/>
        <w:bidi w:val="0"/>
        <w:spacing w:lineRule="auto" w:line="288" w:before="0" w:after="18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Financial Instruments Not Measured at Fair Value</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May 21, 2024, we issued $425 million aggregate principal amount of senior unsecured notes that mature on August 15, 2029 (the 2024 Notes). Proceeds from the 2024 Notes offering were primarily used to repay our then outstanding $400 million senior secured notes. At March 31, 2025, the 2024 Notes were carried at a cost of $415.6 million, net of unamortized debt issuance costs and an original issue discount totaling $9.4 million, and had a fair value of $431.3 million as assessed under our Level 2 hierarchy. At December 31, 2024, the 2024 Notes were carried at a cost of $415.1 million, net of unamortized debt issuance costs and an original issue discount totaling $9.9 million, and had a fair value of $429.6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ans-serif" w:hAnsi="Times New Roman;sans-serif"/>
          <w:b/>
          <w:color w:val="000000"/>
          <w:sz w:val="20"/>
        </w:rPr>
      </w:pPr>
      <w:r>
        <w:rPr>
          <w:rFonts w:ascii="Times New Roman;sans-serif" w:hAnsi="Times New Roman;sans-serif"/>
          <w:b/>
          <w:color w:val="000000"/>
          <w:sz w:val="20"/>
        </w:rPr>
        <w:t>4. Debt</w:t>
      </w:r>
    </w:p>
    <w:p>
      <w:pPr>
        <w:pStyle w:val="TextBody"/>
        <w:bidi w:val="0"/>
        <w:spacing w:lineRule="auto" w:line="288" w:before="0" w:after="180"/>
        <w:ind w:left="0" w:right="0" w:firstLine="72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Senior Unsecured Notes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March 31, 2025, we had $425 million aggregate principal amount of senior unsecured notes outstanding. The 2024 Notes were issued pursuant to an indenture dated May 21, 2024 and bear interest at a rate of 6.00%, payable semi-annually on February 15 and August 15.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2024 Notes mature on August 15, 2029. We may elect to redeem the 2024 Notes in whole or in part at any time prior to July 15, 2029 at a price equal to the greater of (1) the aggregate principal balance outstanding plus the present value of all future interest payments due through July 15, 2029, and (2) the aggregate principal balance due plus any accrued and unpaid interest. We may elect to redeem the 2024 Notes in whole or in part at any time on or after July 15, 2029 at a price equal to 100%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NMI HOLDINGS, INC.</w:t>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(UNAUDITED)</w:t>
      </w:r>
    </w:p>
    <w:p>
      <w:pPr>
        <w:pStyle w:val="TextBody"/>
        <w:bidi w:val="0"/>
        <w:spacing w:lineRule="auto" w:line="288" w:before="0" w:after="180"/>
        <w:jc w:val="both"/>
        <w:rPr/>
      </w:pPr>
      <w:r>
        <w:rPr>
          <w:rFonts w:ascii="Times New Roman;sans-serif" w:hAnsi="Times New Roman;sans-serif"/>
          <w:b w:val="false"/>
          <w:color w:val="000000"/>
          <w:sz w:val="20"/>
        </w:rPr>
        <w:t>of the aggregate principal amount of the 2024 Notes to be redeemed plus accrued and unpaid interest thereon</w:t>
      </w:r>
      <w:r>
        <w:rPr>
          <w:rFonts w:ascii="Times New Roman;sans-serif" w:hAnsi="Times New Roman;sans-serif"/>
          <w:b w:val="false"/>
          <w:color w:val="000000"/>
          <w:sz w:val="24"/>
        </w:rPr>
        <w:t>.</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2024 Notes offering, we recorded capitalized debt issuance costs and an original issue discount of $10.9 million. Such amount will be amortized over the contractual life of the 2024 Notes using the effective interest method and included in interest expense. The effective interest rate on the 2024 Notes is 6.583%. At March 31, 2025 and December 31, 2024, $9.4 million and $9.9 million, respectively, of unamortized debt issuance costs and original issue discounts remained.</w:t>
      </w:r>
    </w:p>
    <w:p>
      <w:pPr>
        <w:pStyle w:val="TextBody"/>
        <w:bidi w:val="0"/>
        <w:spacing w:lineRule="auto" w:line="288" w:before="0" w:after="180"/>
        <w:ind w:left="0" w:right="0" w:firstLine="720"/>
        <w:jc w:val="both"/>
        <w:rPr/>
      </w:pPr>
      <w:r>
        <w:rPr>
          <w:rFonts w:ascii="Times New Roman;sans-serif" w:hAnsi="Times New Roman;sans-serif"/>
          <w:b w:val="false"/>
          <w:color w:val="000000"/>
          <w:sz w:val="20"/>
        </w:rPr>
        <w:t xml:space="preserve">At March 31, 2025 and December 31, 2024, $3.3 million and $15.6 million, respectively, of accrued and unpaid interest on the 2024 Notes was included in </w:t>
      </w:r>
      <w:r>
        <w:rPr>
          <w:color w:val="000000"/>
        </w:rPr>
        <w:t>“</w:t>
      </w:r>
      <w:r>
        <w:rPr>
          <w:rFonts w:ascii="Times New Roman;sans-serif" w:hAnsi="Times New Roman;sans-serif"/>
          <w:b w:val="false"/>
          <w:i/>
          <w:color w:val="000000"/>
          <w:sz w:val="20"/>
        </w:rPr>
        <w:t>Accounts Payable and Accrued Expenses”</w:t>
      </w:r>
      <w:r>
        <w:rPr>
          <w:color w:val="000000"/>
        </w:rPr>
        <w:t xml:space="preserve"> </w:t>
      </w:r>
      <w:r>
        <w:rPr>
          <w:rFonts w:ascii="Times New Roman;sans-serif" w:hAnsi="Times New Roman;sans-serif"/>
          <w:b w:val="false"/>
          <w:color w:val="000000"/>
          <w:sz w:val="20"/>
        </w:rPr>
        <w:t>on our condensed consolidated balance sheets.</w:t>
      </w:r>
    </w:p>
    <w:p>
      <w:pPr>
        <w:pStyle w:val="TextBody"/>
        <w:bidi w:val="0"/>
        <w:spacing w:lineRule="auto" w:line="288" w:before="0" w:after="180"/>
        <w:jc w:val="both"/>
        <w:rPr/>
      </w:pPr>
      <w:r>
        <w:rPr>
          <w:color w:val="000000"/>
        </w:rPr>
        <w:t>    </w:t>
      </w:r>
      <w:r>
        <w:rPr>
          <w:rFonts w:ascii="Times New Roman;sans-serif" w:hAnsi="Times New Roman;sans-serif"/>
          <w:b w:val="false"/>
          <w:i/>
          <w:color w:val="000000"/>
          <w:sz w:val="20"/>
        </w:rPr>
        <w:t>Revolving Credit Facility</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April 29, 2024, we entered into a new $250 million five-year unsecured revolving credit facility (the 2024 Revolving Credit Facility) to replace our then outstanding $250 million four-year secured revolving credit facility (the 2021 Revolving Credit Facility). The 2024 Revolving Credit Facility matures on May 21, 2029. Borrowings under the 2024 Revolving Credit Facility may be used for general corporate purposes, including to support growth, new business production and operations, and accrue interest at a variable rate equal to, at our discretion, (i) a Base Rate (as defined in the 2024 Revolving Credit Facility) subject to a floor of 1.00% per annum plus a margin of 0.375% to 1.875% per annum, or (ii) the Adjusted Term Secured Overnight Financing Rate (SOFR, as defined in the 2024 Revolving Credit Facility) plus a margin of 1.375% to 2.875% per annum, with the margin in each of (i) or (ii) based on our applicable corporate credit rating at the time. As of March 31, 2025 and December 31, 2024, no amounts were drawn under the 2024 Revolving Credit Facility.</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Under the 2024 Revolving Credit Facility, we are required to pay a quarterly commitment fee on the average daily undrawn amount of 0.175% to 0.525%, based on the applicable corporate credit rating at the time. As of March 31, 2025, the applicable commitment fee was 0.225%. For the three months ended March 31, 2025, we recorded $0.1 million of commitment fees in interest expense.</w:t>
      </w:r>
    </w:p>
    <w:p>
      <w:pPr>
        <w:pStyle w:val="TextBody"/>
        <w:bidi w:val="0"/>
        <w:spacing w:lineRule="auto" w:line="288" w:before="0" w:after="180"/>
        <w:ind w:left="0" w:right="0" w:firstLine="720"/>
        <w:jc w:val="both"/>
        <w:rPr/>
      </w:pPr>
      <w:r>
        <w:rPr>
          <w:rFonts w:ascii="Times New Roman;sans-serif" w:hAnsi="Times New Roman;sans-serif"/>
          <w:b w:val="false"/>
          <w:color w:val="000000"/>
          <w:sz w:val="20"/>
        </w:rPr>
        <w:t xml:space="preserve">We incurred debt issuance costs of $2.1 million in connection with the 2024 Revolving Credit Facility and had $0.6 million of unamortized debt issuance costs associated with the 2021 Revolving Credit Facility remaining at the time of its replacement. Combined unamortized debt issuance costs are amortized through interest expense on a straight-line basis over the contractual life of the 2024 Revolving Credit Facility. At March 31, 2025 and December 31, 2024, remaining unamortized deferred debt issuance costs of $2.2 million and $2.3 million, respectively, were recorded in </w:t>
      </w:r>
      <w:r>
        <w:rPr>
          <w:color w:val="000000"/>
        </w:rPr>
        <w:t>“</w:t>
      </w:r>
      <w:r>
        <w:rPr>
          <w:rFonts w:ascii="Times New Roman;sans-serif" w:hAnsi="Times New Roman;sans-serif"/>
          <w:b w:val="false"/>
          <w:i/>
          <w:color w:val="000000"/>
          <w:sz w:val="20"/>
        </w:rPr>
        <w:t xml:space="preserve">Other Assets” </w:t>
      </w:r>
      <w:r>
        <w:rPr>
          <w:rFonts w:ascii="Times New Roman;sans-serif" w:hAnsi="Times New Roman;sans-serif"/>
          <w:b w:val="false"/>
          <w:color w:val="000000"/>
          <w:sz w:val="20"/>
        </w:rPr>
        <w:t>on our condensed consolidated balance sheets.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Under the 2024 Revolving Credit Facility we are subject to certain covenants, including a maximum debt-to-total capitalization ratio of 35%, a minimum consolidated net worth requirement (as defined therein), and a requirement to maintain compliance with the financial standards prescribed by the private mortgage insurer eligibility requirements (PMIERs). We were in compliance with all covenants at March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5. Reinsurance</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enter into third-party reinsurance transactions to actively manage our risk, ensure compliance with PMIERs, state regulatory and other applicable capital requirements, (respectively, as defined therein), and support the growth of our business. The Wisconsin Office of the Commissioner of Insurance (Wisconsin OCI) has approved and the GSEs have indicated their non-objection to all such transactions (subject to certain conditions and ongoing review).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NMI HOLDINGS, INC.</w:t>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(UNAUDITED)</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effect of our reinsurance agreements on premiums written and earned is as follows:</w:t>
      </w:r>
    </w:p>
    <w:tbl>
      <w:tblPr>
        <w:tblW w:w="5233" w:type="dxa"/>
        <w:jc w:val="left"/>
        <w:tblInd w:w="0" w:type="dxa"/>
        <w:tblLayout w:type="fixed"/>
        <w:tblCellMar>
          <w:top w:w="28" w:type="dxa"/>
          <w:left w:w="28" w:type="dxa"/>
          <w:bottom w:w="28" w:type="dxa"/>
          <w:right w:w="28" w:type="dxa"/>
        </w:tblCellMar>
      </w:tblPr>
      <w:tblGrid>
        <w:gridCol w:w="674"/>
        <w:gridCol w:w="591"/>
        <w:gridCol w:w="595"/>
        <w:gridCol w:w="233"/>
        <w:gridCol w:w="913"/>
        <w:gridCol w:w="120"/>
        <w:gridCol w:w="120"/>
        <w:gridCol w:w="120"/>
        <w:gridCol w:w="120"/>
        <w:gridCol w:w="233"/>
        <w:gridCol w:w="913"/>
        <w:gridCol w:w="120"/>
        <w:gridCol w:w="109"/>
        <w:gridCol w:w="109"/>
        <w:gridCol w:w="109"/>
        <w:gridCol w:w="154"/>
      </w:tblGrid>
      <w:tr>
        <w:trPr/>
        <w:tc>
          <w:tcPr>
            <w:tcW w:w="67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premiums written</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w:t>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174,415 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163,207 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Ceded </w:t>
            </w:r>
            <w:r>
              <w:rPr>
                <w:rFonts w:ascii="Times New Roman;sans-serif" w:hAnsi="Times New Roman;sans-serif"/>
                <w:b w:val="false"/>
                <w:color w:val="000000"/>
                <w:sz w:val="13"/>
              </w:rPr>
              <w:t>(1)</w:t>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(31,029)</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(32,962)</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premiums written</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143,386 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130,245 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premiums earned</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w:t>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180,456 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169,718 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Ceded </w:t>
            </w:r>
            <w:r>
              <w:rPr>
                <w:rFonts w:ascii="Times New Roman;sans-serif" w:hAnsi="Times New Roman;sans-serif"/>
                <w:b w:val="false"/>
                <w:color w:val="000000"/>
                <w:sz w:val="13"/>
              </w:rPr>
              <w:t>(1)</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(31,090)</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(33,061)</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premiums earned</w:t>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149,366 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136,657 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    Net of profit commission.</w:t>
      </w:r>
    </w:p>
    <w:p>
      <w:pPr>
        <w:pStyle w:val="TextBody"/>
        <w:bidi w:val="0"/>
        <w:spacing w:lineRule="auto" w:line="288" w:before="0" w:after="18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Quota Share Reinsurance</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NMIC is party to nine quota share reinsurance treaties – the 2016 QSR Transaction, effective September 1, 2016 and as modified January 1, 2025, the 2018 QSR Transaction, effective January 1, 2018 and as modified January 1, 2025, the 2020 QSR Transaction, effective April 1, 2020 and as amended January 1, 2024, the 2021 QSR Transaction, effective January 1, 2021 and as modified January 1, 2025, the 2022 QSR Transaction, effective October 1, 2021, the 2022 Seasoned QSR Transaction, effective July 1, 2022, the 2023 QSR Transaction, effective January 1, 2023, the 2024 QSR Transaction, effective January 1, 2024, and the 2025 QSR Transaction, effective January 1, 2025 – which we refer to collectively as the QSR Transactions. Under each of the QSR Transactions, NMIC cedes a proportional share of its risk on eligible policies to panels of third-party reinsurance providers. Each of the third-party reinsurance providers that is party to the QSR Transactions has an insurer financial strength rating of A- or better by S&amp;P, A.M. Best or both.</w:t>
      </w:r>
    </w:p>
    <w:p>
      <w:pPr>
        <w:pStyle w:val="TextBody"/>
        <w:bidi w:val="0"/>
        <w:spacing w:lineRule="auto" w:line="288" w:before="0" w:after="180"/>
        <w:ind w:left="0" w:right="0" w:firstLine="720"/>
        <w:jc w:val="both"/>
        <w:rPr/>
      </w:pPr>
      <w:r>
        <w:rPr>
          <w:rFonts w:ascii="Times New Roman;sans-serif" w:hAnsi="Times New Roman;sans-serif"/>
          <w:b w:val="false"/>
          <w:color w:val="000000"/>
          <w:sz w:val="20"/>
        </w:rPr>
        <w:t xml:space="preserve">Under the terms of the 2016 QSR Transaction, NMIC cedes premiums written related to 20% of the risk on eligible primary policies written for all periods through December 31, 2017. </w:t>
      </w:r>
      <w:r>
        <w:rPr>
          <w:rFonts w:ascii="Times New Roman;sans-serif" w:hAnsi="Times New Roman;sans-serif"/>
          <w:b w:val="false"/>
          <w:color w:val="212529"/>
          <w:sz w:val="20"/>
        </w:rPr>
        <w:t>The 2016 QSR Transaction is scheduled to terminate on December 31, 2027. NMIC has the option, based on certain conditions and subject to a termination fee, to terminate the agreement as of December 31, 2020, or at the end of any calendar quarter thereafter, which could result in NMIC recapturing the related risk.</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Under the terms of the 2018 QSR Transaction, NMIC cedes premiums earned related to 24% of the risk on eligible policies written in 2018 and 20% of the risk on eligible policies written in 2019. The 2018 QSR Transaction is scheduled to terminate on December 31, 2029. NMIC has the option, based on certain conditions and subject to a termination fee, to terminate the agreement as of December 31, 2022, or at the end of any calendar quarter thereafter, which could result in NMIC recapturing the related risk.</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Under the terms of the 2020 QSR Transaction, NMIC cedes premiums earned related to 21% of the risk on eligible policies written between April 1, 2020 and December 31, 2020. The 2020 QSR Transaction is scheduled to terminate on December 31, 2030. NMIC has the option, based on certain conditions and subject to a termination fee, to terminate the agreement as of December 31, 2025, or at the end of any calendar quarter thereafter, which could result in NMIC recapturing the related risk.</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terms of the 2021 QSR Transaction, NMIC cedes premiums earned related to 22% of the risk on eligible policies written from January 1, 2021 to October 30, 2021. The 2021 QSR Transaction is scheduled to terminate on December 31, 2031. NMIC has the option, based on certain conditions and subject to a termination fee, to terminate the agreement as of December 31, 2024, or at the end of any calendar quarter thereafter, which could result in NMIC recapturing the related risk.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Under the terms of the 2022 QSR Transaction, NMIC cedes premiums earned related to 20% of the risk on eligible policies written primarily between October 30, 2021 and December 31, 2022. The 2022 QSR Transaction is scheduled to terminate on December 31, 2032. NMIC has the option, based on certain conditions and subject to a termination fee, to terminate the agreement as of December 31, 2024 or semi-annually thereafter, which could result in NMIC recapturing the related risk.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NMI HOLDINGS, INC.</w:t>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(UNAUDITED)</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Under the terms of the 2022 Seasoned QSR Transaction, NMIC cedes premiums earned related to 95% of the net risk on eligible policies primarily for a seasoned pool of mortgage insurance policies originated between January 1, 2013 to December 31, 2016 and July 1, 2019 to March 31, 2020, that had previously been covered under the retired Oaktown Re Ltd. and Oaktown Re IV Ltd. reinsurance transactions, after the consideration of coverage provided by other QSR Transactions. The 2022 Seasoned QSR Transaction is scheduled to terminate on June 30, 2032. NMIC has the option, based on certain conditions, to terminate the agreement as of June 30, 2025 or quarterly thereafter through December 31, 2027 with the payment of a termination fee, and as of March 31, 2028 or quarterly thereafter without the payment of a termination fee. Such termination could result in NMIC recapturing the related risk.</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terms of the 2023 QSR Transaction, NMIC cedes premiums earned related to 20% of the risk on eligible policies written in 2023. The 2023 QSR Transaction is scheduled to terminate on December 31, 2033. NMIC has the option, based on certain conditions and subject to a termination fee, to terminate the agreement as of December 31, 2025 or semi-annually thereafter, which could result in NMIC recapturing the related risk. </w:t>
      </w:r>
    </w:p>
    <w:p>
      <w:pPr>
        <w:pStyle w:val="TextBody"/>
        <w:bidi w:val="0"/>
        <w:spacing w:lineRule="auto" w:line="26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Under the terms of the 2024 QSR Transaction, NMIC cedes premiums earned related to 20% of the risk on eligible policies written in 2024. The 2024 QSR Transaction is scheduled to terminate on December 31, 2034. NMIC has the option, based on certain conditions and subject to a termination fee, to terminate the agreement as of December 31, 2027, or at the end of any calendar quarter thereafter, which could result in NMIC recapturing the related risk.</w:t>
      </w:r>
    </w:p>
    <w:p>
      <w:pPr>
        <w:pStyle w:val="TextBody"/>
        <w:bidi w:val="0"/>
        <w:spacing w:lineRule="auto" w:line="268" w:before="0" w:after="198"/>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Under the terms of the 2025 QSR Transaction, NMIC cedes premiums earned related to 20% of the risk on eligible policies written in 2025. The 2025 QSR Transaction is scheduled to terminate on December 31, 2035. NMIC has the option, based on certain conditions and subject to a termination fee, to terminate the agreement as of December 31, 2027, or at the end of any calendar quarter thereafter, which could result in NMIC recapturing the related risk. NMIC also holds a clean-up call that provides for termination of the agreement at its election at any time on or after the date the risk on remaining covered policies falls to 10% or less of the risk on covered policies at December 31, 2025.</w:t>
      </w:r>
    </w:p>
    <w:p>
      <w:pPr>
        <w:pStyle w:val="TextBody"/>
        <w:bidi w:val="0"/>
        <w:spacing w:lineRule="auto" w:line="268" w:before="0" w:after="198"/>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Concurrent with the placement of the 2025 QSR Transaction, NMIC entered into two additional sequential quota share reinsurance treaties that will provide coverage for mortgage insurance policies to be written in 2026 and 2027 (the 2026 QSR Transaction and 2027 QSR Transaction). Under the terms of the 2026 QSR Transaction, NMIC will cede premiums earned related to 20% of the risk on eligible policies written between January 1, 2026 and December 31, 2026. Under the terms of the 2027 QSR Transaction, NMIC will cede premiums earned related to 12% of the risk on eligible policies written between January 1, 2027 and December 31, 2027.</w:t>
      </w:r>
    </w:p>
    <w:p>
      <w:pPr>
        <w:pStyle w:val="TextBody"/>
        <w:bidi w:val="0"/>
        <w:spacing w:lineRule="auto" w:line="288" w:before="0" w:after="180"/>
        <w:ind w:left="0" w:right="0" w:firstLine="720"/>
        <w:jc w:val="both"/>
        <w:rPr/>
      </w:pPr>
      <w:r>
        <w:rPr>
          <w:rFonts w:ascii="Times New Roman;sans-serif" w:hAnsi="Times New Roman;sans-serif"/>
          <w:b w:val="false"/>
          <w:color w:val="000000"/>
          <w:sz w:val="20"/>
        </w:rPr>
        <w:t>NMIC may terminate any or all of the QSR Transactions without penalty if, due to a change in PMIERs requirements, it is no longer able to take full PMIERs asset credit for the risk-in-force (RIF) ceded under the respective agreements. Additionally, under the terms of the QSR Transactions, NMIC may elect to selectively terminate its engagement with individual reinsurers on a run-off basis (</w:t>
      </w:r>
      <w:r>
        <w:rPr>
          <w:rFonts w:ascii="Times New Roman;sans-serif" w:hAnsi="Times New Roman;sans-serif"/>
          <w:b w:val="false"/>
          <w:i/>
          <w:color w:val="000000"/>
          <w:sz w:val="20"/>
        </w:rPr>
        <w:t>i.e.</w:t>
      </w:r>
      <w:r>
        <w:rPr>
          <w:rFonts w:ascii="Times New Roman;sans-serif" w:hAnsi="Times New Roman;sans-serif"/>
          <w:b w:val="false"/>
          <w:color w:val="000000"/>
          <w:sz w:val="20"/>
        </w:rPr>
        <w:t>, reinsurers continue providing coverage on all risk ceded prior to the termination date, with no new cessions going forward) or cut-off basis (</w:t>
      </w:r>
      <w:r>
        <w:rPr>
          <w:rFonts w:ascii="Times New Roman;sans-serif" w:hAnsi="Times New Roman;sans-serif"/>
          <w:b w:val="false"/>
          <w:i/>
          <w:color w:val="000000"/>
          <w:sz w:val="20"/>
        </w:rPr>
        <w:t>i.e.</w:t>
      </w:r>
      <w:r>
        <w:rPr>
          <w:rFonts w:ascii="Times New Roman;sans-serif" w:hAnsi="Times New Roman;sans-serif"/>
          <w:b w:val="false"/>
          <w:color w:val="000000"/>
          <w:sz w:val="20"/>
        </w:rPr>
        <w:t>, the reinsurance arrangement is completely terminated with NMIC recapturing all previously ceded risk) under certain circumstances. Such selective termination rights arise when, among other reasons, a reinsurer experiences a deterioration in its capital position below a prescribed threshold and/or a reinsurer breaches (and fails to cure) its collateral posting obligations under the relevant agreement.</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amounts related to the QSR Transactions:</w:t>
      </w:r>
    </w:p>
    <w:tbl>
      <w:tblPr>
        <w:tblW w:w="6445" w:type="dxa"/>
        <w:jc w:val="left"/>
        <w:tblInd w:w="0" w:type="dxa"/>
        <w:tblLayout w:type="fixed"/>
        <w:tblCellMar>
          <w:top w:w="28" w:type="dxa"/>
          <w:left w:w="28" w:type="dxa"/>
          <w:bottom w:w="28" w:type="dxa"/>
          <w:right w:w="28" w:type="dxa"/>
        </w:tblCellMar>
      </w:tblPr>
      <w:tblGrid>
        <w:gridCol w:w="1026"/>
        <w:gridCol w:w="903"/>
        <w:gridCol w:w="906"/>
        <w:gridCol w:w="211"/>
        <w:gridCol w:w="1081"/>
        <w:gridCol w:w="109"/>
        <w:gridCol w:w="109"/>
        <w:gridCol w:w="109"/>
        <w:gridCol w:w="109"/>
        <w:gridCol w:w="211"/>
        <w:gridCol w:w="1081"/>
        <w:gridCol w:w="109"/>
        <w:gridCol w:w="109"/>
        <w:gridCol w:w="109"/>
        <w:gridCol w:w="109"/>
        <w:gridCol w:w="154"/>
      </w:tblGrid>
      <w:tr>
        <w:trPr/>
        <w:tc>
          <w:tcPr>
            <w:tcW w:w="102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and for the 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Ceded risk-in-force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12,888,870 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12,669,207 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Ceded premiums earned</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Ceded claims and claim expenses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Ceding commission earned</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Profit commission</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firstLine="720"/>
        <w:jc w:val="both"/>
        <w:rPr/>
      </w:pPr>
      <w:r>
        <w:rPr/>
      </w:r>
    </w:p>
    <w:p>
      <w:pPr>
        <w:pStyle w:val="TextBody"/>
        <w:bidi w:val="0"/>
        <w:spacing w:lineRule="auto" w:line="288" w:before="0" w:after="180"/>
        <w:ind w:left="0" w:right="0" w:firstLine="720"/>
        <w:jc w:val="both"/>
        <w:rPr/>
      </w:pPr>
      <w:r>
        <w:rPr>
          <w:rFonts w:ascii="Times New Roman;sans-serif" w:hAnsi="Times New Roman;sans-serif"/>
          <w:b w:val="false"/>
          <w:color w:val="000000"/>
          <w:sz w:val="20"/>
        </w:rPr>
        <w:t xml:space="preserve">Ceded premiums written under the 2016 QSR Transaction are recorded as prepaid reinsurance premiums in </w:t>
      </w:r>
      <w:r>
        <w:rPr>
          <w:color w:val="000000"/>
        </w:rPr>
        <w:t>“</w:t>
      </w:r>
      <w:r>
        <w:rPr>
          <w:rFonts w:ascii="Times New Roman;sans-serif" w:hAnsi="Times New Roman;sans-serif"/>
          <w:b w:val="false"/>
          <w:i/>
          <w:color w:val="000000"/>
          <w:sz w:val="20"/>
        </w:rPr>
        <w:t>Other Assets”</w:t>
      </w:r>
      <w:r>
        <w:rPr>
          <w:color w:val="000000"/>
        </w:rPr>
        <w:t xml:space="preserve"> </w:t>
      </w:r>
      <w:r>
        <w:rPr>
          <w:rFonts w:ascii="Times New Roman;sans-serif" w:hAnsi="Times New Roman;sans-serif"/>
          <w:b w:val="false"/>
          <w:color w:val="000000"/>
          <w:sz w:val="20"/>
        </w:rPr>
        <w:t xml:space="preserve">on our consolidated balance sheets and amortized to ceded premiums earned in a manner consistent with the recognition of revenue on direct premiums. Under all other QSR Transactions, premiums are ceded on an earned basis as defined in the agreement. NMIC receives a 20% ceding commission for premiums ceded under the QSR Transactions, except with respect to the 2022 Seasoned QSR Transaction under which it receives a 35% ceding commission and the 2020 QSR Transaction under which 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NMI HOLDINGS, INC.</w:t>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(UNAUDITED)</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receives a 36% ceding commission. NMIC also receives a profit commission under each of the QSR Transactions, provided that the loss ratios on loans covered under the 2016, 2018, 2020, 2021, 2022, 2022 Seasoned, 2023, 2024 and 2025 QSR Transactions, generally remain below 60%, 61%, 50%, 58%, 62%, 55%, 62%, 56% and 62%, respectively, as measured annually. Ceded claims and claim expenses under each of the QSR Transactions reduce the respective profit commission received by NMIC on a dollar-for-dollar basis.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accordance with the terms of the 2016 QSR Transaction, rather than making a cash payment or transferring investments for ceded premiums written, NMIC established a funds withheld liability, which also includes amounts due to NMIC for ceding and profit commissions. Any loss recoveries and any potential profit commission to NMIC are realized from this account until exhausted. NMIC’s reinsurance recoverable balance is further supported by trust accounts established and maintained by each reinsurer in accordance with the PMIERs funding requirements for risk ceded to non-affiliates. The reinsurance recoverable on loss reserves related to the 2016 QSR Transaction was $1.0 million and $1.1 million as of March 31, 2025 and December 31, 2024, respectively.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the terms of the 2018, 2020, 2021, 2022, 2022 Seasoned, 2023, 2024 and 2025 QSR Transactions, cash payments for ceded premiums earned are settled on a quarterly basis, offset by amounts due to NMIC for ceding and profit commissions. Any loss recoveries and any potential profit commission to NMIC are also recognized quarterly. NMIC's reinsurance recoverable balance is supported by trust accounts established and maintained by each reinsurer in accordance with the PMIERs funding requirements for risk ceded to non-affiliates. The aggregate reinsurance recoverable on loss reserves related to the 2018, 2020, 2021, 2022, 2022 Seasoned, 2023, 2024 and 2025 QSR Transactions was $30.4 million and $31.2 million as of March 31, 2025 and December 31, 2024, respectively.</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remain directly liable for all claim payments if we are unable to collect the recoverables due from our reinsurers and, as such, we actively monitor and manage our counterparty credit exposure to our reinsurance providers. We establish an allowance for expected credit loss against our reinsurance recoverable if we do not expect to recover amounts due from one or more of our reinsurance counterparties, and report our reinsurance recoverable net of such allowance, if any. We actively monitor the counterparty credit profiles of our reinsurers and each is required to partially collateralize its obligations under the terms of the QSR Transactions. The allowance for credit loss established against our reinsurance recoverable was deemed immaterial as of March 31, 2025 and December 31, 2024.</w:t>
      </w:r>
    </w:p>
    <w:p>
      <w:pPr>
        <w:pStyle w:val="TextBody"/>
        <w:bidi w:val="0"/>
        <w:spacing w:lineRule="auto" w:line="288" w:before="0" w:after="18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Excess-of-loss Reinsurance</w:t>
      </w:r>
    </w:p>
    <w:p>
      <w:pPr>
        <w:pStyle w:val="TextBody"/>
        <w:bidi w:val="0"/>
        <w:spacing w:lineRule="auto" w:line="288" w:before="0" w:after="18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Traditional Reinsurance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NMIC is party to seven excess-of-loss reinsurance agreements with broad panels of third-party reinsurers – the 2022-1 XOL Transaction, effective April 1, 2022, the 2022-2 XOL Transaction, effective July 1, 2022, the 2022-3 XOL Transaction, effective October 1, 2022, the 2023-1 XOL Transaction, effective January 1, 2023, the 2023-2 XOL Transaction, effective July 1, 2023, the 2024 XOL Transaction, effective January 1, 2024, and the 2025 XOL Transaction, effective January 1, 2025 – which we refer to collectively as the XOL Transactions. Each XOL Transaction provides NMIC with aggregate excess-of-loss reinsurance coverage on a defined portfolio of mortgage insurance policies. Under each agreement, NMIC retains a first layer of aggregate loss exposure on covered policies and the reinsurers then provide second layer loss protection up to a defined reinsurance coverage amount. The reinsurance coverage amount of each XOL Transaction is set to approximate the PMIERs minimum required assets of its reference pool and decreases from its peak over a ten-year period in the event the PMIERs minimum required assets of the pool declines. NMIC retains losses in excess of the outstanding reinsurance coverage amount.</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Under the terms of the XOL Transactions, NMIC makes risk premium payments to its third-party reinsurance providers for the outstanding reinsurance coverage amount and ceded aggregate premiums of $10.2 million and $9.2 million during the three months ended March 31, 2025 and 2024, respectively. NMIC applies claims paid on covered policies against its first layer aggregate retained loss exposure under each agreement. NMIC did not cede any incurred losses on covered policies under the XOL Transactions during the three months ended March 31, 2025 and 2024, as the aggregate first layer risk retention for each agreement was not exhausted during such periods.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NMIC holds optional termination rights which provide it the discretion to terminate each XOL Transaction on or after a specified date. NMIC may also elect to terminate the XOL Transactions at any point if the outstanding reinsurance coverage amount amortizes to 10% or less of the reinsurance coverage amount provided at inception, or if it determines that it will no longer be able to take full PMIERs asset credit for the coverage. Additionally, under the terms of the treaties, NMIC may selectively terminate its engagement with individual reinsurers under certain circumstances. Such selective termination rights arise when, among other reasons, a reinsurer experiences a deterioration in its capital position below a prescribed threshold, and/or a reinsurer breaches (and fails to cure) its collateral posting obligation.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NMI HOLDINGS, INC.</w:t>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(UNAUDITED)</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Each of the third-party reinsurance providers that is party to the XOL Transactions has an insurer financial strength rating of A- or better by S&amp;P Global Ratings (S&amp;P), A.M. Best Company Inc. (A.M. Best) or both.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inception date, covered production period, initial and current reinsurance coverage amount, and initial and current first layer retained aggregate loss under each outstanding XOL Transaction. Current amounts are presented as of March 31, 2025.</w:t>
      </w:r>
    </w:p>
    <w:tbl>
      <w:tblPr>
        <w:tblW w:w="10205" w:type="dxa"/>
        <w:jc w:val="left"/>
        <w:tblInd w:w="0" w:type="dxa"/>
        <w:tblLayout w:type="fixed"/>
        <w:tblCellMar>
          <w:top w:w="28" w:type="dxa"/>
          <w:left w:w="28" w:type="dxa"/>
          <w:bottom w:w="28" w:type="dxa"/>
          <w:right w:w="28" w:type="dxa"/>
        </w:tblCellMar>
      </w:tblPr>
      <w:tblGrid>
        <w:gridCol w:w="596"/>
        <w:gridCol w:w="339"/>
        <w:gridCol w:w="341"/>
        <w:gridCol w:w="297"/>
        <w:gridCol w:w="297"/>
        <w:gridCol w:w="298"/>
        <w:gridCol w:w="381"/>
        <w:gridCol w:w="381"/>
        <w:gridCol w:w="383"/>
        <w:gridCol w:w="109"/>
        <w:gridCol w:w="109"/>
        <w:gridCol w:w="109"/>
        <w:gridCol w:w="247"/>
        <w:gridCol w:w="970"/>
        <w:gridCol w:w="127"/>
        <w:gridCol w:w="109"/>
        <w:gridCol w:w="109"/>
        <w:gridCol w:w="109"/>
        <w:gridCol w:w="250"/>
        <w:gridCol w:w="982"/>
        <w:gridCol w:w="129"/>
        <w:gridCol w:w="109"/>
        <w:gridCol w:w="109"/>
        <w:gridCol w:w="109"/>
        <w:gridCol w:w="255"/>
        <w:gridCol w:w="999"/>
        <w:gridCol w:w="131"/>
        <w:gridCol w:w="109"/>
        <w:gridCol w:w="109"/>
        <w:gridCol w:w="109"/>
        <w:gridCol w:w="263"/>
        <w:gridCol w:w="1029"/>
        <w:gridCol w:w="202"/>
      </w:tblGrid>
      <w:tr>
        <w:trPr/>
        <w:tc>
          <w:tcPr>
            <w:tcW w:w="59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values in thousands)</w:t>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Inception Date</w:t>
            </w:r>
          </w:p>
        </w:tc>
        <w:tc>
          <w:tcPr>
            <w:tcW w:w="11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Covered Production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Initial Reinsurance Coverage</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Current Reinsurance Coverage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Initial First Layer Retained Loss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Current First Layer Retained Loss </w:t>
            </w:r>
            <w:r>
              <w:rPr>
                <w:rFonts w:ascii="Times New Roman;sans-serif" w:hAnsi="Times New Roman;sans-serif"/>
                <w:b/>
                <w:color w:val="000000"/>
                <w:sz w:val="10"/>
              </w:rPr>
              <w:t xml:space="preserve">(1) </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2022-1 XOL Transaction</w:t>
            </w:r>
          </w:p>
        </w:tc>
        <w:tc>
          <w:tcPr>
            <w:tcW w:w="8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1, 2022</w:t>
            </w:r>
          </w:p>
        </w:tc>
        <w:tc>
          <w:tcPr>
            <w:tcW w:w="11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 xml:space="preserve">10/1/2021 – 3/31/2022 </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289,741 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173,584 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133,366 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131,513 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2022-2 XOL Transaction</w:t>
            </w:r>
          </w:p>
        </w:tc>
        <w:tc>
          <w:tcPr>
            <w:tcW w:w="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1, 2022</w:t>
            </w:r>
          </w:p>
        </w:tc>
        <w:tc>
          <w:tcPr>
            <w:tcW w:w="11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 xml:space="preserve">4/1/2022 – 6/30/2022 </w:t>
            </w:r>
            <w:r>
              <w:rPr>
                <w:rFonts w:ascii="Times New Roman;sans-serif" w:hAnsi="Times New Roman;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154,306 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126,085 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78,906 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76,275 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2022-3 XOL Transaction</w:t>
            </w:r>
          </w:p>
        </w:tc>
        <w:tc>
          <w:tcPr>
            <w:tcW w:w="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October 1, 2022</w:t>
            </w:r>
          </w:p>
        </w:tc>
        <w:tc>
          <w:tcPr>
            <w:tcW w:w="1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7/1/2022 – 9/30/2022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96,779 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82,134 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106,265 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104,496 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2023-1 XOL Transaction</w:t>
            </w:r>
          </w:p>
        </w:tc>
        <w:tc>
          <w:tcPr>
            <w:tcW w:w="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1, 2023</w:t>
            </w:r>
          </w:p>
        </w:tc>
        <w:tc>
          <w:tcPr>
            <w:tcW w:w="1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10/1/2022 – 6/30/2023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89,864 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76,752 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146,513 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145,137 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2023-2 XOL Transaction</w:t>
            </w:r>
          </w:p>
        </w:tc>
        <w:tc>
          <w:tcPr>
            <w:tcW w:w="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1, 2023</w:t>
            </w:r>
          </w:p>
        </w:tc>
        <w:tc>
          <w:tcPr>
            <w:tcW w:w="11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7/1/2023 – 12/31/2023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100,777 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92,728 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136,875 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136,646 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2024 XOL Transaction</w:t>
            </w:r>
          </w:p>
        </w:tc>
        <w:tc>
          <w:tcPr>
            <w:tcW w:w="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1, 2024</w:t>
            </w:r>
          </w:p>
        </w:tc>
        <w:tc>
          <w:tcPr>
            <w:tcW w:w="11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1/1/2024 – 12/31/2024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162,500 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162,500 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312,172 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312,172 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2025 XOL Transaction </w:t>
            </w:r>
            <w:r>
              <w:rPr>
                <w:rFonts w:ascii="Times New Roman;sans-serif" w:hAnsi="Times New Roman;sans-serif"/>
                <w:b w:val="false"/>
                <w:color w:val="000000"/>
                <w:sz w:val="13"/>
              </w:rPr>
              <w:t>(4)</w:t>
            </w:r>
          </w:p>
        </w:tc>
        <w:tc>
          <w:tcPr>
            <w:tcW w:w="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1, 2025</w:t>
            </w:r>
          </w:p>
        </w:tc>
        <w:tc>
          <w:tcPr>
            <w:tcW w:w="11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1/1/2025 – 12/31/2025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56,807 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56,807 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62,673 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62,673 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    NMIC applies claims paid on covered policies against its first layer aggregate retained loss exposure and cedes reserves for incurred claims and claim expenses to each applicable XOL Transaction and recognizes a reinsurance recoverable if such incurred claims and claim expenses exceed its current first layer retained loss.</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    Approximately 1% of the production covered by the 2022-1 XOL Transaction has coverage reporting dates between October 21, 2019 and September 30, 2021.</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(3)    Approximately 1% of the production covered by the 2022-2 XOL Transaction has coverage reporting dates between January 4, 2021 and March 31, 2022.</w:t>
      </w:r>
    </w:p>
    <w:p>
      <w:pPr>
        <w:pStyle w:val="TextBody"/>
        <w:bidi w:val="0"/>
        <w:spacing w:lineRule="auto" w:line="288" w:before="0" w:after="18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(4)    The initial reinsurance coverage, current reinsurance coverage, initial first layer retained loss and current first layer retained loss for the 2025 XOL Transaction will increase as incremental covered production is ceded under the transaction through December 31, 2025.</w:t>
      </w:r>
    </w:p>
    <w:p>
      <w:pPr>
        <w:pStyle w:val="TextBody"/>
        <w:bidi w:val="0"/>
        <w:spacing w:lineRule="auto" w:line="276"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Concurrent with the placement of the 2025 XOL, NMIC entered into an excess-of-loss reinsurance treaty that will provide aggregate coverage for mortgage insurance policies to be written in 2026 (the 2026 XOL Transaction). Under the terms of the agreement, NMIC will retain a first layer of aggregate loss exposure on covered policies and its reinsurance counterparties will then provide second layer loss protection up to a defined reinsurance coverage amount of $164.2 million. NMIC retains losses in excess of the respective reinsurance coverage amounts.</w:t>
      </w:r>
    </w:p>
    <w:p>
      <w:pPr>
        <w:pStyle w:val="TextBody"/>
        <w:bidi w:val="0"/>
        <w:spacing w:lineRule="auto" w:line="276" w:before="0" w:after="18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Insurance-Linked Notes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NMIC is a party to reinsurance agreements with Oaktown Re VI Ltd. and Oaktown Re VII Ltd. (special purpose reinsurance entities collectively referred to as the Oaktown Re Vehicles) effective April 27, 2021 and October 26, 2021, respectively. Each agreement provides NMIC with aggregate excess-of-loss reinsurance coverage on a defined portfolio of mortgage insurance policies. Under each agreement, NMIC retains a first layer of aggregate loss exposure on covered policies and the respective Oaktown Re Vehicle then provides second layer loss protection up to a defined reinsurance coverage amount. NMIC then retains losses in excess of the respective reinsurance coverage amounts.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NMIC makes risk premium payments to the Oaktown Re Vehicles for the applicable outstanding reinsurance coverage amount and pays an additional amount for anticipated operating expenses (capped at $250 thousand per year). NMIC ceded aggregate premiums to the Oaktown Re Vehicles of $3.3 million and $6.0 million during the three months ended March 31, 2025 and 2024, respectively.</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NMIC applies claims paid on covered policies against its first layer aggregate retained loss exposure under each excess-of-loss agreement. NMIC did not cede any incurred losses on covered policies to the Oaktown Re Vehicles during the three months ended March 31, 2025 and 2024, as the aggregate first layer risk retention for each applicable agreement was not exhausted during such periods.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Under the terms of each excess-of-loss reinsurance agreement, the Oaktown Re Vehicles are required to fully collateralize their outstanding reinsurance coverage amount to NMIC with funds deposited into segregated reinsurance trusts. Such trust funds are required to be invested in short-term U.S. Treasury money market funds at all times. Each Oaktown Re Vehicle financed its respective collateral requirement through the issuance of mortgage insurance-linked notes to unaffiliated investors. Such insurance-linked notes mature 12.5 years from the inception date of their associated reinsurance agreement. We refer to NMIC’s reinsurance agreements with and the insurance-linked note issuances by Oaktown Re Vehicles individually as the 2021-1 ILN Transaction and 2021-2 ILN Transaction, and collectively as the ILN Transactions.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NMI HOLDINGS, INC.</w:t>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(UNAUDITED)</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respective reinsurance coverage amounts provided by the Oaktown Re Vehicles decrease over a 12.5-year period as the underlying insured mortgages are amortized or repaid, and/or the mortgage insurance coverage is canceled. As the reinsurance coverage decreases, a prescribed amount of collateral held in trust by the Oaktown Re Vehicles is distributed to ILN Transaction noteholders as amortization of the outstanding insurance-linked note principal balances. The outstanding reinsurance coverage amounts stop amortizing, and the distribution of collateral assets to ILN Transaction noteholders and amortization of insurance-linked note principal is suspended if certain credit enhancement or delinquency thresholds, as defined in each agreement, are triggered (each, a Lock-Out Event).</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NMIC holds optional termination rights under each ILN Transaction, including, among others, an optional call feature which provides NMIC the discretion to terminate the transaction on or after a prescribed date, and a clean-up call if the outstanding reinsurance coverage amount amortizes to 10% or less of the reinsurance coverage amount at inception or if NMIC reasonably determines that changes to GSE or rating agency asset requirements would cause a material and adverse effect on the capital treatment afforded to NMIC under a given agreement. In addition, there are certain events that trigger mandatory termination of an agreement, including NMIC’s failure to pay premiums or consent to reductions in a trust account to make principal payments to noteholders, among others.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inception date, covered production period, initial and current reinsurance coverage amount, and initial and current first layer retained aggregate loss under each outstanding ILN Transaction. Current amounts are presented as of March 31, 2025.</w:t>
      </w:r>
    </w:p>
    <w:tbl>
      <w:tblPr>
        <w:tblW w:w="10205" w:type="dxa"/>
        <w:jc w:val="left"/>
        <w:tblInd w:w="0" w:type="dxa"/>
        <w:tblLayout w:type="fixed"/>
        <w:tblCellMar>
          <w:top w:w="28" w:type="dxa"/>
          <w:left w:w="28" w:type="dxa"/>
          <w:bottom w:w="28" w:type="dxa"/>
          <w:right w:w="28" w:type="dxa"/>
        </w:tblCellMar>
      </w:tblPr>
      <w:tblGrid>
        <w:gridCol w:w="577"/>
        <w:gridCol w:w="309"/>
        <w:gridCol w:w="310"/>
        <w:gridCol w:w="287"/>
        <w:gridCol w:w="287"/>
        <w:gridCol w:w="288"/>
        <w:gridCol w:w="109"/>
        <w:gridCol w:w="354"/>
        <w:gridCol w:w="354"/>
        <w:gridCol w:w="355"/>
        <w:gridCol w:w="109"/>
        <w:gridCol w:w="109"/>
        <w:gridCol w:w="109"/>
        <w:gridCol w:w="234"/>
        <w:gridCol w:w="917"/>
        <w:gridCol w:w="120"/>
        <w:gridCol w:w="109"/>
        <w:gridCol w:w="109"/>
        <w:gridCol w:w="109"/>
        <w:gridCol w:w="236"/>
        <w:gridCol w:w="925"/>
        <w:gridCol w:w="122"/>
        <w:gridCol w:w="109"/>
        <w:gridCol w:w="109"/>
        <w:gridCol w:w="109"/>
        <w:gridCol w:w="238"/>
        <w:gridCol w:w="933"/>
        <w:gridCol w:w="123"/>
        <w:gridCol w:w="109"/>
        <w:gridCol w:w="109"/>
        <w:gridCol w:w="109"/>
        <w:gridCol w:w="244"/>
        <w:gridCol w:w="958"/>
        <w:gridCol w:w="126"/>
        <w:gridCol w:w="109"/>
        <w:gridCol w:w="109"/>
        <w:gridCol w:w="109"/>
        <w:gridCol w:w="164"/>
      </w:tblGrid>
      <w:tr>
        <w:trPr/>
        <w:tc>
          <w:tcPr>
            <w:tcW w:w="57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19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i/>
                <w:color w:val="000000"/>
                <w:sz w:val="20"/>
              </w:rPr>
              <w:t>(</w:t>
            </w:r>
            <w:r>
              <w:rPr>
                <w:rFonts w:ascii="Times New Roman;sans-serif" w:hAnsi="Times New Roman;sans-serif"/>
                <w:b w:val="false"/>
                <w:i/>
                <w:color w:val="000000"/>
                <w:sz w:val="16"/>
              </w:rPr>
              <w:t>$ values in thousands)</w:t>
            </w:r>
          </w:p>
        </w:tc>
        <w:tc>
          <w:tcPr>
            <w:tcW w:w="8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Inception Date</w:t>
            </w:r>
          </w:p>
        </w:tc>
        <w:tc>
          <w:tcPr>
            <w:tcW w:w="109" w:type="dxa"/>
            <w:tcBorders/>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Covered Production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Initial Reinsurance Coverage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Current Reinsurance Coverage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Initial First Layer Retained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Current First Layer Retained Loss </w:t>
            </w:r>
            <w:r>
              <w:rPr>
                <w:rFonts w:ascii="Times New Roman;sans-serif" w:hAnsi="Times New Roman;sans-serif"/>
                <w:b/>
                <w:color w:val="000000"/>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196"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196"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196"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196"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196"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2021-1 ILN Transaction </w:t>
            </w:r>
          </w:p>
        </w:tc>
        <w:tc>
          <w:tcPr>
            <w:tcW w:w="8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27, 2021</w:t>
            </w:r>
          </w:p>
        </w:tc>
        <w:tc>
          <w:tcPr>
            <w:tcW w:w="109" w:type="dxa"/>
            <w:tcBorders/>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 xml:space="preserve">10/1/2020 – 3/31/2021 </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367,238 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130,299 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163,708 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162,769 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2021-2 ILN Transaction</w:t>
            </w:r>
          </w:p>
        </w:tc>
        <w:tc>
          <w:tcPr>
            <w:tcW w:w="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October 26, 2021</w:t>
            </w:r>
          </w:p>
        </w:tc>
        <w:tc>
          <w:tcPr>
            <w:tcW w:w="109" w:type="dxa"/>
            <w:tcBorders/>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 xml:space="preserve">4/1/2021 – 9/30/2021 </w:t>
            </w:r>
            <w:r>
              <w:rPr>
                <w:rFonts w:ascii="Times New Roman;sans-serif" w:hAnsi="Times New Roman;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363,596 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224,149 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146,229 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144,866 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    NMIC applies claims paid on covered policies against its first layer aggregate retained loss exposure and cedes reserves for incurred claims and claim expenses to each applicable ILN Transaction and recognizes a reinsurance recoverable if such incurred claims and claim expenses exceed its current first layer retained loss.</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    Approximately 1% of the production covered by the 2021-1 ILN Transaction has coverage reporting dates between July 1, 2019 and September 30, 2020.</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(3)    Approximately 2% of the production covered by the 2021-2 ILN Transaction has coverage reporting dates between July 1, 2019 and March 31, 2021.</w:t>
      </w:r>
    </w:p>
    <w:p>
      <w:pPr>
        <w:pStyle w:val="TextBody"/>
        <w:bidi w:val="0"/>
        <w:spacing w:before="0" w:after="0"/>
        <w:ind w:left="0" w:right="0" w:hanging="360"/>
        <w:jc w:val="both"/>
        <w:rPr/>
      </w:pPr>
      <w:r>
        <w:rPr/>
      </w:r>
    </w:p>
    <w:p>
      <w:pPr>
        <w:pStyle w:val="TextBody"/>
        <w:bidi w:val="0"/>
        <w:spacing w:lineRule="auto" w:line="288" w:before="0" w:after="180"/>
        <w:ind w:left="0" w:right="0" w:firstLine="720"/>
        <w:jc w:val="both"/>
        <w:rPr/>
      </w:pPr>
      <w:r>
        <w:rPr>
          <w:rFonts w:ascii="Times New Roman;sans-serif" w:hAnsi="Times New Roman;sans-serif"/>
          <w:b w:val="false"/>
          <w:color w:val="000000"/>
          <w:sz w:val="20"/>
        </w:rPr>
        <w:t xml:space="preserve">Under the terms of our ILN Transactions, we are required to maintain a certain level of restricted funds in premium deposit accounts with Bank of New York Mellon until the respective notes have been redeemed in full. </w:t>
      </w:r>
      <w:r>
        <w:rPr>
          <w:color w:val="000000"/>
        </w:rPr>
        <w:t>“</w:t>
      </w:r>
      <w:r>
        <w:rPr>
          <w:rFonts w:ascii="Times New Roman;sans-serif" w:hAnsi="Times New Roman;sans-serif"/>
          <w:b w:val="false"/>
          <w:i/>
          <w:color w:val="000000"/>
          <w:sz w:val="20"/>
        </w:rPr>
        <w:t>Cash and Cash Equivalents”</w:t>
      </w:r>
      <w:r>
        <w:rPr>
          <w:color w:val="000000"/>
        </w:rPr>
        <w:t xml:space="preserve"> </w:t>
      </w:r>
      <w:r>
        <w:rPr>
          <w:rFonts w:ascii="Times New Roman;sans-serif" w:hAnsi="Times New Roman;sans-serif"/>
          <w:b w:val="false"/>
          <w:color w:val="000000"/>
          <w:sz w:val="20"/>
        </w:rPr>
        <w:t>on our condensed consolidated balance sheets includes a de minimis restricted amount as of March 31, 2025 and $0.1 million as of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ans-serif" w:hAnsi="Times New Roman;sans-serif"/>
          <w:b/>
          <w:color w:val="000000"/>
          <w:sz w:val="20"/>
        </w:rPr>
      </w:pPr>
      <w:r>
        <w:rPr>
          <w:rFonts w:ascii="Times New Roman;sans-serif" w:hAnsi="Times New Roman;sans-serif"/>
          <w:b/>
          <w:color w:val="000000"/>
          <w:sz w:val="20"/>
        </w:rPr>
        <w:t>6. Reserves for Insurance Claims and Claim Expenses</w:t>
      </w:r>
    </w:p>
    <w:p>
      <w:pPr>
        <w:pStyle w:val="TextBody"/>
        <w:bidi w:val="0"/>
        <w:spacing w:lineRule="auto" w:line="288" w:before="0" w:after="180"/>
        <w:ind w:left="0" w:right="0" w:firstLine="720"/>
        <w:jc w:val="both"/>
        <w:rPr/>
      </w:pPr>
      <w:r>
        <w:rPr>
          <w:rFonts w:ascii="Times New Roman;sans-serif" w:hAnsi="Times New Roman;sans-serif"/>
          <w:b w:val="false"/>
          <w:color w:val="000000"/>
          <w:sz w:val="20"/>
        </w:rPr>
        <w:t>We hold gross reserves in an amount equal to the estimated liability for insurance claims and claim expenses related to defaults on insured mortgage loans. A loan is considered to be in “default” as of the payment date at which a borrower has missed the preceding two or more consecutive monthly payments. We establish reserves for loans that have been reported to us in default by servicers, referred to as case reserves, and additional loans that we estimate (based on actuarial review and other factors) to be in default that have not yet been reported to us by servicers, referred to as incurred but not reported (IBNR) reserves.</w:t>
      </w:r>
      <w:r>
        <w:rPr>
          <w:color w:val="000000"/>
        </w:rPr>
        <w:t xml:space="preserve"> </w:t>
      </w:r>
      <w:r>
        <w:rPr>
          <w:rFonts w:ascii="Times New Roman;sans-serif" w:hAnsi="Times New Roman;sans-serif"/>
          <w:b w:val="false"/>
          <w:color w:val="000000"/>
          <w:sz w:val="20"/>
        </w:rPr>
        <w:t>We also establish reserves for claim expenses, which represent the estimated cost of the claim administration process, including legal and other fees, as well as other general expenses of administering the claim settlement process. As of March 31, 2025, we held gross reserves for insurance claims and claim expenses of $151.8 million. During the three months ended March 31, 2025, we paid 95 claims totaling $5.2 million, including 93 claims covered under the QSR Transactions representing $1.1 million of ceded claims and claim expenses.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had 6,859 loans in default in our primary insured portfolio as of March 31, 2025, which represented a 1.04% default rate against 661,490 total policies in-force, and 6,642 loans in default in our primary portfolio as of December 31, 2024, which represented a 1.01% default rate against 659,567 total policies in-force. The size of the reserve we establish for each defaulted loan (and by extension our aggregate reserve for claims and claim expenses) reflects our best estimate of the future claim payment to be made for each individual loan in default. Our future claims exposure is a function of the number of defaulted loans that progress to claim payment (which we refer to as frequency) and the amount to be paid to settle such claims (which we refer to as severity). Our estimates of claims frequency and severity are not formulaic, rather they are broadly synthesized based on historical observed experience for similarly situated loans and assumptions about future macroeconomic factors.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NMI HOLDINGS, INC.</w:t>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(UNAUDITED)</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the beginning and ending gross reserve balances for insurance claims and claim expenses:</w:t>
      </w:r>
    </w:p>
    <w:tbl>
      <w:tblPr>
        <w:tblW w:w="7615" w:type="dxa"/>
        <w:jc w:val="left"/>
        <w:tblInd w:w="0" w:type="dxa"/>
        <w:tblLayout w:type="fixed"/>
        <w:tblCellMar>
          <w:top w:w="28" w:type="dxa"/>
          <w:left w:w="28" w:type="dxa"/>
          <w:bottom w:w="28" w:type="dxa"/>
          <w:right w:w="28" w:type="dxa"/>
        </w:tblCellMar>
      </w:tblPr>
      <w:tblGrid>
        <w:gridCol w:w="1695"/>
        <w:gridCol w:w="1488"/>
        <w:gridCol w:w="1496"/>
        <w:gridCol w:w="232"/>
        <w:gridCol w:w="911"/>
        <w:gridCol w:w="120"/>
        <w:gridCol w:w="120"/>
        <w:gridCol w:w="120"/>
        <w:gridCol w:w="120"/>
        <w:gridCol w:w="232"/>
        <w:gridCol w:w="911"/>
        <w:gridCol w:w="170"/>
      </w:tblGrid>
      <w:tr>
        <w:trPr/>
        <w:tc>
          <w:tcPr>
            <w:tcW w:w="1695"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March 31,</w:t>
            </w:r>
          </w:p>
        </w:tc>
      </w:tr>
      <w:tr>
        <w:trPr/>
        <w:tc>
          <w:tcPr>
            <w:tcW w:w="4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4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152,071 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123,974 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Less reinsurance recoverables </w:t>
            </w:r>
            <w:r>
              <w:rPr>
                <w:rFonts w:ascii="Times New Roman;sans-serif" w:hAnsi="Times New Roman;sans-serif"/>
                <w:b w:val="false"/>
                <w:color w:val="000000"/>
                <w:sz w:val="13"/>
              </w:rPr>
              <w:t>(1)</w:t>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(32,260)</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(27,514)</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 net of reinsurance recoverables</w:t>
            </w:r>
          </w:p>
        </w:tc>
        <w:tc>
          <w:tcPr>
            <w:tcW w:w="11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119,811 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96,460 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claims incurred:</w:t>
            </w:r>
          </w:p>
        </w:tc>
        <w:tc>
          <w:tcPr>
            <w:tcW w:w="12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Claims and claim expenses incurred:</w:t>
            </w:r>
          </w:p>
        </w:tc>
        <w:tc>
          <w:tcPr>
            <w:tcW w:w="1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Current year </w:t>
            </w:r>
            <w:r>
              <w:rPr>
                <w:rFonts w:ascii="Times New Roman;sans-serif" w:hAnsi="Times New Roman;sans-serif"/>
                <w:b w:val="false"/>
                <w:color w:val="000000"/>
                <w:sz w:val="13"/>
              </w:rPr>
              <w:t>(2)</w:t>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34,559 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32,976 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Prior years</w:t>
            </w:r>
            <w:r>
              <w:rPr>
                <w:color w:val="000000"/>
              </w:rPr>
              <w:t xml:space="preserve"> </w:t>
            </w:r>
            <w:r>
              <w:rPr>
                <w:rFonts w:ascii="Times New Roman;sans-serif" w:hAnsi="Times New Roman;sans-serif"/>
                <w:b w:val="false"/>
                <w:color w:val="000000"/>
                <w:sz w:val="13"/>
              </w:rPr>
              <w:t>(3)</w:t>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(30,081)</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(29,282)</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claims and claim expenses incurred</w:t>
            </w:r>
          </w:p>
        </w:tc>
        <w:tc>
          <w:tcPr>
            <w:tcW w:w="11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4,478 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3,694 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claims paid:</w:t>
            </w:r>
          </w:p>
        </w:tc>
        <w:tc>
          <w:tcPr>
            <w:tcW w:w="12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Claims and claim expenses paid:</w:t>
            </w:r>
          </w:p>
        </w:tc>
        <w:tc>
          <w:tcPr>
            <w:tcW w:w="1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Current year </w:t>
            </w:r>
            <w:r>
              <w:rPr>
                <w:rFonts w:ascii="Times New Roman;sans-serif" w:hAnsi="Times New Roman;sans-serif"/>
                <w:b w:val="false"/>
                <w:color w:val="000000"/>
                <w:sz w:val="13"/>
              </w:rPr>
              <w:t>(2)</w:t>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Prior years</w:t>
            </w:r>
            <w:r>
              <w:rPr>
                <w:color w:val="000000"/>
              </w:rPr>
              <w:t xml:space="preserve"> </w:t>
            </w:r>
            <w:r>
              <w:rPr>
                <w:rFonts w:ascii="Times New Roman;sans-serif" w:hAnsi="Times New Roman;sans-serif"/>
                <w:b w:val="false"/>
                <w:color w:val="000000"/>
                <w:sz w:val="13"/>
              </w:rPr>
              <w:t>(3)</w:t>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Reinsurance terminations </w:t>
            </w:r>
            <w:r>
              <w:rPr>
                <w:rFonts w:ascii="Times New Roman;sans-serif" w:hAnsi="Times New Roman;sans-serif"/>
                <w:b w:val="false"/>
                <w:color w:val="000000"/>
                <w:sz w:val="13"/>
              </w:rPr>
              <w:t>(4)</w:t>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claims and claim expenses paid</w:t>
            </w:r>
          </w:p>
        </w:tc>
        <w:tc>
          <w:tcPr>
            <w:tcW w:w="11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3,821 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 at end of period, net of reinsurance recoverables</w:t>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120,468 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99,302 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Add reinsurance recoverables </w:t>
            </w:r>
            <w:r>
              <w:rPr>
                <w:rFonts w:ascii="Times New Roman;sans-serif" w:hAnsi="Times New Roman;sans-serif"/>
                <w:b w:val="false"/>
                <w:color w:val="000000"/>
                <w:sz w:val="13"/>
              </w:rPr>
              <w:t>(1)</w:t>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31,379 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27,880 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151,847 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127,182 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Times New Roman;sans-serif" w:hAnsi="Times New Roman;sans-serif"/>
          <w:b w:val="false"/>
          <w:color w:val="000000"/>
          <w:sz w:val="16"/>
        </w:rPr>
        <w:t>(1)    Related to ceded losses recoverable under the QSR Transactions. See Note 5, “</w:t>
      </w:r>
      <w:r>
        <w:rPr>
          <w:rFonts w:ascii="Times New Roman;sans-serif" w:hAnsi="Times New Roman;sans-serif"/>
          <w:b w:val="false"/>
          <w:i/>
          <w:color w:val="000000"/>
          <w:sz w:val="16"/>
        </w:rPr>
        <w:t>Reinsurance”</w:t>
      </w:r>
      <w:r>
        <w:rPr>
          <w:color w:val="000000"/>
        </w:rPr>
        <w:t xml:space="preserve"> </w:t>
      </w:r>
      <w:r>
        <w:rPr>
          <w:rFonts w:ascii="Times New Roman;sans-serif" w:hAnsi="Times New Roman;sans-serif"/>
          <w:b w:val="false"/>
          <w:color w:val="000000"/>
          <w:sz w:val="16"/>
        </w:rPr>
        <w:t>for additional information.</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    Related to insured loans with their most recent defaults occurring in the current year. For example, if a loan defaulted in a prior year and subsequently cured and later re-defaulted in the current year, the default would be included in the current year. Amounts are presented net of reinsurance and included $25.9 million attributed to net case reserves and $8.1 million attributed to net IBNR reserves for the three months ended March 31, 2025 and $25.9 million attributed to net case reserves and $6.6 million attributed to net IBNR reserves for the three months ended March 31, 2024.</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(3)    Related to insured loans with defaults occurring in prior years, which have been continuously in default before the start of the current year. Amounts are presented net of reinsurance and included $21.8 million attributed to net case reserves and $8.1 million attributed to net IBNR reserves for the three months ended March 31, 2025 and $22.4 million attributed to net case reserves and $6.3 million attributed to net IBNR reserves for the three months ended March 31, 2024.</w:t>
      </w:r>
    </w:p>
    <w:p>
      <w:pPr>
        <w:pStyle w:val="TextBody"/>
        <w:bidi w:val="0"/>
        <w:spacing w:lineRule="auto" w:line="288" w:before="0" w:after="0"/>
        <w:ind w:left="0" w:right="0" w:hanging="360"/>
        <w:jc w:val="both"/>
        <w:rPr/>
      </w:pPr>
      <w:r>
        <w:rPr>
          <w:rFonts w:ascii="Times New Roman;sans-serif" w:hAnsi="Times New Roman;sans-serif"/>
          <w:b w:val="false"/>
          <w:color w:val="000000"/>
          <w:sz w:val="16"/>
        </w:rPr>
        <w:t>(4)    Represents the settlement of reinsurance recoverables in conjunction with the termination of one reinsurer under the 2016, 2018 and 2021 QSR Transactions by mutual agreement on a cut-off basis with no termination fee. See Note</w:t>
      </w:r>
      <w:r>
        <w:rPr>
          <w:color w:val="000000"/>
        </w:rPr>
        <w:t xml:space="preserve"> </w:t>
      </w:r>
      <w:r>
        <w:rPr>
          <w:rFonts w:ascii="Times New Roman;sans-serif" w:hAnsi="Times New Roman;sans-serif"/>
          <w:b w:val="false"/>
          <w:color w:val="000000"/>
          <w:sz w:val="16"/>
        </w:rPr>
        <w:t>5</w:t>
      </w:r>
      <w:r>
        <w:rPr>
          <w:rFonts w:ascii="Times New Roman;sans-serif" w:hAnsi="Times New Roman;sans-serif"/>
          <w:b w:val="false"/>
          <w:i/>
          <w:color w:val="000000"/>
          <w:sz w:val="16"/>
        </w:rPr>
        <w:t xml:space="preserve">, </w:t>
      </w:r>
      <w:r>
        <w:rPr>
          <w:color w:val="000000"/>
        </w:rPr>
        <w:t>“</w:t>
      </w:r>
      <w:r>
        <w:rPr>
          <w:rFonts w:ascii="Times New Roman;sans-serif" w:hAnsi="Times New Roman;sans-serif"/>
          <w:b w:val="false"/>
          <w:i/>
          <w:color w:val="000000"/>
          <w:sz w:val="16"/>
        </w:rPr>
        <w:t xml:space="preserve">Reinsurance” </w:t>
      </w:r>
      <w:r>
        <w:rPr>
          <w:rFonts w:ascii="Times New Roman;sans-serif" w:hAnsi="Times New Roman;sans-serif"/>
          <w:b w:val="false"/>
          <w:color w:val="000000"/>
          <w:sz w:val="16"/>
        </w:rPr>
        <w:t>for additional information.</w:t>
      </w:r>
    </w:p>
    <w:p>
      <w:pPr>
        <w:pStyle w:val="TextBody"/>
        <w:bidi w:val="0"/>
        <w:spacing w:before="0" w:after="0"/>
        <w:ind w:left="0" w:right="0" w:hanging="360"/>
        <w:jc w:val="both"/>
        <w:rPr/>
      </w:pPr>
      <w:r>
        <w:rPr/>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“claims incurred” section of the table above shows claims and claim expenses incurred on defaults occurring in current and prior years, including IBNR reserves, and is presented net of reinsurance. The amount of claims incurred relating to current year defaults increased during the three months ended March 31, 2025, compared to the same period in the prior year, primarily due to an increase in the total number of new delinquencies emerging during the period tied to the growth and natural seasoning of our portfolio, partially offset by a decrease in the average case reserve established against newly defaulted loans. Our provision for claims and claim expenses during both the three months ended March 31, 2025 and 2024 benefited from favorable development on prior year defaults. We recognized $30.1 million and $29.3 million of favorable prior year development during the three months ended March 31, 2025 and 2024, respectively, primarily due to cure activity and ongoing analysis of recent loss development trends. We may increase or decrease our claim estimates and reserves as we learn additional information about individual defaulted loans, and continue to observe and analyze loss development trends in our portfolio. Gross reserves of $108.4 million related to prior year defaults remained as of March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NMI HOLDINGS, INC.</w:t>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(UNAUDITED)</w:t>
      </w:r>
    </w:p>
    <w:p>
      <w:pPr>
        <w:pStyle w:val="TextBody"/>
        <w:bidi w:val="0"/>
        <w:spacing w:lineRule="auto" w:line="288" w:before="180" w:after="180"/>
        <w:jc w:val="both"/>
        <w:rPr>
          <w:rFonts w:ascii="Times New Roman;sans-serif" w:hAnsi="Times New Roman;sans-serif"/>
          <w:b/>
          <w:color w:val="000000"/>
          <w:sz w:val="20"/>
        </w:rPr>
      </w:pPr>
      <w:r>
        <w:rPr>
          <w:rFonts w:ascii="Times New Roman;sans-serif" w:hAnsi="Times New Roman;sans-serif"/>
          <w:b/>
          <w:color w:val="000000"/>
          <w:sz w:val="20"/>
        </w:rPr>
        <w:t xml:space="preserve">7. Earnings per Share (EPS)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Basic EPS is based on the weighted average number of shares of common stock outstanding. Diluted EPS is based on the weighted average number of shares of common stock outstanding and common stock equivalents that would be issuable upon the vesting of service-based and performance and service-based restricted stock units (RSUs), and the exercise of vested and unvested stock options.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the net income and the weighted average shares of common stock outstanding used in the computations of basic and diluted EPS of common stock:</w:t>
      </w:r>
    </w:p>
    <w:tbl>
      <w:tblPr>
        <w:tblW w:w="8289" w:type="dxa"/>
        <w:jc w:val="left"/>
        <w:tblInd w:w="0" w:type="dxa"/>
        <w:tblLayout w:type="fixed"/>
        <w:tblCellMar>
          <w:top w:w="28" w:type="dxa"/>
          <w:left w:w="28" w:type="dxa"/>
          <w:bottom w:w="28" w:type="dxa"/>
          <w:right w:w="28" w:type="dxa"/>
        </w:tblCellMar>
      </w:tblPr>
      <w:tblGrid>
        <w:gridCol w:w="1363"/>
        <w:gridCol w:w="1196"/>
        <w:gridCol w:w="1206"/>
        <w:gridCol w:w="109"/>
        <w:gridCol w:w="109"/>
        <w:gridCol w:w="231"/>
        <w:gridCol w:w="231"/>
        <w:gridCol w:w="447"/>
        <w:gridCol w:w="1753"/>
        <w:gridCol w:w="231"/>
        <w:gridCol w:w="109"/>
        <w:gridCol w:w="109"/>
        <w:gridCol w:w="109"/>
        <w:gridCol w:w="211"/>
        <w:gridCol w:w="721"/>
        <w:gridCol w:w="154"/>
      </w:tblGrid>
      <w:tr>
        <w:trPr/>
        <w:tc>
          <w:tcPr>
            <w:tcW w:w="1363"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75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March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4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8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for per share data)</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 basic and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102,559 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4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Basic weighted average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78,407 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 of issuable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Diluted weighted average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2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79,858 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4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4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8. Segment Reporting</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manage our business activities on a consolidated basis under a single reportable operating segment and our Chief Executive Officer (CEO) serves as our Chief Operating Decision Maker (CODM).</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Mortgage Insurance segment provides private mortgage insurance and ancillary loan review services, and our CODM evaluates our performance and allocates resources based on our consolidated financial results, including consolidated revenue, expenses, net income, assets and shareholders' equity. Our CODM reviews these financial metrics to gauge our performance and make strategic decisions, such as whether to reinvest profits in our Mortgage Insurance segment or return capital to shareholders.</w:t>
      </w:r>
    </w:p>
    <w:p>
      <w:pPr>
        <w:pStyle w:val="TextBody"/>
        <w:bidi w:val="0"/>
        <w:spacing w:lineRule="auto" w:line="288" w:before="0" w:after="180"/>
        <w:ind w:left="0" w:right="0" w:firstLine="720"/>
        <w:jc w:val="both"/>
        <w:rPr/>
      </w:pPr>
      <w:r>
        <w:rPr>
          <w:rFonts w:ascii="Times New Roman;sans-serif" w:hAnsi="Times New Roman;sans-serif"/>
          <w:b w:val="false"/>
          <w:color w:val="000000"/>
          <w:sz w:val="20"/>
        </w:rPr>
        <w:t>The significant revenue and expense categories that are regularly reviewed by our CODM align with those presented on our condensed consolidated statements of operations and comprehensive income, and segment assets align with total assets as those presented on our condensed consolidated balance sheets. The accounting policies governing our Mortgage Insurance segment are the same as those described in Item 8, “</w:t>
      </w:r>
      <w:r>
        <w:rPr>
          <w:rFonts w:ascii="Times New Roman;sans-serif" w:hAnsi="Times New Roman;sans-serif"/>
          <w:b w:val="false"/>
          <w:i/>
          <w:color w:val="000000"/>
          <w:sz w:val="20"/>
        </w:rPr>
        <w:t>Financial Statements and Supplementary Data - Notes to Consolidated Financial Statements - Note 2 - Summary of Accounting Principles”</w:t>
      </w:r>
      <w:r>
        <w:rPr>
          <w:color w:val="000000"/>
        </w:rPr>
        <w:t xml:space="preserve"> </w:t>
      </w:r>
      <w:r>
        <w:rPr>
          <w:rFonts w:ascii="Times New Roman;sans-serif" w:hAnsi="Times New Roman;sans-serif"/>
          <w:b w:val="false"/>
          <w:color w:val="000000"/>
          <w:sz w:val="20"/>
        </w:rPr>
        <w:t>of our 2024 10-K.</w:t>
      </w:r>
    </w:p>
    <w:p>
      <w:pPr>
        <w:pStyle w:val="TextBody"/>
        <w:bidi w:val="0"/>
        <w:spacing w:lineRule="auto" w:line="288" w:before="0" w:after="180"/>
        <w:ind w:left="0" w:right="0" w:firstLine="720"/>
        <w:jc w:val="both"/>
        <w:rPr/>
      </w:pPr>
      <w:r>
        <w:rPr>
          <w:rFonts w:ascii="Times New Roman;sans-serif" w:hAnsi="Times New Roman;sans-serif"/>
          <w:b w:val="false"/>
          <w:color w:val="000000"/>
          <w:sz w:val="20"/>
        </w:rPr>
        <w:t>Investment income, also referred to as interest revenue, is reported within “</w:t>
      </w:r>
      <w:r>
        <w:rPr>
          <w:rFonts w:ascii="Times New Roman;sans-serif" w:hAnsi="Times New Roman;sans-serif"/>
          <w:b w:val="false"/>
          <w:i/>
          <w:color w:val="000000"/>
          <w:sz w:val="20"/>
        </w:rPr>
        <w:t>Net Investment Income</w:t>
      </w:r>
      <w:r>
        <w:rPr>
          <w:color w:val="000000"/>
        </w:rPr>
        <w:t xml:space="preserve">” </w:t>
      </w:r>
      <w:r>
        <w:rPr>
          <w:rFonts w:ascii="Times New Roman;sans-serif" w:hAnsi="Times New Roman;sans-serif"/>
          <w:b w:val="false"/>
          <w:color w:val="000000"/>
          <w:sz w:val="20"/>
        </w:rPr>
        <w:t>on our condensed consolidated statements of operations and was $24.0 million and $19.7 million for the three months ended March 31, 2025 and 2024, respectively</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 xml:space="preserve">Amortization and depreciation expense for software, equipment, and leasehold improvements was $2.9 million and $3.0 million for the three months ended March 31, 2025 and 2024,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ans-serif" w:hAnsi="Times New Roman;sans-serif"/>
          <w:b/>
          <w:color w:val="000000"/>
          <w:sz w:val="20"/>
        </w:rPr>
      </w:pPr>
      <w:r>
        <w:rPr>
          <w:rFonts w:ascii="Times New Roman;sans-serif" w:hAnsi="Times New Roman;sans-serif"/>
          <w:b/>
          <w:color w:val="000000"/>
          <w:sz w:val="20"/>
        </w:rPr>
        <w:t>9. Income Taxes</w:t>
      </w:r>
    </w:p>
    <w:p>
      <w:pPr>
        <w:pStyle w:val="TextBody"/>
        <w:bidi w:val="0"/>
        <w:spacing w:lineRule="auto" w:line="288" w:before="18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a U.S. taxpayer and are subject to a statutory U.S. federal corporate income tax rate of 21%. Taxable income is reported on our consolidated U.S. federal and various state income tax returns, filed by NMIH on behalf of itself and its subsidiaries. Our effective tax rate on pre-tax income was 21.9% and 22.3% for the three months ended March 31, 2025 and 2024, respectively. Our provision for income taxes for interim reporting periods is established based on our estimated annual effective tax rate for a given year. Our effective tax rate may fluctuate between interim periods due to the impact of discrete items not included in our estimated annual effective tax rate, including the tax effects associated with the vesting of RSUs and exercise of options. Such items are treated on a discrete basis in the reporting period in which they occur.</w:t>
      </w:r>
    </w:p>
    <w:p>
      <w:pPr>
        <w:pStyle w:val="TextBody"/>
        <w:bidi w:val="0"/>
        <w:spacing w:lineRule="auto" w:line="288" w:before="18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mortgage guaranty insurance company, we are eligible to claim a tax deduction for our statutory contingency reserve balance, subject to certain limitations outlined under IRC Section 832(e), and only to the extent we acquire tax and loss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NMI HOLDINGS, INC.</w:t>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(UNAUDITED)</w:t>
      </w:r>
    </w:p>
    <w:p>
      <w:pPr>
        <w:pStyle w:val="TextBody"/>
        <w:bidi w:val="0"/>
        <w:spacing w:lineRule="auto" w:line="288" w:before="180" w:after="180"/>
        <w:jc w:val="both"/>
        <w:rPr/>
      </w:pPr>
      <w:r>
        <w:rPr>
          <w:rFonts w:ascii="Times New Roman;sans-serif" w:hAnsi="Times New Roman;sans-serif"/>
          <w:b w:val="false"/>
          <w:color w:val="000000"/>
          <w:sz w:val="20"/>
        </w:rPr>
        <w:t xml:space="preserve">bonds in an amount equal to the tax benefit derived from the claimed deduction, which is our intent. As a result, our interim provision for income taxes for the three months ended March 31, 2025 and 2024 primarily represents a change in our net deferred tax liability. As of March 31, 2025 and December 31, 2024, we held $322.2 million of tax and loss bonds in </w:t>
      </w:r>
      <w:r>
        <w:rPr>
          <w:color w:val="000000"/>
        </w:rPr>
        <w:t>“</w:t>
      </w:r>
      <w:r>
        <w:rPr>
          <w:rFonts w:ascii="Times New Roman;sans-serif" w:hAnsi="Times New Roman;sans-serif"/>
          <w:b w:val="false"/>
          <w:i/>
          <w:color w:val="000000"/>
          <w:sz w:val="20"/>
        </w:rPr>
        <w:t>Prepaid Federal Income Taxes”</w:t>
      </w:r>
      <w:r>
        <w:rPr>
          <w:color w:val="000000"/>
        </w:rPr>
        <w:t xml:space="preserve"> </w:t>
      </w:r>
      <w:r>
        <w:rPr>
          <w:rFonts w:ascii="Times New Roman;sans-serif" w:hAnsi="Times New Roman;sans-serif"/>
          <w:b w:val="false"/>
          <w:color w:val="000000"/>
          <w:sz w:val="20"/>
        </w:rPr>
        <w:t>on our condensed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10. Stockholders' Equity</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31, 2023, our Board of Directors authorized the $200 million 2023 Repurchase Program (excluding associated costs and applicable taxes) effective through December 31, 2025. On February 5, 2025, our Board of Directors authorized the new $250 million 2025 Repurchase Program (excluding associated costs and applicable taxes) effective through December 31, 2027 and extended the 2023 Repurchase Program through December 31, 2027 to align its remaining tenor with that of the 2025 Repurchase Program. The authorization provides us the flexibility, based on market and business conditions, stock price and other factors, to repurchase stock from time to time through open market purchases, privately negotiated transactions, or other means, including pursuant to Rule 10b5-1 trading plans.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2025, we repurchased 0.7 million shares at an average price of $36.12 per share (excluding associated costs and applicable taxes). As of March 31, 2025, we had $304.2 million of repurchase authority remaining.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 xml:space="preserve">11. Litigation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record a litigation liability when we determine that it is probable a litigation loss will be incurred and the amount of such anticipated loss can be reasonably estimated. In the event we determine that a litigation loss is reasonably possible (though not probable), we disclose an estimate of the possible loss if such estimate can be reasonably established or disclose the matter with no estimate if such estimate cannot be reasonably made. We evaluate litigation and other legal developments that could affect our accrual for probable losses or our estimated disclosure of possible losses and make ongoing adjustments to our accruals and disclosures as appropriate. Significant judgment is required to determine both the likelihood and the estimated amount of potential losses related to such matters.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currently named as a defendant in a litigation proceeding pertaining to the refund of certain mortgage insurance premiums under the Homeowners Protection Act. The case was dismissed in September 2023 and is currently pending appeal. We do not currently expect that we will incur a material loss in connection with the case and have not recorded a litigation liability for this matter.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 xml:space="preserve">12. Premiums Receivable, Net </w:t>
      </w:r>
    </w:p>
    <w:p>
      <w:pPr>
        <w:pStyle w:val="TextBody"/>
        <w:bidi w:val="0"/>
        <w:spacing w:before="0" w:after="0"/>
        <w:jc w:val="left"/>
        <w:rPr/>
      </w:pPr>
      <w:r>
        <w:rPr/>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Premiums receivable consists of premiums due on our mortgage insurance policies. If a mortgage insurance premium is unpaid for more than 120 days, the associated receivable is written off against earned premium and the related insurance policy is canceled. Premiums receivable may be written off prior to 120 days in the ordinary course of business for non-credit events including, but not limited to, the modification or refinancing of an underlying insured loan. We established a $1.8 million and $2.2 million reserve for premium write-offs at March 31, 2025 and December 31, 2024, respectively.</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separately recognize an allowance for credit losses for premiums receivable based on credit losses expected to arise over the life of the receivable. Due to the nature of our insurance policies (a necessary precondition for access to mortgage credit for covered borrowers) and the short duration of the related receivables, we do not typically experience credit losses against our premium receivables and the allowance for credit loss established on premium receivable was deemed immaterial at March 31, 2025 and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13. Regulatory Information</w:t>
      </w:r>
    </w:p>
    <w:p>
      <w:pPr>
        <w:pStyle w:val="TextBody"/>
        <w:bidi w:val="0"/>
        <w:spacing w:lineRule="auto" w:line="288" w:before="0" w:after="180"/>
        <w:jc w:val="both"/>
        <w:rPr/>
      </w:pPr>
      <w:r>
        <w:rPr>
          <w:color w:val="000000"/>
        </w:rPr>
        <w:t>    </w:t>
      </w:r>
      <w:r>
        <w:rPr>
          <w:rFonts w:ascii="Times New Roman;sans-serif" w:hAnsi="Times New Roman;sans-serif"/>
          <w:b w:val="false"/>
          <w:i/>
          <w:color w:val="000000"/>
          <w:sz w:val="20"/>
        </w:rPr>
        <w:t>Statutory Requirements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insurance subsidiaries, NMIC and Re One, file financial statements in conformity with statutory accounting principles (SAP) prescribed or permitted by the Wisconsin OCI, NMIC's principal regulator. Prescribed SAP includes state laws, regulations and general administrative rules, as well as a variety of publications of the National Association of Insurance Commissioners (NAIC). The Wisconsin OCI recognizes only statutory accounting practices prescribed or permitted by the state of Wisconsin for determining and reporting the financial condition and results of operations of an insurance company and for determining its solvency under Wisconsin insurance laws.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NMIC and Re One generated combined statutory net income of $36.8 million and $34.7 million for the three months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NMI HOLDINGS, INC.</w:t>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(UNAUDITED)</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ended March 31, 2025 and 2024, respectively.</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Wisconsin OCI has imposed a prescribed accounting practice for the treatment of statutory contingency reserves that differs from the treatment promulgated by the NAIC. Under Wisconsin OCI's prescribed practice mortgage guaranty insurers are required to reflect changes in their contingency reserves through statutory income. Such approach contrasts with the NAIC's treatment, which records changes to contingency reserves directly to unassigned funds. As a Wisconsin-domiciled insurer, NMIC's statutory net income reflects an expense associated with the change in its contingency reserve. While such treatment impacts NMIC's statutory net income, it does not have an effect on NMIC's statutory capital position.</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NMIC's statutory surplus, contingency reserve, statutory capital and risk-to-capital (RTC) ratio as of March 31, 2025 and December 31, 2024.</w:t>
      </w:r>
    </w:p>
    <w:tbl>
      <w:tblPr>
        <w:tblW w:w="5404" w:type="dxa"/>
        <w:jc w:val="left"/>
        <w:tblInd w:w="0" w:type="dxa"/>
        <w:tblLayout w:type="fixed"/>
        <w:tblCellMar>
          <w:top w:w="28" w:type="dxa"/>
          <w:left w:w="28" w:type="dxa"/>
          <w:bottom w:w="28" w:type="dxa"/>
          <w:right w:w="28" w:type="dxa"/>
        </w:tblCellMar>
      </w:tblPr>
      <w:tblGrid>
        <w:gridCol w:w="651"/>
        <w:gridCol w:w="573"/>
        <w:gridCol w:w="576"/>
        <w:gridCol w:w="211"/>
        <w:gridCol w:w="976"/>
        <w:gridCol w:w="109"/>
        <w:gridCol w:w="109"/>
        <w:gridCol w:w="109"/>
        <w:gridCol w:w="109"/>
        <w:gridCol w:w="244"/>
        <w:gridCol w:w="1130"/>
        <w:gridCol w:w="126"/>
        <w:gridCol w:w="109"/>
        <w:gridCol w:w="109"/>
        <w:gridCol w:w="109"/>
        <w:gridCol w:w="154"/>
      </w:tblGrid>
      <w:tr>
        <w:trPr/>
        <w:tc>
          <w:tcPr>
            <w:tcW w:w="65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Statutory surplus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984,362 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Contingency reserve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1,991,095 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1,905,990 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Statutory capital </w:t>
            </w:r>
            <w:r>
              <w:rPr>
                <w:rFonts w:ascii="Times New Roman;sans-serif" w:hAnsi="Times New Roman;sans-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3,010,126 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2,890,352 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Risk-to-capital </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12.6:1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12.7:1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    Represents the total of the statutory surplus and contingency reserve.</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Re One had $2.1 million of statutory capital at March 31, 2025 and December 31, 2024.</w:t>
      </w:r>
    </w:p>
    <w:p>
      <w:pPr>
        <w:pStyle w:val="TextBody"/>
        <w:bidi w:val="0"/>
        <w:spacing w:lineRule="auto" w:line="288" w:before="0" w:after="180"/>
        <w:ind w:left="0" w:right="0" w:firstLine="720"/>
        <w:jc w:val="both"/>
        <w:rPr/>
      </w:pPr>
      <w:r>
        <w:rPr>
          <w:rFonts w:ascii="Times New Roman;sans-serif" w:hAnsi="Times New Roman;sans-serif"/>
          <w:b w:val="false"/>
          <w:color w:val="000000"/>
          <w:sz w:val="20"/>
        </w:rPr>
        <w:t>NMIH is not subject to any limitations on its ability to pay dividends except those generally applicable to corporations that are incorporated in Delaware. Delaware law provides that dividends are only payable out of a corporation's capital surplus or, subject to certain limitations, recent net profits.</w:t>
      </w:r>
      <w:r>
        <w:rPr>
          <w:color w:val="000000"/>
          <w:shd w:fill="FFFFFF" w:val="clear"/>
        </w:rPr>
        <w:t xml:space="preserve"> </w:t>
      </w:r>
    </w:p>
    <w:p>
      <w:pPr>
        <w:pStyle w:val="TextBody"/>
        <w:bidi w:val="0"/>
        <w:spacing w:lineRule="auto" w:line="288" w:before="0" w:after="180"/>
        <w:ind w:left="0" w:right="0" w:firstLine="720"/>
        <w:jc w:val="both"/>
        <w:rPr/>
      </w:pPr>
      <w:r>
        <w:rPr>
          <w:rFonts w:ascii="Times New Roman;sans-serif" w:hAnsi="Times New Roman;sans-serif"/>
          <w:b w:val="false"/>
          <w:color w:val="000000"/>
          <w:sz w:val="20"/>
        </w:rPr>
        <w:t>NMIC and Re One are subject to certain rules and regulations prescribed by jurisdictions in which they are authorized to operate and the GSEs that may restrict their ability to pay dividends to NMIH.</w:t>
      </w:r>
      <w:r>
        <w:rPr>
          <w:color w:val="000000"/>
        </w:rPr>
        <w:t xml:space="preserve"> </w:t>
      </w:r>
      <w:r>
        <w:rPr>
          <w:rFonts w:ascii="Times New Roman;sans-serif" w:hAnsi="Times New Roman;sans-serif"/>
          <w:b w:val="false"/>
          <w:color w:val="000000"/>
          <w:sz w:val="20"/>
        </w:rPr>
        <w:t>NMIC has the capacity to pay $98.4 million of aggregate ordinary dividends to NMIH during the twelve-month period ending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198"/>
        <w:jc w:val="both"/>
        <w:rPr/>
      </w:pPr>
      <w:r>
        <w:rPr/>
      </w:r>
    </w:p>
    <w:p>
      <w:pPr>
        <w:pStyle w:val="TextBody"/>
        <w:bidi w:val="0"/>
        <w:spacing w:lineRule="auto" w:line="288" w:before="180" w:after="180"/>
        <w:jc w:val="both"/>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0" w:after="180"/>
        <w:jc w:val="both"/>
        <w:rPr/>
      </w:pPr>
      <w:r>
        <w:rPr>
          <w:color w:val="000000"/>
        </w:rPr>
        <w:t>    </w:t>
      </w:r>
      <w:r>
        <w:rPr>
          <w:rFonts w:ascii="Times New Roman;sans-serif" w:hAnsi="Times New Roman;sans-serif"/>
          <w:b w:val="false"/>
          <w:i/>
          <w:color w:val="000000"/>
          <w:sz w:val="20"/>
        </w:rPr>
        <w:t>The following analysis should be read in conjunction with our unaudited condensed consolidated financial statements and the notes thereto included in this report and our audited financial statements, notes thereto and “Management's Discussion and Analysis of Financial Condition and Results of Operations” included in our 2024 10-K, for a more complete understanding of our financial position and results of operations. In addition, investors should review the “Cautionary Note Regarding Forward-Looking Statements” above and the “Risk Factors” detailed in Part II, Item 1A of this report and in Part I, Item 1A of our 2024 10-K, as subsequently updated in other reports we file with the SEC, for a discussion of those risks and uncertainties that have the potential to affect our business, financial condition, results of operations, cash flows or prospects in a material and adverse manner. Our results of operations for interim periods are not necessarily indicative of results to be expected for a full fiscal year or for any other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provide private MI through our primary insurance subsidiary, NMIC. NMIC is wholly-owned, domiciled in Wisconsin and principally regulated by the Wisconsin OCI. NMIC is approved as an MI provider by the GSEs and is licensed to write coverage in all 50 states and D.C. Our subsidiary, NMIS, provides outsourced loan review services to mortgage loan originators and our subsidiary, Re One, historically provided reinsurance coverage to NMIC in accordance with certain statutory risk retention requirements. Such requirements have been repealed and the reinsurance coverage provided by Re One to NMIC has been commuted. Re One remains a wholly-owned, licensed insurance subsidiary; however, it does not currently have active insurance exposures.</w:t>
      </w:r>
    </w:p>
    <w:p>
      <w:pPr>
        <w:pStyle w:val="TextBody"/>
        <w:bidi w:val="0"/>
        <w:spacing w:lineRule="auto" w:line="288" w:before="0" w:after="180"/>
        <w:ind w:left="0" w:right="0" w:firstLine="720"/>
        <w:jc w:val="both"/>
        <w:rPr/>
      </w:pPr>
      <w:r>
        <w:rPr>
          <w:rFonts w:ascii="Times New Roman;sans-serif" w:hAnsi="Times New Roman;sans-serif"/>
          <w:b w:val="false"/>
          <w:color w:val="000000"/>
          <w:sz w:val="20"/>
        </w:rPr>
        <w:t>MI protects lenders and investors from default-related losses on a portion of the unpaid principal balance of a covered mortgage. MI plays a critical role in the U.S. housing market by mitigating mortgage credit risk and facilitating the secondary market sale of high- loan-to-value (LTV) (</w:t>
      </w:r>
      <w:r>
        <w:rPr>
          <w:rFonts w:ascii="Times New Roman;sans-serif" w:hAnsi="Times New Roman;sans-serif"/>
          <w:b w:val="false"/>
          <w:i/>
          <w:color w:val="000000"/>
          <w:sz w:val="20"/>
        </w:rPr>
        <w:t xml:space="preserve">i.e., </w:t>
      </w:r>
      <w:r>
        <w:rPr>
          <w:rFonts w:ascii="Times New Roman;sans-serif" w:hAnsi="Times New Roman;sans-serif"/>
          <w:b w:val="false"/>
          <w:color w:val="000000"/>
          <w:sz w:val="20"/>
        </w:rPr>
        <w:t>above 80%) residential loans to the GSEs, who are otherwise restricted by their charters from purchasing or guaranteeing high-LTV mortgages that are not covered by certain credit protections. Such credit protection and secondary market sales allow lenders to increase their capacity for mortgage commitments and expand financing access to existing and prospective homeowners.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NMIH, a Delaware corporation, was incorporated in May 2011, and we began start-up operations in 2012 and wrote our first MI policy in 2013. Since formation, we have sought to establish customer relationships with a broad group of mortgage lenders and build a diversified, high-quality insured portfolio. As of March 31, 2025, we had issued master policies with 2,101 customers, including national and regional mortgage banks, money center banks, credit unions, community banks, builder-owned mortgage lenders, internet-sourced lenders and other non-bank lenders. As of March 31, 2025, we had $211.3 billion of primary insurance-in-force (IIF) and $56.5 billion of primary risk-in-force (RIF). </w:t>
      </w:r>
    </w:p>
    <w:p>
      <w:pPr>
        <w:pStyle w:val="TextBody"/>
        <w:bidi w:val="0"/>
        <w:spacing w:lineRule="auto" w:line="288" w:before="0" w:after="180"/>
        <w:ind w:left="0" w:right="0" w:firstLine="720"/>
        <w:jc w:val="both"/>
        <w:rPr/>
      </w:pPr>
      <w:r>
        <w:rPr>
          <w:rFonts w:ascii="Times New Roman;sans-serif" w:hAnsi="Times New Roman;sans-serif"/>
          <w:b w:val="false"/>
          <w:color w:val="000000"/>
          <w:sz w:val="20"/>
        </w:rPr>
        <w:t>We believe that our success in acquiring a large and diverse group of lender customers and growing a portfolio of high-quality IIF traces to our founding principles, whereby we aim to help qualified individuals achieve their homeownership goals, ensure that we remain a strong and credible counter-party, deliver a high-quality customer service experience, establish a differentiated risk management approach that emphasizes the individual underwriting review or validation of the vast majority of the loans we insure, utilizing our proprietary Rate GPS</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 xml:space="preserve">pricing platform to dynamically evaluate risk and price our policies, and foster a culture of collaboration and excellence that helps us attract and retain experienced industry leaders.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strategy is to continue to build on our position in the private MI market, expand our customer base and grow our insured portfolio of high-quality residential loans by focusing on long-term customer relationships, disciplined and proactive risk selection and pricing, fair and transparent claim payment practices, responsive customer service, and financial strength and profitability.</w:t>
      </w:r>
    </w:p>
    <w:p>
      <w:pPr>
        <w:pStyle w:val="TextBody"/>
        <w:bidi w:val="0"/>
        <w:spacing w:lineRule="auto" w:line="288" w:before="0" w:after="180"/>
        <w:ind w:left="0" w:right="0" w:firstLine="720"/>
        <w:jc w:val="both"/>
        <w:rPr/>
      </w:pPr>
      <w:r>
        <w:rPr>
          <w:rFonts w:ascii="Times New Roman;sans-serif" w:hAnsi="Times New Roman;sans-serif"/>
          <w:b w:val="false"/>
          <w:color w:val="000000"/>
          <w:sz w:val="20"/>
        </w:rPr>
        <w:t xml:space="preserve">Our common stock trades on the Nasdaq under the symbol “NMIH.” Our headquarters is located in Emeryville, California. As of March 31, 2025, we had 230 employees. Our corporate website is located at </w:t>
      </w:r>
      <w:r>
        <w:rPr>
          <w:rFonts w:ascii="Times New Roman;sans-serif" w:hAnsi="Times New Roman;sans-serif"/>
          <w:b w:val="false"/>
          <w:i/>
          <w:color w:val="000000"/>
          <w:sz w:val="20"/>
        </w:rPr>
        <w:t>www.nationalmi.com</w:t>
      </w:r>
      <w:r>
        <w:rPr>
          <w:rFonts w:ascii="Times New Roman;sans-serif" w:hAnsi="Times New Roman;sans-serif"/>
          <w:b w:val="false"/>
          <w:color w:val="000000"/>
          <w:sz w:val="20"/>
        </w:rPr>
        <w:t>. Our website and the information contained on or accessible through our website are not incorporated by reference into this report.</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discuss below our results of operations for the periods presented, as well as the conditions and trends that have impacted or are expected to impact our business, including new insurance writings, the composition of our insurance portfolio and other factors that we expect to impact our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198"/>
        <w:jc w:val="both"/>
        <w:rPr/>
      </w:pPr>
      <w:r>
        <w:rPr/>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Conditions and Trends Affecting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 xml:space="preserve">Macroeconomic Developments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Macroeconomic factors, including persistent inflation, elevated interest rates, flagging consumer confidence and increasing jobless claims could have a pronounced impact on the housing market, the mortgage insurance industry and our business in future periods. A marked decline in housing demand, a significant and protracted decrease in house prices or a sustained increase in unemployment could reduce the pace of new business activity in the private mortgage insurance market and negatively impact our future new insurance written (NIW) volume, or contribute to an increase in our future default and claim experience.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Key Factors Affecting Our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New Insurance Written, Insurance-In-Force and Risk-In-Force</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NIW is the aggregate unpaid principal balance of mortgages underpinning new policies written during a given period. Our NIW is affected by the overall size of the mortgage origination market and the volume of high-LTV mortgage originations. Our NIW is also affected by the percentage of such high-LTV originations covered by private versus government MI or other alternative credit enhancement structures and our share of the private MI market. NIW, together with persistency, drives our IIF. IIF is the aggregate unpaid principal balance of the mortgages we insure, as reported to us by servicers at a given date, and represents the sum total of NIW from all prior periods less principal payments on insured mortgages and policy cancellations (including for prepayment, nonpayment of premiums, coverage rescission and claim payments). RIF is related to IIF and represents the aggregate amount of coverage we provide on all outstanding policies at a given date. RIF is calculated as the sum total of the coverage percentage of each individual policy in our portfolio applied to the unpaid principal balance of such insured mortgage. RIF is affected by IIF and the LTV profile of our insured mortgages, with lower LTV loans generally having a lower coverage percentage and higher LTV loans having a higher coverage percentage. Gross RIF represents RIF before consideration of reinsurance. Net RIF is gross RIF net of ceded reinsurance.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Net Premiums Written and Net Premiums Earned</w:t>
      </w:r>
    </w:p>
    <w:p>
      <w:pPr>
        <w:pStyle w:val="TextBody"/>
        <w:bidi w:val="0"/>
        <w:spacing w:lineRule="auto" w:line="288" w:before="0" w:after="180"/>
        <w:ind w:left="0" w:right="0" w:firstLine="720"/>
        <w:jc w:val="both"/>
        <w:rPr/>
      </w:pPr>
      <w:r>
        <w:rPr>
          <w:rFonts w:ascii="Times New Roman;sans-serif" w:hAnsi="Times New Roman;sans-serif"/>
          <w:b w:val="false"/>
          <w:color w:val="000000"/>
          <w:sz w:val="20"/>
        </w:rPr>
        <w:t>We set our premium rates on individual policies based on the risk characteristics of the underlying mortgage loans and borrowers, and in accordance with our filed rates and applicable rating rules. We primarily price our policies through a proprietary risk-based pricing platform, which we refer to as Rate GPS</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Rate GPS</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considers a broad range of individual variables, including property type, type of loan product, borrower credit characteristics, and lender and market factors, and provides us with the ability to set and charge premium rates commensurate with the underlying risk of each loan that we insure. While most of our new business is priced through Rate GPS</w:t>
      </w:r>
      <w:r>
        <w:rPr>
          <w:rFonts w:ascii="Times New Roman;sans-serif" w:hAnsi="Times New Roman;sans-serif"/>
          <w:b w:val="false"/>
          <w:color w:val="000000"/>
          <w:sz w:val="13"/>
        </w:rPr>
        <w:t>®</w:t>
      </w:r>
      <w:r>
        <w:rPr>
          <w:rFonts w:ascii="Times New Roman;sans-serif" w:hAnsi="Times New Roman;sans-serif"/>
          <w:b w:val="false"/>
          <w:color w:val="000000"/>
          <w:sz w:val="20"/>
        </w:rPr>
        <w:t>, we also offer a rate card pricing option to a limited number of lender customers who require a rate card for operational reasons. We believe that the utilization of Rate GPS</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provides us with a more granular and analytical approach to evaluating and pricing risk, and that this approach enhances our ability to continue building a high-quality mortgage insurance portfolio and delivering attractive risk-adjusted returns.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Premiums are generally fixed for the duration of our coverage of the underlying loans. Net premiums written are equal to gross premiums written minus ceded premiums written under our reinsurance arrangements, less premium refunds and premium write-offs. As a result, net premiums written are generally influenced by:</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NIW;</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premium rates and the mix of premium payment type, which are either single, monthly or annual premiums, as described below;</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cancellation rates of our insurance policies, which are impacted by payments or prepayments on mortgages, refinancings (which are affected by prevailing mortgage interest rates as compared to interest rates on loans underpinning our in force policies), levels of claim payments and home prices;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cession of premiums under third-party reinsurance arrangements.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Premiums are paid either by the borrower (borrower-paid mortgage insurance or BPMI) or the lender (lender-paid mortgage insurance or LPMI) in a single payment at origination (single premium), on a monthly installment basis (monthly premium) or on an annual installment basis (annual premium). Our net premiums written will differ from our net premiums earned due to policy payment type. For single premiums, we receive a single premium payment at origination, which is earned over the estimated life of the policy. Substantially all of our single premium policies in force as of March 31, 2025 were non-refundable under most cancellation scenarios. If non-refundable single premium policies are canceled, we immediately recognize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198"/>
        <w:jc w:val="both"/>
        <w:rPr/>
      </w:pPr>
      <w:r>
        <w:rPr/>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remaining unearned premium balances as earned premium revenue. Monthly premiums are recognized in the month billed and when the coverage is effective. Annual premiums are earned on a straight-line basis over the year of coverage. Substantially all of our policies provide for either single or monthly premiums.</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percentage of IIF that remains on our books after any twelve-month period is defined as our persistency rate. Because our insurance premiums are earned over the life of a policy, higher persistency rates can have a significant impact on our net premiums earned and profitability. Generally, faster speeds of mortgage prepayment lead to lower persistency. Prepayment speeds and the relative mix of business between single and monthly premium policies also impact our profitability. Our premium rates include certain assumptions regarding repayment or prepayment speeds of the mortgages underlying our policies. Because premiums are paid at origination on single premium policies and our single premium policies are generally non-refundable on cancellation, assuming all other factors remain constant, if single premium loans are prepaid earlier than expected, our profitability on these loans is likely to increase and, if loans are repaid slower than expected, our profitability on these loans is likely to decrease. By contrast, if monthly premium loans are repaid earlier than anticipated, we do not earn any more premium with respect to those loans and, unless we replace the repaid monthly premium loan with a new loan at the same premium rate or higher, our revenue is likely to decline.</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Effect of Reinsurance on Our Results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utilize third-party reinsurance to actively manage our risk, ensure compliance with PMIERs, state regulatory and other applicable capital requirements, and support the growth of our business. We currently have both quota share and excess-of-loss reinsurance agreements in place, which impact our results of operations and regulatory capital and PMIERs asset positions. Under a quota share reinsurance agreement, the reinsurer receives a premium in exchange for covering an agreed-upon portion of incurred losses. Such a quota share arrangement reduces premiums written and earned and also reduces RIF, providing capital relief to the ceding insurance company and reducing incurred claims in accordance with the terms of the reinsurance agreement. In addition, reinsurers typically pay ceding commissions as part of quota share transactions, which offset the ceding company's acquisition and underwriting expenses. Certain quota share agreements include profit commissions that are earned based on loss performance and serve to reduce ceded premiums. Under an excess-of-loss agreement, the ceding insurer is typically responsible for losses up to an agreed-upon threshold and the reinsurer then provides coverage in excess of such threshold up to a maximum agreed-upon limit. We expect to continue to evaluate reinsurance opportunities in the normal course of business.</w:t>
      </w:r>
    </w:p>
    <w:p>
      <w:pPr>
        <w:pStyle w:val="TextBody"/>
        <w:bidi w:val="0"/>
        <w:spacing w:lineRule="auto" w:line="288" w:before="0" w:after="18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Quota Share Reinsurance</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NMIC is party to nine quota share reinsurance treaties – the 2016 QSR Transaction, effective September 1, 2016 and as modified January 1, 2025, the 2018 QSR Transaction, effective January 1, 2018 and as modified January 1, 2025, the 2020 QSR Transaction, effective April 1, 2020 and as amended January 1, 2024, the 2021 QSR Transaction, effective January 1, 2021 and as modified January 1, 2025, the 2022 QSR Transaction, effective October 1, 2021, the 2022 Seasoned QSR Transaction, effective July 1, 2022, the 2023 QSR Transaction, effective January 1, 2023, the 2024 QSR Transaction, effective January 1, 2024, and the 2025 QSR Transaction, effective January 1, 2025 – which we refer to collectively as the QSR Transactions. Under each of the QSR Transactions, NMIC cedes a proportional share of its risk on eligible policies to panels of third-party reinsurance providers. Each of the third-party reinsurance providers that is party to the QSR Transactions has an insurer financial strength rating of A- or better by S&amp;P, A.M. Best or both.</w:t>
      </w:r>
    </w:p>
    <w:p>
      <w:pPr>
        <w:pStyle w:val="TextBody"/>
        <w:bidi w:val="0"/>
        <w:spacing w:lineRule="auto" w:line="288" w:before="0" w:after="180"/>
        <w:ind w:left="0" w:right="0" w:firstLine="720"/>
        <w:jc w:val="both"/>
        <w:rPr/>
      </w:pPr>
      <w:r>
        <w:rPr>
          <w:rFonts w:ascii="Times New Roman;sans-serif" w:hAnsi="Times New Roman;sans-serif"/>
          <w:b w:val="false"/>
          <w:color w:val="000000"/>
          <w:sz w:val="20"/>
        </w:rPr>
        <w:t xml:space="preserve">Under the terms of the 2016 QSR Transaction, NMIC cedes premiums written related to 20% of the risk on eligible primary policies written for all periods through December 31, 2017 </w:t>
      </w:r>
      <w:r>
        <w:rPr>
          <w:rFonts w:ascii="Times New Roman;sans-serif" w:hAnsi="Times New Roman;sans-serif"/>
          <w:b w:val="false"/>
          <w:color w:val="000000"/>
          <w:sz w:val="20"/>
          <w:shd w:fill="FFFFFF" w:val="clear"/>
        </w:rPr>
        <w:t>in exchange for reimbursement of ceded claims and claim expenses on covered policies, a 20% ceding commission, and a profit commission of up to 60% that varies directly and inversely with ceded claims.</w:t>
      </w:r>
    </w:p>
    <w:p>
      <w:pPr>
        <w:pStyle w:val="TextBody"/>
        <w:bidi w:val="0"/>
        <w:spacing w:lineRule="auto" w:line="288" w:before="0" w:after="18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Under the terms of the 2018 QSR Transaction, NMIC cedes premiums earned related to 24% of the risk on eligible policies written in 2018 and 20% of the risk on eligible policies written in 2019, in exchange for reimbursement of ceded claims and claim expenses on covered policies, a 20% ceding commission, and a profit commission of up to 61% that varies directly and inversely with ceded claims.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720"/>
        <w:jc w:val="both"/>
        <w:rPr/>
      </w:pPr>
      <w:r>
        <w:rPr>
          <w:rFonts w:ascii="Times New Roman;sans-serif" w:hAnsi="Times New Roman;sans-serif"/>
          <w:b w:val="false"/>
          <w:color w:val="000000"/>
          <w:sz w:val="20"/>
          <w:shd w:fill="FFFFFF" w:val="clear"/>
        </w:rPr>
        <w:t>Under the terms of the 2020 QSR Transaction, NMIC cedes premiums earned related to 21% of the risk on eligible policies written between April 1, 2020 and December 31, 2020, in exchange for reimbursement of ceded claims and claim expenses on covered po</w:t>
      </w:r>
      <w:r>
        <w:rPr>
          <w:rFonts w:ascii="Times New Roman;sans-serif" w:hAnsi="Times New Roman;sans-serif"/>
          <w:b w:val="false"/>
          <w:color w:val="000000"/>
          <w:sz w:val="20"/>
        </w:rPr>
        <w:t>licies, a 36% ceding commission, and a profit commission of up to 50% that varies directly and inversely with ceded claims.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Under the terms of the 2021 QSR Transaction, NMIC cedes premiums earned related to 22% of the risk on eligible policies written in 2021 (subject to an aggregate risk written limit which was exhausted on October 30, 2021), in exchange for reimbursement of ceded claims and claim expenses on covered policies, a 20% ceding commission, and a profit commission of up to 58% that varies directly and inversely with ceded claims.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terms of the 2022 QSR Transaction, NMIC cedes premiums earned related to 20% of the risk on eligible policies written between October 30, 2021 and December 31, 2022, in exchange for reimbursement of ceded claims and claim expenses on covered policies, a 20% ceding commission, and a profit commission of up to 62% that varies directly and inversely with ceded claims.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Under the terms of the 2022 Seasoned QSR Transaction, NMIC cedes premiums earned related to 95% of the net risk on eligible policies primarily for a seasoned pool of mortgage insurance policies originated between January 1, 2013 to December 31, 2016 and July 1, 2019 to March 31, 2020, that had previously been covered under the retired Oaktown Re Ltd. and Oaktown Re IV Ltd. reinsurance transactions, after the consideration of coverage provided by other QSR Transactions, in exchange for reimbursement of ceded claims and claim expenses on covered policies, a 35% ceding commission, and a profit commission of up to 55% that varies directly and inversely with ceded claims.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Under the terms of the 2023 QSR Transaction, NMIC cedes premiums earned related to 20% of the risk on eligible policies written in 2023, in exchange for reimbursement of ceded claims and claim expenses on covered policies, a 20% ceding commission, and a profit commission of up to 62% that varies directly and inversely with ceded claims.</w:t>
      </w:r>
    </w:p>
    <w:p>
      <w:pPr>
        <w:pStyle w:val="TextBody"/>
        <w:bidi w:val="0"/>
        <w:spacing w:lineRule="auto" w:line="26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Under the terms of the 2024 QSR Transaction, NMIC cedes premiums earned related to 20% of the risk on eligible policies written in 2024, in exchange for reimbursement of ceded claims and claim expenses on covered policies, a 20% ceding commission, and a profit commission of up to 56% that varies directly and inversely with ceded claims.</w:t>
      </w:r>
    </w:p>
    <w:p>
      <w:pPr>
        <w:pStyle w:val="TextBody"/>
        <w:bidi w:val="0"/>
        <w:spacing w:lineRule="auto" w:line="26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Under the terms of the 2025 QSR Transaction, NMIC cedes premiums earned related to 20% of the risk on eligible policies written in 2025, in exchange for reimbursement of ceded claims and claim expenses on covered policies, a 20% ceding commission, and a profit commission of up to 62% that varies directly and inversely with ceded claims.</w:t>
      </w:r>
    </w:p>
    <w:p>
      <w:pPr>
        <w:pStyle w:val="TextBody"/>
        <w:bidi w:val="0"/>
        <w:spacing w:lineRule="auto" w:line="268" w:before="0" w:after="198"/>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Concurrent with the placement of the 2025 QSR Transaction, NMIC entered into two additional sequential quota share reinsurance treaties that will provide coverage for mortgage insurance policies to be written in 2026 and 2027 (the 2026 QSR Transaction and 2027 QSR Transaction). Under the terms of the 2026 QSR Transaction, NMIC will cede premiums earned related to 20% of the risk on eligible policies written between January 1, 2026 and December 31, 2026, in exchange for reimbursement of ceded claims and claims expenses on covered policies, a 20% ceding commission, and a profit commission of up to 62% that varies directly and inversely with ceded claims. Under the terms of the 2027 QSR Transaction, NMIC will cede premiums earned related to 12% of the risk on eligible policies written between January 1, 2027 and December 31, 2027, in exchange for reimbursement of ceded claims and claims expenses on covered policies, a 20% ceding commission, and a profit commission of up to 61% that varies directly and inversely with ceded claims.</w:t>
      </w:r>
    </w:p>
    <w:p>
      <w:pPr>
        <w:pStyle w:val="TextBody"/>
        <w:bidi w:val="0"/>
        <w:spacing w:lineRule="auto" w:line="288" w:before="0" w:after="180"/>
        <w:ind w:left="0" w:right="0" w:firstLine="720"/>
        <w:jc w:val="both"/>
        <w:rPr/>
      </w:pPr>
      <w:r>
        <w:rPr>
          <w:rFonts w:ascii="Times New Roman;sans-serif" w:hAnsi="Times New Roman;sans-serif"/>
          <w:b w:val="false"/>
          <w:color w:val="000000"/>
          <w:sz w:val="20"/>
        </w:rPr>
        <w:t>NMIC may terminate any or all of the QSR Transactions without penalty if, due to a change in PMIERs requirements, it is no longer able to take full PMIERs asset credit for the RIF ceded under the respective agreements. Additionally, under the terms of the QSR Transactions, NMIC may elect to selectively terminate its engagement with individual reinsurers on a run-off basis (</w:t>
      </w:r>
      <w:r>
        <w:rPr>
          <w:rFonts w:ascii="Times New Roman;sans-serif" w:hAnsi="Times New Roman;sans-serif"/>
          <w:b w:val="false"/>
          <w:i/>
          <w:color w:val="000000"/>
          <w:sz w:val="20"/>
        </w:rPr>
        <w:t>i.e.</w:t>
      </w:r>
      <w:r>
        <w:rPr>
          <w:rFonts w:ascii="Times New Roman;sans-serif" w:hAnsi="Times New Roman;sans-serif"/>
          <w:b w:val="false"/>
          <w:color w:val="000000"/>
          <w:sz w:val="20"/>
        </w:rPr>
        <w:t>, reinsurers continue providing coverage on all risk ceded prior to the termination date, with no new cessions going forward) or cut-off basis (</w:t>
      </w:r>
      <w:r>
        <w:rPr>
          <w:rFonts w:ascii="Times New Roman;sans-serif" w:hAnsi="Times New Roman;sans-serif"/>
          <w:b w:val="false"/>
          <w:i/>
          <w:color w:val="000000"/>
          <w:sz w:val="20"/>
        </w:rPr>
        <w:t>i.e.</w:t>
      </w:r>
      <w:r>
        <w:rPr>
          <w:rFonts w:ascii="Times New Roman;sans-serif" w:hAnsi="Times New Roman;sans-serif"/>
          <w:b w:val="false"/>
          <w:color w:val="000000"/>
          <w:sz w:val="20"/>
        </w:rPr>
        <w:t>, the reinsurance arrangement is completely terminated with NMIC recapturing all previously ceded risk) under certain circumstances. Such selective termination rights arise when, among other reasons, a reinsurer experiences a deterioration in its capital position below a prescribed threshold and/or a reinsurer breaches (and fails to cure) its collateral posting obligations under the relevant agreement.</w:t>
      </w:r>
    </w:p>
    <w:p>
      <w:pPr>
        <w:pStyle w:val="TextBody"/>
        <w:bidi w:val="0"/>
        <w:spacing w:lineRule="auto" w:line="288" w:before="0" w:after="18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Excess-of-Loss Reinsurance</w:t>
      </w:r>
    </w:p>
    <w:p>
      <w:pPr>
        <w:pStyle w:val="TextBody"/>
        <w:bidi w:val="0"/>
        <w:spacing w:lineRule="auto" w:line="288" w:before="0" w:after="18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Traditional Reinsurance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NMIC is party to seven excess-of-loss reinsurance agreements with broad panels of third-party reinsurers – the 2022-1 XOL Transaction, effective April 1, 2022, the 2022-2 XOL Transaction, effective July 1, 2022, the 2022-3 XOL Transaction, effective October 1, 2022, the 2023-1 XOL Transaction, effective January 1, 2023, the 2023-2 XOL Transaction, effective July 1, 2023, the 2024 XOL Transaction, effective January 1, 2024, and the 2025 XOL Transaction, effective January 1, 2025 – which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refer to collectively as the XOL Transactions. Each XOL Transaction provides NMIC with aggregate excess-of-loss reinsurance coverage on a defined portfolio of mortgage insurance policies. Under each agreement, NMIC retains a first layer of aggregate loss exposure on covered policies and the reinsurers then provide second layer loss protection up to a defined reinsurance coverage amount. The reinsurance coverage amount of each XOL Transaction is set to approximate the PMIERs minimum required assets of its reference pool and decreases from its peak over a ten-year period in the event the PMIERs minimum required assets of the pool declines. NMIC retains losses in excess of the outstanding reinsurance coverage amount.</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NMIC holds optional termination rights which provide it the discretion to terminate each XOL Transaction on or after a specified date. NMIC may also elect to terminate the XOL Transactions at any point if the outstanding reinsurance coverage amount amortizes to 10% or less of the reinsurance coverage amount provided at inception, or if it determines that it will no longer be able to take full PMIERs asset credit for the coverage. Additionally, under the terms of the treaties, NMIC may selectively terminate its engagement with individual reinsurers under certain circumstances. Such selective termination rights arise when, among other reasons, a reinsurer experiences a deterioration in its capital position below a prescribed threshold, and/or a reinsurer breaches (and fails to cure) its collateral posting obligation.</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Each of the third-party reinsurance providers that is party to the XOL Transactions has an insurer financial strength rating of A- or better by S&amp;P, A.M. Best or both.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inception date, covered production period, initial and current reinsurance coverage amount, and initial and current first layer retained aggregate loss under each outstanding XOL Transaction. Current amounts are presented as of March 31, 2025.</w:t>
      </w:r>
    </w:p>
    <w:tbl>
      <w:tblPr>
        <w:tblW w:w="10205" w:type="dxa"/>
        <w:jc w:val="left"/>
        <w:tblInd w:w="0" w:type="dxa"/>
        <w:tblLayout w:type="fixed"/>
        <w:tblCellMar>
          <w:top w:w="28" w:type="dxa"/>
          <w:left w:w="28" w:type="dxa"/>
          <w:bottom w:w="28" w:type="dxa"/>
          <w:right w:w="28" w:type="dxa"/>
        </w:tblCellMar>
      </w:tblPr>
      <w:tblGrid>
        <w:gridCol w:w="587"/>
        <w:gridCol w:w="323"/>
        <w:gridCol w:w="324"/>
        <w:gridCol w:w="289"/>
        <w:gridCol w:w="289"/>
        <w:gridCol w:w="290"/>
        <w:gridCol w:w="109"/>
        <w:gridCol w:w="109"/>
        <w:gridCol w:w="109"/>
        <w:gridCol w:w="365"/>
        <w:gridCol w:w="365"/>
        <w:gridCol w:w="366"/>
        <w:gridCol w:w="109"/>
        <w:gridCol w:w="109"/>
        <w:gridCol w:w="109"/>
        <w:gridCol w:w="239"/>
        <w:gridCol w:w="938"/>
        <w:gridCol w:w="123"/>
        <w:gridCol w:w="109"/>
        <w:gridCol w:w="109"/>
        <w:gridCol w:w="109"/>
        <w:gridCol w:w="242"/>
        <w:gridCol w:w="949"/>
        <w:gridCol w:w="125"/>
        <w:gridCol w:w="109"/>
        <w:gridCol w:w="109"/>
        <w:gridCol w:w="109"/>
        <w:gridCol w:w="244"/>
        <w:gridCol w:w="958"/>
        <w:gridCol w:w="126"/>
        <w:gridCol w:w="109"/>
        <w:gridCol w:w="109"/>
        <w:gridCol w:w="109"/>
        <w:gridCol w:w="251"/>
        <w:gridCol w:w="983"/>
        <w:gridCol w:w="194"/>
      </w:tblGrid>
      <w:tr>
        <w:trPr/>
        <w:tc>
          <w:tcPr>
            <w:tcW w:w="58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values in thousands)</w:t>
            </w:r>
          </w:p>
        </w:tc>
        <w:tc>
          <w:tcPr>
            <w:tcW w:w="8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Inception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Covered Production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Initial Reinsurance Coverage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Current Reinsurance Coverage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Initial First Layer Retained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Current First Layer Retained Loss </w:t>
            </w:r>
            <w:r>
              <w:rPr>
                <w:rFonts w:ascii="Times New Roman;sans-serif" w:hAnsi="Times New Roman;sans-serif"/>
                <w:b/>
                <w:color w:val="000000"/>
                <w:sz w:val="10"/>
              </w:rPr>
              <w:t>(1)</w:t>
            </w:r>
          </w:p>
        </w:tc>
      </w:tr>
      <w:tr>
        <w:trPr/>
        <w:tc>
          <w:tcPr>
            <w:tcW w:w="1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2022-1 XOL Transaction</w:t>
            </w:r>
          </w:p>
        </w:tc>
        <w:tc>
          <w:tcPr>
            <w:tcW w:w="8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1, 2022</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 xml:space="preserve">10/1/2021 – 3/31/2022 </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289,741 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173,584 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133,366 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131,513 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2022-2 XOL Transaction</w:t>
            </w:r>
          </w:p>
        </w:tc>
        <w:tc>
          <w:tcPr>
            <w:tcW w:w="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 xml:space="preserve">4/1/2022 – 6/30/2022 </w:t>
            </w:r>
            <w:r>
              <w:rPr>
                <w:rFonts w:ascii="Times New Roman;sans-serif" w:hAnsi="Times New Roman;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154,306 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126,085 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78,906 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76,275 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2022-3 XOL Transaction</w:t>
            </w:r>
          </w:p>
        </w:tc>
        <w:tc>
          <w:tcPr>
            <w:tcW w:w="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October 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7/1/2022 – 9/30/2022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96,779 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82,134 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106,265 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104,496 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2023-1 XOL Transaction</w:t>
            </w:r>
          </w:p>
        </w:tc>
        <w:tc>
          <w:tcPr>
            <w:tcW w:w="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10/1/2022 – 6/30/2023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89,864 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76,752 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146,513 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145,137 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2023-2 XOL Transaction</w:t>
            </w:r>
          </w:p>
        </w:tc>
        <w:tc>
          <w:tcPr>
            <w:tcW w:w="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7/1/2023 – 12/31/2023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100,777 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92,728 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136,875 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136,646 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2024 XOL Transaction</w:t>
            </w:r>
          </w:p>
        </w:tc>
        <w:tc>
          <w:tcPr>
            <w:tcW w:w="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1/1/2024 – 12/31/2024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162,500 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162,500 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312,172 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312,172 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2025 XOL Transaction </w:t>
            </w:r>
            <w:r>
              <w:rPr>
                <w:rFonts w:ascii="Times New Roman;sans-serif" w:hAnsi="Times New Roman;sans-serif"/>
                <w:b w:val="false"/>
                <w:color w:val="000000"/>
                <w:sz w:val="13"/>
              </w:rPr>
              <w:t>(4)</w:t>
            </w:r>
          </w:p>
        </w:tc>
        <w:tc>
          <w:tcPr>
            <w:tcW w:w="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1/1/2025 – 12/31/2025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56,807 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56,807 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62,673 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62,673 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    NMIC applies claims paid on covered policies against its first layer aggregate retained loss exposure and cedes reserves for incurred claims and claim expenses to each applicable XOL Transaction and recognizes a reinsurance recoverable if such incurred claims and claim expenses exceed its current first layer retained loss.</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    Approximately 1% of the production covered by the 2022-1 XOL Transaction has coverage reporting dates between October 21, 2019 and September 30, 2021.</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(3)    Approximately 1% of the production covered by the 2022-2 XOL Transaction has coverage reporting dates between January 4, 2021 and March 31, 2022.</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(4)    The initial reinsurance coverage, current reinsurance coverage, initial first layer retained loss and current first layer retained loss for the 2025 XOL Transaction will increase as incremental covered production is ceded under the transaction through December 31, 2025.</w:t>
      </w:r>
    </w:p>
    <w:p>
      <w:pPr>
        <w:pStyle w:val="TextBody"/>
        <w:bidi w:val="0"/>
        <w:spacing w:before="0" w:after="0"/>
        <w:ind w:left="0" w:right="0" w:hanging="360"/>
        <w:jc w:val="both"/>
        <w:rPr/>
      </w:pPr>
      <w:r>
        <w:rPr/>
      </w:r>
    </w:p>
    <w:p>
      <w:pPr>
        <w:pStyle w:val="TextBody"/>
        <w:bidi w:val="0"/>
        <w:spacing w:lineRule="auto" w:line="276"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Concurrent with the placement of the 2025 XOL, NMIC entered into an excess-of-loss reinsurance treaty that will provide aggregate coverage for mortgage insurance policies to be written in 2026 (the 2026 XOL Transaction). Under the terms of the agreement, NMIC will retain a first layer of aggregate loss exposure on covered policies and its reinsurance counterparties will then provide second layer loss protection up to a defined reinsurance coverage amount of $164.2 million. NMIC retains losses in excess of the respective reinsurance coverage amounts.</w:t>
      </w:r>
    </w:p>
    <w:p>
      <w:pPr>
        <w:pStyle w:val="TextBody"/>
        <w:bidi w:val="0"/>
        <w:spacing w:lineRule="auto" w:line="288" w:before="0" w:after="18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Insurance-Linked Notes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NMIC is party to reinsurance agreements with the Oaktown Re Vehicles that provide it with aggregate excess-of-loss reinsurance coverage on defined portfolios of mortgage insurance policies. Under each agreement, NMIC retains a first layer of aggregate loss exposure on covered policies and the respective Oaktown Re Vehicle then provides second layer loss protection up to a defined reinsurance coverage amount. NMIC then retains losses in excess of the respective reinsurance coverage amounts.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respective reinsurance coverage amounts provided by the Oaktown Re Vehicles decrease over a 12.5-year period as the underlying insured mortgages are amortized or repaid, and/or the mortgage insurance coverage is canceled. As the reinsurance coverage decreases, a prescribed amount of collateral held in trust by the Oaktown Re Vehicles is distributed to ILN Transaction noteholders as amortization of the outstanding insurance-linked note principal balances. The outstanding reinsurance coverage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amounts stop amortizing, and the distribution of collateral assets to ILN Transaction noteholders and amortization of insurance-linked note principal is suspended if certain credit enhancement or delinquency thresholds, as defined in each agreement, are triggered (each, a Lock-Out Event).</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NMIC holds optional termination rights under each ILN Transaction, including, among others, an optional call feature which provides NMIC the discretion to terminate the transaction on or after a prescribed date, and a clean-up call if the outstanding reinsurance coverage amount amortizes to 10% or less of the reinsurance coverage amount at inception or if NMIC reasonably determines that changes to GSE or rating agency asset requirements would cause a material and adverse effect on the capital treatment afforded to NMIC under a given agreement. In addition, there are certain events that trigger mandatory termination of an agreement, including NMIC's failure to pay premiums or consent to reductions in a trust account to make principal payments to noteholders, among others.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inception date, covered production period, initial and current reinsurance coverage amount, and initial and current first layer retained aggregate loss under each outstanding ILN Transaction. Current amounts are presented as of March 31, 2025.</w:t>
      </w:r>
    </w:p>
    <w:tbl>
      <w:tblPr>
        <w:tblW w:w="10205" w:type="dxa"/>
        <w:jc w:val="left"/>
        <w:tblInd w:w="0" w:type="dxa"/>
        <w:tblLayout w:type="fixed"/>
        <w:tblCellMar>
          <w:top w:w="28" w:type="dxa"/>
          <w:left w:w="28" w:type="dxa"/>
          <w:bottom w:w="28" w:type="dxa"/>
          <w:right w:w="28" w:type="dxa"/>
        </w:tblCellMar>
      </w:tblPr>
      <w:tblGrid>
        <w:gridCol w:w="577"/>
        <w:gridCol w:w="309"/>
        <w:gridCol w:w="310"/>
        <w:gridCol w:w="287"/>
        <w:gridCol w:w="287"/>
        <w:gridCol w:w="288"/>
        <w:gridCol w:w="109"/>
        <w:gridCol w:w="354"/>
        <w:gridCol w:w="354"/>
        <w:gridCol w:w="355"/>
        <w:gridCol w:w="109"/>
        <w:gridCol w:w="109"/>
        <w:gridCol w:w="109"/>
        <w:gridCol w:w="234"/>
        <w:gridCol w:w="917"/>
        <w:gridCol w:w="120"/>
        <w:gridCol w:w="109"/>
        <w:gridCol w:w="109"/>
        <w:gridCol w:w="109"/>
        <w:gridCol w:w="236"/>
        <w:gridCol w:w="925"/>
        <w:gridCol w:w="122"/>
        <w:gridCol w:w="109"/>
        <w:gridCol w:w="109"/>
        <w:gridCol w:w="109"/>
        <w:gridCol w:w="238"/>
        <w:gridCol w:w="933"/>
        <w:gridCol w:w="123"/>
        <w:gridCol w:w="109"/>
        <w:gridCol w:w="109"/>
        <w:gridCol w:w="109"/>
        <w:gridCol w:w="244"/>
        <w:gridCol w:w="958"/>
        <w:gridCol w:w="126"/>
        <w:gridCol w:w="109"/>
        <w:gridCol w:w="109"/>
        <w:gridCol w:w="109"/>
        <w:gridCol w:w="164"/>
      </w:tblGrid>
      <w:tr>
        <w:trPr/>
        <w:tc>
          <w:tcPr>
            <w:tcW w:w="57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19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i/>
                <w:color w:val="000000"/>
                <w:sz w:val="20"/>
              </w:rPr>
              <w:t>(</w:t>
            </w:r>
            <w:r>
              <w:rPr>
                <w:rFonts w:ascii="Times New Roman;sans-serif" w:hAnsi="Times New Roman;sans-serif"/>
                <w:b w:val="false"/>
                <w:i/>
                <w:color w:val="000000"/>
                <w:sz w:val="16"/>
              </w:rPr>
              <w:t>$ values in thousands)</w:t>
            </w:r>
          </w:p>
        </w:tc>
        <w:tc>
          <w:tcPr>
            <w:tcW w:w="8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Inception Date</w:t>
            </w:r>
          </w:p>
        </w:tc>
        <w:tc>
          <w:tcPr>
            <w:tcW w:w="109" w:type="dxa"/>
            <w:tcBorders/>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Covered Production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Initial Reinsurance Coverage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Current Reinsurance Coverage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Initial First Layer Retained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Current First Layer Retained Loss </w:t>
            </w:r>
            <w:r>
              <w:rPr>
                <w:rFonts w:ascii="Times New Roman;sans-serif" w:hAnsi="Times New Roman;sans-serif"/>
                <w:b/>
                <w:color w:val="000000"/>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196"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196"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196"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196"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196"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2021-1 ILN Transaction </w:t>
            </w:r>
          </w:p>
        </w:tc>
        <w:tc>
          <w:tcPr>
            <w:tcW w:w="8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27, 2021</w:t>
            </w:r>
          </w:p>
        </w:tc>
        <w:tc>
          <w:tcPr>
            <w:tcW w:w="109" w:type="dxa"/>
            <w:tcBorders/>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 xml:space="preserve">10/1/2020 – 3/31/2021 </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367,238 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130,299 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163,708 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162,769 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2021-2 ILN Transaction</w:t>
            </w:r>
          </w:p>
        </w:tc>
        <w:tc>
          <w:tcPr>
            <w:tcW w:w="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October 26, 2021</w:t>
            </w:r>
          </w:p>
        </w:tc>
        <w:tc>
          <w:tcPr>
            <w:tcW w:w="109" w:type="dxa"/>
            <w:tcBorders/>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 xml:space="preserve">4/1/2021 – 9/30/2021 </w:t>
            </w:r>
            <w:r>
              <w:rPr>
                <w:rFonts w:ascii="Times New Roman;sans-serif" w:hAnsi="Times New Roman;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363,596 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224,149 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146,229 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144,866 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    NMIC applies claims paid on covered policies against its first layer aggregate retained loss exposure and cedes reserves for incurred claims and claim expenses to each applicable ILN Transaction and recognizes a reinsurance recoverable if such incurred claims and claim expenses exceed its current first layer retained loss.</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    Approximately 1% of the production covered by the 2021-1 ILN Transaction has coverage reporting dates between July 1, 2019 and September 30, 2020.</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(3)    Approximately 2% of the production covered by the 2021-2 ILN Transaction has coverage reporting dates between July 1, 2019 and March 31, 2021.</w:t>
      </w:r>
    </w:p>
    <w:p>
      <w:pPr>
        <w:pStyle w:val="TextBody"/>
        <w:bidi w:val="0"/>
        <w:spacing w:lineRule="auto" w:line="288" w:before="0" w:after="0"/>
        <w:ind w:left="0" w:right="0" w:hanging="360"/>
        <w:jc w:val="both"/>
        <w:rPr>
          <w:color w:val="000000"/>
        </w:rPr>
      </w:pPr>
      <w:r>
        <w:rPr>
          <w:color w:val="000000"/>
        </w:rPr>
        <w:t>    </w:t>
      </w:r>
    </w:p>
    <w:p>
      <w:pPr>
        <w:pStyle w:val="TextBody"/>
        <w:bidi w:val="0"/>
        <w:spacing w:lineRule="auto" w:line="288" w:before="0" w:after="180"/>
        <w:ind w:left="0" w:right="0" w:firstLine="720"/>
        <w:jc w:val="both"/>
        <w:rPr/>
      </w:pPr>
      <w:r>
        <w:rPr>
          <w:rFonts w:ascii="Times New Roman;sans-serif" w:hAnsi="Times New Roman;sans-serif"/>
          <w:b w:val="false"/>
          <w:color w:val="000000"/>
          <w:sz w:val="20"/>
        </w:rPr>
        <w:t>See Item 1, “</w:t>
      </w:r>
      <w:r>
        <w:rPr>
          <w:rFonts w:ascii="Times New Roman;sans-serif" w:hAnsi="Times New Roman;sans-serif"/>
          <w:b w:val="false"/>
          <w:i/>
          <w:color w:val="000000"/>
          <w:sz w:val="20"/>
        </w:rPr>
        <w:t>Financial Statements - Notes to Condensed Consolidated Financial Statements - Note 5, Reinsurance”</w:t>
      </w:r>
      <w:r>
        <w:rPr>
          <w:color w:val="000000"/>
        </w:rPr>
        <w:t xml:space="preserve"> </w:t>
      </w:r>
      <w:r>
        <w:rPr>
          <w:rFonts w:ascii="Times New Roman;sans-serif" w:hAnsi="Times New Roman;sans-serif"/>
          <w:b w:val="false"/>
          <w:color w:val="000000"/>
          <w:sz w:val="20"/>
        </w:rPr>
        <w:t>for further discussion of these third-party reinsurance arrangements.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Portfolio Data</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NIW and primary IIF as of the dates and for the periods indicated. Unless otherwise noted, the tables below do not include the effects of our third-party reinsurance arrangements described above.</w:t>
      </w:r>
    </w:p>
    <w:tbl>
      <w:tblPr>
        <w:tblW w:w="7320" w:type="dxa"/>
        <w:jc w:val="left"/>
        <w:tblInd w:w="0" w:type="dxa"/>
        <w:tblLayout w:type="fixed"/>
        <w:tblCellMar>
          <w:top w:w="28" w:type="dxa"/>
          <w:left w:w="28" w:type="dxa"/>
          <w:bottom w:w="28" w:type="dxa"/>
          <w:right w:w="28" w:type="dxa"/>
        </w:tblCellMar>
      </w:tblPr>
      <w:tblGrid>
        <w:gridCol w:w="613"/>
        <w:gridCol w:w="538"/>
        <w:gridCol w:w="543"/>
        <w:gridCol w:w="211"/>
        <w:gridCol w:w="616"/>
        <w:gridCol w:w="109"/>
        <w:gridCol w:w="109"/>
        <w:gridCol w:w="109"/>
        <w:gridCol w:w="109"/>
        <w:gridCol w:w="211"/>
        <w:gridCol w:w="826"/>
        <w:gridCol w:w="109"/>
        <w:gridCol w:w="109"/>
        <w:gridCol w:w="109"/>
        <w:gridCol w:w="109"/>
        <w:gridCol w:w="211"/>
        <w:gridCol w:w="616"/>
        <w:gridCol w:w="109"/>
        <w:gridCol w:w="109"/>
        <w:gridCol w:w="109"/>
        <w:gridCol w:w="109"/>
        <w:gridCol w:w="211"/>
        <w:gridCol w:w="826"/>
        <w:gridCol w:w="109"/>
        <w:gridCol w:w="109"/>
        <w:gridCol w:w="109"/>
        <w:gridCol w:w="109"/>
        <w:gridCol w:w="154"/>
      </w:tblGrid>
      <w:tr>
        <w:trPr/>
        <w:tc>
          <w:tcPr>
            <w:tcW w:w="613"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NIW and primary IIF</w:t>
            </w:r>
          </w:p>
        </w:tc>
        <w:tc>
          <w:tcPr>
            <w:tcW w:w="514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and for the 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NIW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IIF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NIW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IIF</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481" w:type="dxa"/>
            <w:gridSpan w:val="4"/>
            <w:tcBorders/>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Monthly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193,856 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Single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211,308 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199,373 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NIW for the three months ended March 31, 2025 decreased 2% compared to the three months ended March 31, 2024. Primary IIF increased 6% at March 31, 2025 compared to March 31, 2024, primarily due to the NIW generated between such measurement dates, partially offset by the run-off of in-force policies.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persistency rate was 84.3% at March 31, 2025 and 85.8% at March 31, 2024. Our persistency rate remains historically high due to a continued slowdown in the pace of mortgage refinancing activity tied to the prevailing interest and mortgage rate environment.</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net premiums written and earned for the periods indicated:</w:t>
      </w:r>
    </w:p>
    <w:tbl>
      <w:tblPr>
        <w:tblW w:w="5923" w:type="dxa"/>
        <w:jc w:val="left"/>
        <w:tblInd w:w="0" w:type="dxa"/>
        <w:tblLayout w:type="fixed"/>
        <w:tblCellMar>
          <w:top w:w="28" w:type="dxa"/>
          <w:left w:w="28" w:type="dxa"/>
          <w:bottom w:w="28" w:type="dxa"/>
          <w:right w:w="28" w:type="dxa"/>
        </w:tblCellMar>
      </w:tblPr>
      <w:tblGrid>
        <w:gridCol w:w="923"/>
        <w:gridCol w:w="812"/>
        <w:gridCol w:w="815"/>
        <w:gridCol w:w="233"/>
        <w:gridCol w:w="913"/>
        <w:gridCol w:w="120"/>
        <w:gridCol w:w="120"/>
        <w:gridCol w:w="120"/>
        <w:gridCol w:w="120"/>
        <w:gridCol w:w="233"/>
        <w:gridCol w:w="913"/>
        <w:gridCol w:w="120"/>
        <w:gridCol w:w="109"/>
        <w:gridCol w:w="109"/>
        <w:gridCol w:w="109"/>
        <w:gridCol w:w="154"/>
      </w:tblGrid>
      <w:tr>
        <w:trPr/>
        <w:tc>
          <w:tcPr>
            <w:tcW w:w="92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Net premiums written and earned</w:t>
            </w:r>
          </w:p>
        </w:tc>
        <w:tc>
          <w:tcPr>
            <w:tcW w:w="28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2"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premiums written</w:t>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143,386 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130,245 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premiums earned</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149,366 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136,657 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Net premiums written and earned increased 10% and 9%, respectively, during the three months ended March 31, 2025 compared to the three months ended March 31, 2024, primarily driven by growth in our monthly IIF and monthly pay premium receipts, as well as a decline in the total premiums ceded under the ILN Transactions.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Portfolio Statistics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Unless otherwise noted, the portfolio statistics tables presented below do not include the effects of our third-party reinsurance arrangements described above. The table below highlights trends in our primary portfolio as of the dates and for the periods indicated.</w:t>
      </w:r>
    </w:p>
    <w:tbl>
      <w:tblPr>
        <w:tblW w:w="10205" w:type="dxa"/>
        <w:jc w:val="left"/>
        <w:tblInd w:w="0" w:type="dxa"/>
        <w:tblLayout w:type="fixed"/>
        <w:tblCellMar>
          <w:top w:w="28" w:type="dxa"/>
          <w:left w:w="28" w:type="dxa"/>
          <w:bottom w:w="28" w:type="dxa"/>
          <w:right w:w="28" w:type="dxa"/>
        </w:tblCellMar>
      </w:tblPr>
      <w:tblGrid>
        <w:gridCol w:w="1061"/>
        <w:gridCol w:w="596"/>
        <w:gridCol w:w="516"/>
        <w:gridCol w:w="211"/>
        <w:gridCol w:w="826"/>
        <w:gridCol w:w="271"/>
        <w:gridCol w:w="109"/>
        <w:gridCol w:w="109"/>
        <w:gridCol w:w="109"/>
        <w:gridCol w:w="220"/>
        <w:gridCol w:w="864"/>
        <w:gridCol w:w="283"/>
        <w:gridCol w:w="109"/>
        <w:gridCol w:w="109"/>
        <w:gridCol w:w="109"/>
        <w:gridCol w:w="223"/>
        <w:gridCol w:w="874"/>
        <w:gridCol w:w="286"/>
        <w:gridCol w:w="109"/>
        <w:gridCol w:w="109"/>
        <w:gridCol w:w="109"/>
        <w:gridCol w:w="211"/>
        <w:gridCol w:w="826"/>
        <w:gridCol w:w="271"/>
        <w:gridCol w:w="109"/>
        <w:gridCol w:w="109"/>
        <w:gridCol w:w="109"/>
        <w:gridCol w:w="211"/>
        <w:gridCol w:w="826"/>
        <w:gridCol w:w="321"/>
      </w:tblGrid>
      <w:tr>
        <w:trPr/>
        <w:tc>
          <w:tcPr>
            <w:tcW w:w="1061"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21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Primary portfolio trends</w:t>
            </w:r>
          </w:p>
        </w:tc>
        <w:tc>
          <w:tcPr>
            <w:tcW w:w="803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and for the three months ended</w:t>
            </w:r>
          </w:p>
        </w:tc>
      </w:tr>
      <w:tr>
        <w:trPr/>
        <w:tc>
          <w:tcPr>
            <w:tcW w:w="2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r>
      <w:tr>
        <w:trPr/>
        <w:tc>
          <w:tcPr>
            <w:tcW w:w="2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2"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 Values In Millions, except as noted below)</w:t>
            </w:r>
          </w:p>
        </w:tc>
      </w:tr>
      <w:tr>
        <w:trPr/>
        <w:tc>
          <w:tcPr>
            <w:tcW w:w="2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New insurance written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11,925 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9,398 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monthly premium</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single premium</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risk written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3,134 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2,486 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Insurance-in-force</w:t>
            </w:r>
            <w:r>
              <w:rPr>
                <w:color w:val="000000"/>
              </w:rPr>
              <w:t xml:space="preserve"> </w:t>
            </w:r>
            <w:r>
              <w:rPr>
                <w:rFonts w:ascii="Times New Roman;sans-serif" w:hAnsi="Times New Roman;sans-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211,308 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210,183 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207,538 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203,501 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199,373 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monthly premium</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single premium</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Risk-in-force</w:t>
            </w:r>
            <w:r>
              <w:rPr>
                <w:color w:val="000000"/>
              </w:rPr>
              <w:t xml:space="preserve"> </w:t>
            </w:r>
            <w:r>
              <w:rPr>
                <w:rFonts w:ascii="Times New Roman;sans-serif" w:hAnsi="Times New Roman;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56,515 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56,113 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55,253 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53,956 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52,610 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Policies in force (count)</w:t>
            </w:r>
            <w:r>
              <w:rPr>
                <w:color w:val="000000"/>
              </w:rPr>
              <w:t xml:space="preserve"> </w:t>
            </w:r>
            <w:r>
              <w:rPr>
                <w:rFonts w:ascii="Times New Roman;sans-serif" w:hAnsi="Times New Roman;sans-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661,490 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659,567 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654,374 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645,276 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635,662 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Average loan size</w:t>
            </w:r>
            <w:r>
              <w:rPr>
                <w:color w:val="000000"/>
              </w:rPr>
              <w:t xml:space="preserve"> </w:t>
            </w:r>
            <w:r>
              <w:rPr>
                <w:rFonts w:ascii="Times New Roman;sans-serif" w:hAnsi="Times New Roman;sans-serif"/>
                <w:b w:val="false"/>
                <w:i/>
                <w:color w:val="000000"/>
                <w:sz w:val="16"/>
              </w:rPr>
              <w:t>($ value in thousands)</w:t>
            </w:r>
            <w:r>
              <w:rPr>
                <w:color w:val="000000"/>
              </w:rPr>
              <w:t xml:space="preserve"> </w:t>
            </w:r>
            <w:r>
              <w:rPr>
                <w:rFonts w:ascii="Times New Roman;sans-serif" w:hAnsi="Times New Roman;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Coverage percentage </w:t>
            </w:r>
            <w:r>
              <w:rPr>
                <w:rFonts w:ascii="Times New Roman;sans-serif" w:hAnsi="Times New Roman;sans-serif"/>
                <w:b w:val="false"/>
                <w:color w:val="000000"/>
                <w:sz w:val="13"/>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26.7 </w:t>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Loans in default (count) </w:t>
            </w:r>
            <w:r>
              <w:rPr>
                <w:rFonts w:ascii="Times New Roman;sans-serif" w:hAnsi="Times New Roman;sans-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6,642 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5,109 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Default rate </w:t>
            </w:r>
            <w:r>
              <w:rPr>
                <w:rFonts w:ascii="Times New Roman;sans-serif" w:hAnsi="Times New Roman;sans-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0.87 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0.80 </w:t>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Risk-in-force on defaulted loans </w:t>
            </w:r>
            <w:r>
              <w:rPr>
                <w:rFonts w:ascii="Times New Roman;sans-serif" w:hAnsi="Times New Roman;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Average net premium yield </w:t>
            </w:r>
            <w:r>
              <w:rPr>
                <w:rFonts w:ascii="Times New Roman;sans-serif" w:hAnsi="Times New Roman;sans-serif"/>
                <w:b w:val="false"/>
                <w:color w:val="000000"/>
                <w:sz w:val="13"/>
              </w:rPr>
              <w:t>(3)</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0.27 </w:t>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0.28 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0.28 </w:t>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from cancellations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Annual persistency</w:t>
            </w:r>
            <w:r>
              <w:rPr>
                <w:color w:val="000000"/>
              </w:rPr>
              <w:t xml:space="preserve"> </w:t>
            </w:r>
            <w:r>
              <w:rPr>
                <w:rFonts w:ascii="Times New Roman;sans-serif" w:hAnsi="Times New Roman;sans-serif"/>
                <w:b w:val="false"/>
                <w:color w:val="000000"/>
                <w:sz w:val="13"/>
              </w:rPr>
              <w:t>(4)</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84.6 </w:t>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85.8 </w:t>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Quarterly run-off</w:t>
            </w:r>
            <w:r>
              <w:rPr>
                <w:color w:val="000000"/>
              </w:rPr>
              <w:t xml:space="preserve"> </w:t>
            </w:r>
            <w:r>
              <w:rPr>
                <w:rFonts w:ascii="Times New Roman;sans-serif" w:hAnsi="Times New Roman;sans-serif"/>
                <w:b w:val="false"/>
                <w:color w:val="000000"/>
                <w:sz w:val="13"/>
              </w:rPr>
              <w:t>(5)</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(1)    Reported as of the end of the period.</w:t>
      </w:r>
    </w:p>
    <w:p>
      <w:pPr>
        <w:pStyle w:val="TextBody"/>
        <w:bidi w:val="0"/>
        <w:spacing w:lineRule="auto" w:line="288" w:before="0" w:after="0"/>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(2)    Calculated as end of period RIF divided by end of period IIF.</w:t>
      </w:r>
    </w:p>
    <w:p>
      <w:pPr>
        <w:pStyle w:val="TextBody"/>
        <w:bidi w:val="0"/>
        <w:spacing w:lineRule="auto" w:line="288" w:before="0" w:after="0"/>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(3)    Calculated as net premiums earned divided by average primary IIF for the period, annualized.</w:t>
      </w:r>
    </w:p>
    <w:p>
      <w:pPr>
        <w:pStyle w:val="TextBody"/>
        <w:bidi w:val="0"/>
        <w:spacing w:lineRule="auto" w:line="288" w:before="0" w:after="0"/>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(4)    Defined as the percentage of IIF that remains on our books after a given twelve-month period.</w:t>
      </w:r>
    </w:p>
    <w:p>
      <w:pPr>
        <w:pStyle w:val="TextBody"/>
        <w:bidi w:val="0"/>
        <w:spacing w:lineRule="auto" w:line="288" w:before="0" w:after="180"/>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(5)    Defined as the percentage of IIF that is no longer on our books after a given three-month period.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a summary of the change in total primary IIF for the dates and periods indicated.</w:t>
      </w:r>
    </w:p>
    <w:tbl>
      <w:tblPr>
        <w:tblW w:w="8817" w:type="dxa"/>
        <w:jc w:val="left"/>
        <w:tblInd w:w="0" w:type="dxa"/>
        <w:tblLayout w:type="fixed"/>
        <w:tblCellMar>
          <w:top w:w="28" w:type="dxa"/>
          <w:left w:w="28" w:type="dxa"/>
          <w:bottom w:w="28" w:type="dxa"/>
          <w:right w:w="28" w:type="dxa"/>
        </w:tblCellMar>
      </w:tblPr>
      <w:tblGrid>
        <w:gridCol w:w="1719"/>
        <w:gridCol w:w="1511"/>
        <w:gridCol w:w="1525"/>
        <w:gridCol w:w="288"/>
        <w:gridCol w:w="1130"/>
        <w:gridCol w:w="149"/>
        <w:gridCol w:w="149"/>
        <w:gridCol w:w="149"/>
        <w:gridCol w:w="149"/>
        <w:gridCol w:w="288"/>
        <w:gridCol w:w="1130"/>
        <w:gridCol w:w="149"/>
        <w:gridCol w:w="109"/>
        <w:gridCol w:w="109"/>
        <w:gridCol w:w="109"/>
        <w:gridCol w:w="154"/>
      </w:tblGrid>
      <w:tr>
        <w:trPr/>
        <w:tc>
          <w:tcPr>
            <w:tcW w:w="171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Primary IIF</w:t>
            </w:r>
          </w:p>
        </w:tc>
        <w:tc>
          <w:tcPr>
            <w:tcW w:w="35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and for the 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481" w:type="dxa"/>
            <w:gridSpan w:val="4"/>
            <w:tcBorders/>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IIF, beginning of period</w:t>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210,183 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197,029 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NIW</w:t>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Cancellations, principal repayments and other reductions</w:t>
            </w:r>
          </w:p>
        </w:tc>
        <w:tc>
          <w:tcPr>
            <w:tcW w:w="1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(8,096)</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(7,054)</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IIF, end of period</w:t>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211,308 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199,373 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consider a “book” to be a collective pool of policies insured during a particular period, normally a calendar year. In general, the majority of underwriting profit, calculated as earned premium revenue minus claims and underwriting and operating expenses, generated by a particular book year emerges in the years immediately following origination. This pattern generally occurs because relatively few of the claims that a book will ultimately experience typically occur in the first few years following origination, when premium revenue is highest, while subsequent years are affected by declining premium revenues, as the number of insured loans decreases (primarily due to loan prepayments), and by increasing losses.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a summary of our primary IIF and RIF by book year as of the dates indicated.</w:t>
      </w:r>
    </w:p>
    <w:tbl>
      <w:tblPr>
        <w:tblW w:w="7049" w:type="dxa"/>
        <w:jc w:val="left"/>
        <w:tblInd w:w="0" w:type="dxa"/>
        <w:tblLayout w:type="fixed"/>
        <w:tblCellMar>
          <w:top w:w="28" w:type="dxa"/>
          <w:left w:w="28" w:type="dxa"/>
          <w:bottom w:w="28" w:type="dxa"/>
          <w:right w:w="28" w:type="dxa"/>
        </w:tblCellMar>
      </w:tblPr>
      <w:tblGrid>
        <w:gridCol w:w="596"/>
        <w:gridCol w:w="524"/>
        <w:gridCol w:w="529"/>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721"/>
        <w:gridCol w:w="154"/>
      </w:tblGrid>
      <w:tr>
        <w:trPr/>
        <w:tc>
          <w:tcPr>
            <w:tcW w:w="596"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Primary IIF and RIF</w:t>
            </w:r>
          </w:p>
        </w:tc>
        <w:tc>
          <w:tcPr>
            <w:tcW w:w="540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March 31,</w:t>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IIF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RIF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IIF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RIF</w:t>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Book year</w:t>
            </w:r>
          </w:p>
        </w:tc>
        <w:tc>
          <w:tcPr>
            <w:tcW w:w="540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2020 and before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211,308 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199,373 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52,610 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utilize certain risk principles that form the basis of how we underwrite and originate NIW. We have established prudential underwriting standards and loan-level eligibility matrices which prescribe the maximum LTV, minimum borrower FICO score, maximum borrower debt-to-income (DTI) ratio, maximum loan size, property type, loan type, loan term and occupancy status of loans that we will insure and memorialized these standards and eligibility matrices in our Underwriting Guideline Manual that is publicly available on our website. Our underwriting standards and eligibility criteria are designed to limit the layering of risk in a single insurance policy. “Layered risk” refers to the accumulation of borrower, loan and property risk. For example, we have higher credit score and lower maximum allowed LTV requirements for investor-owned properties, compared to owner-occupied properties. We monitor the concentrations of various risk attributes in our insurance portfolio, which may change over time, in part, as a result of regional conditions or public policy shifts.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tables below present our NIW by FICO, LTV and purchase/refinance mix for the periods indicated. We calculate the LTV of a loan as the percentage of the original loan amount to the original purchase value of the property securing the loan.</w:t>
      </w:r>
    </w:p>
    <w:tbl>
      <w:tblPr>
        <w:tblW w:w="6489" w:type="dxa"/>
        <w:jc w:val="left"/>
        <w:tblInd w:w="0" w:type="dxa"/>
        <w:tblLayout w:type="fixed"/>
        <w:tblCellMar>
          <w:top w:w="28" w:type="dxa"/>
          <w:left w:w="28" w:type="dxa"/>
          <w:bottom w:w="28" w:type="dxa"/>
          <w:right w:w="28" w:type="dxa"/>
        </w:tblCellMar>
      </w:tblPr>
      <w:tblGrid>
        <w:gridCol w:w="750"/>
        <w:gridCol w:w="658"/>
        <w:gridCol w:w="662"/>
        <w:gridCol w:w="109"/>
        <w:gridCol w:w="109"/>
        <w:gridCol w:w="273"/>
        <w:gridCol w:w="273"/>
        <w:gridCol w:w="529"/>
        <w:gridCol w:w="1545"/>
        <w:gridCol w:w="273"/>
        <w:gridCol w:w="109"/>
        <w:gridCol w:w="109"/>
        <w:gridCol w:w="109"/>
        <w:gridCol w:w="211"/>
        <w:gridCol w:w="616"/>
        <w:gridCol w:w="154"/>
      </w:tblGrid>
      <w:tr>
        <w:trPr/>
        <w:tc>
          <w:tcPr>
            <w:tcW w:w="750"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NIW by FICO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March 31,</w:t>
            </w:r>
          </w:p>
        </w:tc>
        <w:tc>
          <w:tcPr>
            <w:tcW w:w="1308" w:type="dxa"/>
            <w:gridSpan w:val="6"/>
            <w:tcBorders/>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3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36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&gt;= 760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4,971 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740-759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1,753 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720-739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700-719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680-699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&lt;=679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9,221 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FICO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07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758 </w:t>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5385" w:type="dxa"/>
        <w:jc w:val="left"/>
        <w:tblInd w:w="0" w:type="dxa"/>
        <w:tblLayout w:type="fixed"/>
        <w:tblCellMar>
          <w:top w:w="28" w:type="dxa"/>
          <w:left w:w="28" w:type="dxa"/>
          <w:bottom w:w="28" w:type="dxa"/>
          <w:right w:w="28" w:type="dxa"/>
        </w:tblCellMar>
      </w:tblPr>
      <w:tblGrid>
        <w:gridCol w:w="724"/>
        <w:gridCol w:w="638"/>
        <w:gridCol w:w="647"/>
        <w:gridCol w:w="242"/>
        <w:gridCol w:w="707"/>
        <w:gridCol w:w="311"/>
        <w:gridCol w:w="125"/>
        <w:gridCol w:w="125"/>
        <w:gridCol w:w="125"/>
        <w:gridCol w:w="242"/>
        <w:gridCol w:w="707"/>
        <w:gridCol w:w="311"/>
        <w:gridCol w:w="109"/>
        <w:gridCol w:w="109"/>
        <w:gridCol w:w="109"/>
        <w:gridCol w:w="154"/>
      </w:tblGrid>
      <w:tr>
        <w:trPr/>
        <w:tc>
          <w:tcPr>
            <w:tcW w:w="72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NIW by LTV</w:t>
            </w:r>
          </w:p>
        </w:tc>
        <w:tc>
          <w:tcPr>
            <w:tcW w:w="28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481" w:type="dxa"/>
            <w:gridSpan w:val="4"/>
            <w:tcBorders/>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95.01% and above</w:t>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90.01% to 95.00%</w:t>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4,274 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4,414 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85.01% to 90.00%</w:t>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2,751 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2,931 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85.00% and below</w:t>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9,221 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9,398 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LTV</w:t>
            </w:r>
          </w:p>
        </w:tc>
        <w:tc>
          <w:tcPr>
            <w:tcW w:w="94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92.2 </w:t>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92.3 </w:t>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5786" w:type="dxa"/>
        <w:jc w:val="left"/>
        <w:tblInd w:w="0" w:type="dxa"/>
        <w:tblLayout w:type="fixed"/>
        <w:tblCellMar>
          <w:top w:w="28" w:type="dxa"/>
          <w:left w:w="28" w:type="dxa"/>
          <w:bottom w:w="28" w:type="dxa"/>
          <w:right w:w="28" w:type="dxa"/>
        </w:tblCellMar>
      </w:tblPr>
      <w:tblGrid>
        <w:gridCol w:w="875"/>
        <w:gridCol w:w="768"/>
        <w:gridCol w:w="771"/>
        <w:gridCol w:w="277"/>
        <w:gridCol w:w="811"/>
        <w:gridCol w:w="143"/>
        <w:gridCol w:w="143"/>
        <w:gridCol w:w="143"/>
        <w:gridCol w:w="143"/>
        <w:gridCol w:w="277"/>
        <w:gridCol w:w="811"/>
        <w:gridCol w:w="143"/>
        <w:gridCol w:w="109"/>
        <w:gridCol w:w="109"/>
        <w:gridCol w:w="109"/>
        <w:gridCol w:w="154"/>
      </w:tblGrid>
      <w:tr>
        <w:trPr/>
        <w:tc>
          <w:tcPr>
            <w:tcW w:w="87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NIW by purchase/refinance mix</w:t>
            </w:r>
          </w:p>
        </w:tc>
        <w:tc>
          <w:tcPr>
            <w:tcW w:w="28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481" w:type="dxa"/>
            <w:gridSpan w:val="4"/>
            <w:tcBorders/>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Refinance</w:t>
            </w:r>
            <w:r>
              <w:rPr>
                <w:color w:val="000000"/>
              </w:rPr>
              <w:t xml:space="preserve"> </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9,221 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9,398 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tables below present our total primary IIF and RIF by FICO and LTV, and total primary RIF by loan type as of the dates indicated. </w:t>
      </w:r>
    </w:p>
    <w:tbl>
      <w:tblPr>
        <w:tblW w:w="6486" w:type="dxa"/>
        <w:jc w:val="left"/>
        <w:tblInd w:w="0" w:type="dxa"/>
        <w:tblLayout w:type="fixed"/>
        <w:tblCellMar>
          <w:top w:w="28" w:type="dxa"/>
          <w:left w:w="28" w:type="dxa"/>
          <w:bottom w:w="28" w:type="dxa"/>
          <w:right w:w="28" w:type="dxa"/>
        </w:tblCellMar>
      </w:tblPr>
      <w:tblGrid>
        <w:gridCol w:w="612"/>
        <w:gridCol w:w="539"/>
        <w:gridCol w:w="543"/>
        <w:gridCol w:w="211"/>
        <w:gridCol w:w="826"/>
        <w:gridCol w:w="109"/>
        <w:gridCol w:w="109"/>
        <w:gridCol w:w="109"/>
        <w:gridCol w:w="109"/>
        <w:gridCol w:w="232"/>
        <w:gridCol w:w="234"/>
        <w:gridCol w:w="271"/>
        <w:gridCol w:w="109"/>
        <w:gridCol w:w="109"/>
        <w:gridCol w:w="109"/>
        <w:gridCol w:w="211"/>
        <w:gridCol w:w="826"/>
        <w:gridCol w:w="109"/>
        <w:gridCol w:w="109"/>
        <w:gridCol w:w="109"/>
        <w:gridCol w:w="109"/>
        <w:gridCol w:w="232"/>
        <w:gridCol w:w="234"/>
        <w:gridCol w:w="316"/>
      </w:tblGrid>
      <w:tr>
        <w:trPr/>
        <w:tc>
          <w:tcPr>
            <w:tcW w:w="612"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Primary IIF by FICO</w:t>
            </w:r>
          </w:p>
        </w:tc>
        <w:tc>
          <w:tcPr>
            <w:tcW w:w="479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March 31,</w:t>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 Values In Millions)</w:t>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&gt;= 760</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740-759</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720-739</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700-719</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680-699</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&lt;=679</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211,308 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199,373 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left"/>
        <w:rPr/>
      </w:pPr>
      <w:r>
        <w:rPr/>
      </w:r>
    </w:p>
    <w:tbl>
      <w:tblPr>
        <w:tblW w:w="6337" w:type="dxa"/>
        <w:jc w:val="left"/>
        <w:tblInd w:w="0" w:type="dxa"/>
        <w:tblLayout w:type="fixed"/>
        <w:tblCellMar>
          <w:top w:w="28" w:type="dxa"/>
          <w:left w:w="28" w:type="dxa"/>
          <w:bottom w:w="28" w:type="dxa"/>
          <w:right w:w="28" w:type="dxa"/>
        </w:tblCellMar>
      </w:tblPr>
      <w:tblGrid>
        <w:gridCol w:w="634"/>
        <w:gridCol w:w="558"/>
        <w:gridCol w:w="563"/>
        <w:gridCol w:w="211"/>
        <w:gridCol w:w="721"/>
        <w:gridCol w:w="109"/>
        <w:gridCol w:w="109"/>
        <w:gridCol w:w="109"/>
        <w:gridCol w:w="109"/>
        <w:gridCol w:w="232"/>
        <w:gridCol w:w="234"/>
        <w:gridCol w:w="271"/>
        <w:gridCol w:w="109"/>
        <w:gridCol w:w="109"/>
        <w:gridCol w:w="109"/>
        <w:gridCol w:w="211"/>
        <w:gridCol w:w="721"/>
        <w:gridCol w:w="109"/>
        <w:gridCol w:w="109"/>
        <w:gridCol w:w="109"/>
        <w:gridCol w:w="109"/>
        <w:gridCol w:w="232"/>
        <w:gridCol w:w="234"/>
        <w:gridCol w:w="316"/>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Primary RIF by FICO</w:t>
            </w:r>
          </w:p>
        </w:tc>
        <w:tc>
          <w:tcPr>
            <w:tcW w:w="458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March 31,</w:t>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 Values In Millions)</w:t>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&gt;= 760</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740-759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720-739</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700-719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680-699</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&lt;=679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bl>
    <w:tbl>
      <w:tblPr>
        <w:tblW w:w="6427" w:type="dxa"/>
        <w:jc w:val="left"/>
        <w:tblInd w:w="0" w:type="dxa"/>
        <w:tblLayout w:type="fixed"/>
        <w:tblCellMar>
          <w:top w:w="28" w:type="dxa"/>
          <w:left w:w="28" w:type="dxa"/>
          <w:bottom w:w="28" w:type="dxa"/>
          <w:right w:w="28" w:type="dxa"/>
        </w:tblCellMar>
      </w:tblPr>
      <w:tblGrid>
        <w:gridCol w:w="591"/>
        <w:gridCol w:w="520"/>
        <w:gridCol w:w="524"/>
        <w:gridCol w:w="211"/>
        <w:gridCol w:w="826"/>
        <w:gridCol w:w="109"/>
        <w:gridCol w:w="109"/>
        <w:gridCol w:w="109"/>
        <w:gridCol w:w="109"/>
        <w:gridCol w:w="232"/>
        <w:gridCol w:w="234"/>
        <w:gridCol w:w="271"/>
        <w:gridCol w:w="109"/>
        <w:gridCol w:w="109"/>
        <w:gridCol w:w="109"/>
        <w:gridCol w:w="211"/>
        <w:gridCol w:w="826"/>
        <w:gridCol w:w="109"/>
        <w:gridCol w:w="109"/>
        <w:gridCol w:w="109"/>
        <w:gridCol w:w="109"/>
        <w:gridCol w:w="232"/>
        <w:gridCol w:w="234"/>
        <w:gridCol w:w="316"/>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Primary IIF by LTV</w:t>
            </w:r>
          </w:p>
        </w:tc>
        <w:tc>
          <w:tcPr>
            <w:tcW w:w="479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March 31,</w:t>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 Values In Millions)</w:t>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95.01% and above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90.01% to 95.00%</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85.01% to 90.00%</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85.00% and below</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211,308 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199,373 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3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bl>
    <w:tbl>
      <w:tblPr>
        <w:tblW w:w="6247" w:type="dxa"/>
        <w:jc w:val="left"/>
        <w:tblInd w:w="0" w:type="dxa"/>
        <w:tblLayout w:type="fixed"/>
        <w:tblCellMar>
          <w:top w:w="28" w:type="dxa"/>
          <w:left w:w="28" w:type="dxa"/>
          <w:bottom w:w="28" w:type="dxa"/>
          <w:right w:w="28" w:type="dxa"/>
        </w:tblCellMar>
      </w:tblPr>
      <w:tblGrid>
        <w:gridCol w:w="602"/>
        <w:gridCol w:w="529"/>
        <w:gridCol w:w="534"/>
        <w:gridCol w:w="211"/>
        <w:gridCol w:w="721"/>
        <w:gridCol w:w="109"/>
        <w:gridCol w:w="109"/>
        <w:gridCol w:w="109"/>
        <w:gridCol w:w="109"/>
        <w:gridCol w:w="232"/>
        <w:gridCol w:w="234"/>
        <w:gridCol w:w="271"/>
        <w:gridCol w:w="109"/>
        <w:gridCol w:w="109"/>
        <w:gridCol w:w="109"/>
        <w:gridCol w:w="211"/>
        <w:gridCol w:w="721"/>
        <w:gridCol w:w="109"/>
        <w:gridCol w:w="109"/>
        <w:gridCol w:w="109"/>
        <w:gridCol w:w="109"/>
        <w:gridCol w:w="232"/>
        <w:gridCol w:w="234"/>
        <w:gridCol w:w="316"/>
      </w:tblGrid>
      <w:tr>
        <w:trPr/>
        <w:tc>
          <w:tcPr>
            <w:tcW w:w="602"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Primary RIF by LTV</w:t>
            </w:r>
          </w:p>
        </w:tc>
        <w:tc>
          <w:tcPr>
            <w:tcW w:w="458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March 31,</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 Values In Millions)</w:t>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95.01% and above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90.01% to 95.00%</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85.01% to 90.00%</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85.00% and below</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6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bl>
    <w:tbl>
      <w:tblPr>
        <w:tblW w:w="4576" w:type="dxa"/>
        <w:jc w:val="left"/>
        <w:tblInd w:w="0" w:type="dxa"/>
        <w:tblLayout w:type="fixed"/>
        <w:tblCellMar>
          <w:top w:w="28" w:type="dxa"/>
          <w:left w:w="28" w:type="dxa"/>
          <w:bottom w:w="28" w:type="dxa"/>
          <w:right w:w="28" w:type="dxa"/>
        </w:tblCellMar>
      </w:tblPr>
      <w:tblGrid>
        <w:gridCol w:w="829"/>
        <w:gridCol w:w="729"/>
        <w:gridCol w:w="736"/>
        <w:gridCol w:w="231"/>
        <w:gridCol w:w="235"/>
        <w:gridCol w:w="271"/>
        <w:gridCol w:w="109"/>
        <w:gridCol w:w="109"/>
        <w:gridCol w:w="109"/>
        <w:gridCol w:w="231"/>
        <w:gridCol w:w="235"/>
        <w:gridCol w:w="271"/>
        <w:gridCol w:w="109"/>
        <w:gridCol w:w="109"/>
        <w:gridCol w:w="109"/>
        <w:gridCol w:w="154"/>
      </w:tblGrid>
      <w:tr>
        <w:trPr/>
        <w:tc>
          <w:tcPr>
            <w:tcW w:w="8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Primary RIF by Loan Type</w:t>
            </w:r>
          </w:p>
        </w:tc>
        <w:tc>
          <w:tcPr>
            <w:tcW w:w="18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Adjustable rate mortgages:</w:t>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than five years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Five years and longer</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selected primary portfolio statistics, by book year, as of March 31, 2025.</w:t>
      </w:r>
    </w:p>
    <w:tbl>
      <w:tblPr>
        <w:tblW w:w="13566" w:type="dxa"/>
        <w:jc w:val="left"/>
        <w:tblInd w:w="0" w:type="dxa"/>
        <w:tblLayout w:type="fixed"/>
        <w:tblCellMar>
          <w:top w:w="28" w:type="dxa"/>
          <w:left w:w="28" w:type="dxa"/>
          <w:bottom w:w="28" w:type="dxa"/>
          <w:right w:w="28" w:type="dxa"/>
        </w:tblCellMar>
      </w:tblPr>
      <w:tblGrid>
        <w:gridCol w:w="239"/>
        <w:gridCol w:w="158"/>
        <w:gridCol w:w="159"/>
        <w:gridCol w:w="211"/>
        <w:gridCol w:w="826"/>
        <w:gridCol w:w="109"/>
        <w:gridCol w:w="109"/>
        <w:gridCol w:w="109"/>
        <w:gridCol w:w="109"/>
        <w:gridCol w:w="211"/>
        <w:gridCol w:w="826"/>
        <w:gridCol w:w="109"/>
        <w:gridCol w:w="109"/>
        <w:gridCol w:w="109"/>
        <w:gridCol w:w="109"/>
        <w:gridCol w:w="244"/>
        <w:gridCol w:w="244"/>
        <w:gridCol w:w="608"/>
        <w:gridCol w:w="109"/>
        <w:gridCol w:w="109"/>
        <w:gridCol w:w="109"/>
        <w:gridCol w:w="559"/>
        <w:gridCol w:w="417"/>
        <w:gridCol w:w="216"/>
        <w:gridCol w:w="109"/>
        <w:gridCol w:w="109"/>
        <w:gridCol w:w="109"/>
        <w:gridCol w:w="596"/>
        <w:gridCol w:w="230"/>
        <w:gridCol w:w="231"/>
        <w:gridCol w:w="109"/>
        <w:gridCol w:w="109"/>
        <w:gridCol w:w="109"/>
        <w:gridCol w:w="386"/>
        <w:gridCol w:w="230"/>
        <w:gridCol w:w="231"/>
        <w:gridCol w:w="109"/>
        <w:gridCol w:w="109"/>
        <w:gridCol w:w="109"/>
        <w:gridCol w:w="416"/>
        <w:gridCol w:w="200"/>
        <w:gridCol w:w="201"/>
        <w:gridCol w:w="109"/>
        <w:gridCol w:w="109"/>
        <w:gridCol w:w="109"/>
        <w:gridCol w:w="324"/>
        <w:gridCol w:w="187"/>
        <w:gridCol w:w="467"/>
        <w:gridCol w:w="109"/>
        <w:gridCol w:w="109"/>
        <w:gridCol w:w="109"/>
        <w:gridCol w:w="210"/>
        <w:gridCol w:w="210"/>
        <w:gridCol w:w="526"/>
        <w:gridCol w:w="109"/>
        <w:gridCol w:w="109"/>
        <w:gridCol w:w="109"/>
        <w:gridCol w:w="256"/>
        <w:gridCol w:w="150"/>
        <w:gridCol w:w="436"/>
      </w:tblGrid>
      <w:tr>
        <w:trPr/>
        <w:tc>
          <w:tcPr>
            <w:tcW w:w="23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r>
      <w:tr>
        <w:trPr/>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1" w:type="dxa"/>
            <w:gridSpan w:val="5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Book Year</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Original Insurance Written</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Remaining Insurance in Force</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Remaining of Original Insurance</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Policies Ever in Force</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Policies in Force</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Loans in Default</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Claims Paid</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Incurred Loss Ratio (Inception to Date) </w:t>
            </w:r>
            <w:r>
              <w:rPr>
                <w:rFonts w:ascii="Times New Roman;sans-serif" w:hAnsi="Times New Roman;sans-serif"/>
                <w:b/>
                <w:color w:val="000000"/>
                <w:sz w:val="10"/>
              </w:rPr>
              <w:t>(1)</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Cumulative Default Rate </w:t>
            </w:r>
            <w:r>
              <w:rPr>
                <w:rFonts w:ascii="Times New Roman;sans-serif" w:hAnsi="Times New Roman;sans-serif"/>
                <w:b/>
                <w:color w:val="000000"/>
                <w:sz w:val="10"/>
              </w:rPr>
              <w:t>(2)</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Current Default Rate </w:t>
            </w:r>
            <w:r>
              <w:rPr>
                <w:rFonts w:ascii="Times New Roman;sans-serif" w:hAnsi="Times New Roman;sans-serif"/>
                <w:b/>
                <w:color w:val="000000"/>
                <w:sz w:val="10"/>
              </w:rPr>
              <w:t>(3)</w:t>
            </w:r>
          </w:p>
        </w:tc>
      </w:tr>
      <w:tr>
        <w:trPr/>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0" w:type="dxa"/>
            <w:gridSpan w:val="57"/>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 Values In Millions)</w:t>
            </w:r>
          </w:p>
        </w:tc>
      </w:tr>
      <w:tr>
        <w:trPr/>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2016 and prior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151,615 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11,572 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2017</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85,897 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10,007 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2018</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104,043 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12,534 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2019</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148,423 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26,358 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186,174 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70,620 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257,972 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160,946 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1,704 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163,281 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135,610 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2,014 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111,994 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96,394 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120,747 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113,636 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23,956 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23,813 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433,988 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211,308 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1,354,102 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661,490 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6,859 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    Calculated as total claims incurred (paid and reserved) divided by cumulative premiums earned, net of reinsurance.</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    Calculated as the sum of the number of claims paid ever to date and number of loans in default divided by policies ever in force.</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(3)    Calculated as the number of loans in default divided by number of policies in force.</w:t>
      </w:r>
    </w:p>
    <w:p>
      <w:pPr>
        <w:pStyle w:val="TextBody"/>
        <w:bidi w:val="0"/>
        <w:spacing w:before="0" w:after="180"/>
        <w:ind w:left="0" w:right="0" w:hanging="360"/>
        <w:jc w:val="both"/>
        <w:rPr/>
      </w:pPr>
      <w:r>
        <w:rPr/>
      </w:r>
    </w:p>
    <w:p>
      <w:pPr>
        <w:pStyle w:val="TextBody"/>
        <w:bidi w:val="0"/>
        <w:spacing w:lineRule="auto" w:line="288" w:before="0" w:after="180"/>
        <w:ind w:left="0" w:right="0" w:hanging="360"/>
        <w:jc w:val="both"/>
        <w:rPr>
          <w:rFonts w:ascii="Times New Roman;sans-serif" w:hAnsi="Times New Roman;sans-serif"/>
          <w:b w:val="false"/>
          <w:i/>
          <w:color w:val="000000"/>
          <w:sz w:val="20"/>
        </w:rPr>
      </w:pPr>
      <w:r>
        <w:rPr>
          <w:rFonts w:ascii="Times New Roman;sans-serif" w:hAnsi="Times New Roman;sans-serif"/>
          <w:b w:val="false"/>
          <w:i/>
          <w:color w:val="000000"/>
          <w:sz w:val="20"/>
        </w:rPr>
        <w:t>Geographic Dispersion</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shows the distribution by state of our primary RIF as of the dates indicated. The distribution of our primary RIF as of March 31, 2025 is not necessarily representative of the geographic distribution we expect in the future. </w:t>
      </w:r>
    </w:p>
    <w:tbl>
      <w:tblPr>
        <w:tblW w:w="4155" w:type="dxa"/>
        <w:jc w:val="left"/>
        <w:tblInd w:w="0" w:type="dxa"/>
        <w:tblLayout w:type="fixed"/>
        <w:tblCellMar>
          <w:top w:w="28" w:type="dxa"/>
          <w:left w:w="28" w:type="dxa"/>
          <w:bottom w:w="28" w:type="dxa"/>
          <w:right w:w="28" w:type="dxa"/>
        </w:tblCellMar>
      </w:tblPr>
      <w:tblGrid>
        <w:gridCol w:w="803"/>
        <w:gridCol w:w="705"/>
        <w:gridCol w:w="711"/>
        <w:gridCol w:w="255"/>
        <w:gridCol w:w="256"/>
        <w:gridCol w:w="271"/>
        <w:gridCol w:w="109"/>
        <w:gridCol w:w="109"/>
        <w:gridCol w:w="109"/>
        <w:gridCol w:w="255"/>
        <w:gridCol w:w="256"/>
        <w:gridCol w:w="316"/>
      </w:tblGrid>
      <w:tr>
        <w:trPr/>
        <w:tc>
          <w:tcPr>
            <w:tcW w:w="803"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Top 10 primary RIF by state</w:t>
            </w:r>
          </w:p>
        </w:tc>
        <w:tc>
          <w:tcPr>
            <w:tcW w:w="19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March 31,</w:t>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Florida</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Georgia</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Washington</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Illinois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Virginia</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Pennsylvania</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 Carolina</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Insurance Claims and Claim Expenses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Insurance claims and claim expenses incurred represent estimated future payments on newly defaulted insured loans and any change in our claim estimates for previously existing defaults. Claims incurred are generally affected by a variety of factors, including the macroeconomic environment, national and regional unemployment trends, changes in housing values, borrower risk characteristics, LTV ratios and other loan level risk attributes, the size and type of loans insured, the percentage of coverage on insured loans, and the level of reinsurance coverage maintained against insured exposures.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Reserves for claims and claim expenses are established for mortgage loans that are in default. A loan is considered to be in default as of the payment date at which a borrower has missed the preceding two or more consecutive monthly payments.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establish reserves for loans that have been reported to us in default by servicers, referred to as case reserves, and additional loans that we estimate (based on actuarial review and other factors) to be in default that have not yet been reported to us by servicers, referred to as IBNR. We also establish reserves for claim expenses, which represent the estimated cost of the claim administration process, including legal and other fees and other general expenses of administering the claim settlement process. Reserves are not established for future claims on insured loans which are not currently reported or which we estimate are not currently in default.</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Reserves are established by estimating the number of loans in default that will result in a claim payment, which is referred to as claim frequency, and the amount of the claim payment expected to be paid on each such loan in default, which is referred to as claim severity. Claim frequency and severity estimates are established based on historical observed experience regarding certain loan factors, such as age of the default, cure rates, size of the loan and estimated change in property value. Reserves are released the month in which a loan in default is brought current by the borrower, which is referred to as a cure. Adjustments to reserve estimates are reflected in the period in which the adjustment is made. Reserves are also ceded to reinsurers under the QSR Transactions, ILN Transactions and XOL Transactions as applicable under each treaty. We have not yet ceded reserves under any of the ILN Transactions or XOL Transactions as incurred claims and claim expenses on each respective reference pool remain within our retained coverage layer for each transaction.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reserve setting process considers the beneficial impact of forbearance, foreclosure moratorium and other assistance programs that may be made available to certain defaulted borrowers. The effectiveness of forbearance and other such assistance programs can be further enhanced by the availability of various repayment and loan modification options which typically allow borrowers to amortize or, in certain instances, outright defer payments otherwise missed during a period of dislocation over an extended length of time. We generally observe that forbearance, repayment and modification, and other assistance programs are an effective tool to bridge dislocated borrowers from a time of acute stress to a future date when they can resume timely payment of their mortgage obligations, and note higher cure rates on defaults benefitting from broad-based assistance programs than would otherwise be expected on similarly situated loans that did not benefit from such programs.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actual claims we incur as our portfolio matures are difficult to predict and depend on the specific characteristics of our current in-force book (including the credit score and DTI ratio of the borrower, the LTV ratio of the mortgage and geographic concentrations, among others), as well as the risk profile of new business we write in the future. In addition, claims experience will be affected by macroeconomic factors such as housing prices, interest rates, unemployment rates and other events, such as natural disasters or global pandemics, and any federal, state or local governmental response thereto.</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Macroeconomic factors, including persistent inflation, elevated interest rates, flagging consumer confidence and increasing jobless claims could have a pronounced impact on the housing market, the mortgage insurance industry and our business in future periods. A marked decline in housing demand, a significant and protracted decrease in house prices, or a sustained increase in unemployment could contribute to an increase in our future default and claims experience.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the beginning and ending gross reserve balances for insurance claims and claim expenses:</w:t>
      </w:r>
    </w:p>
    <w:tbl>
      <w:tblPr>
        <w:tblW w:w="8052" w:type="dxa"/>
        <w:jc w:val="left"/>
        <w:tblInd w:w="0" w:type="dxa"/>
        <w:tblLayout w:type="fixed"/>
        <w:tblCellMar>
          <w:top w:w="28" w:type="dxa"/>
          <w:left w:w="28" w:type="dxa"/>
          <w:bottom w:w="28" w:type="dxa"/>
          <w:right w:w="28" w:type="dxa"/>
        </w:tblCellMar>
      </w:tblPr>
      <w:tblGrid>
        <w:gridCol w:w="1695"/>
        <w:gridCol w:w="1488"/>
        <w:gridCol w:w="1496"/>
        <w:gridCol w:w="233"/>
        <w:gridCol w:w="913"/>
        <w:gridCol w:w="120"/>
        <w:gridCol w:w="120"/>
        <w:gridCol w:w="120"/>
        <w:gridCol w:w="120"/>
        <w:gridCol w:w="233"/>
        <w:gridCol w:w="913"/>
        <w:gridCol w:w="120"/>
        <w:gridCol w:w="109"/>
        <w:gridCol w:w="109"/>
        <w:gridCol w:w="109"/>
        <w:gridCol w:w="154"/>
      </w:tblGrid>
      <w:tr>
        <w:trPr/>
        <w:tc>
          <w:tcPr>
            <w:tcW w:w="1695"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152,071 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123,974 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Less reinsurance recoverables </w:t>
            </w:r>
            <w:r>
              <w:rPr>
                <w:rFonts w:ascii="Times New Roman;sans-serif" w:hAnsi="Times New Roman;sans-serif"/>
                <w:b w:val="false"/>
                <w:color w:val="000000"/>
                <w:sz w:val="13"/>
              </w:rPr>
              <w:t>(1)</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(32,260)</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(27,514)</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 net of reinsurance recoverables</w:t>
            </w:r>
          </w:p>
        </w:tc>
        <w:tc>
          <w:tcPr>
            <w:tcW w:w="11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119,811 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96,460 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claims incurred:</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Claims and claim expenses incurred:</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Current year </w:t>
            </w:r>
            <w:r>
              <w:rPr>
                <w:rFonts w:ascii="Times New Roman;sans-serif" w:hAnsi="Times New Roman;sans-serif"/>
                <w:b w:val="false"/>
                <w:color w:val="000000"/>
                <w:sz w:val="13"/>
              </w:rPr>
              <w:t>(2)</w:t>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34,559 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32,976 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Prior years</w:t>
            </w:r>
            <w:r>
              <w:rPr>
                <w:color w:val="000000"/>
              </w:rPr>
              <w:t xml:space="preserve"> </w:t>
            </w:r>
            <w:r>
              <w:rPr>
                <w:rFonts w:ascii="Times New Roman;sans-serif" w:hAnsi="Times New Roman;sans-serif"/>
                <w:b w:val="false"/>
                <w:color w:val="000000"/>
                <w:sz w:val="13"/>
              </w:rPr>
              <w:t>(3)</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(30,081)</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(29,282)</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claims and claim expenses incurred</w:t>
            </w:r>
          </w:p>
        </w:tc>
        <w:tc>
          <w:tcPr>
            <w:tcW w:w="11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4,478 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3,694 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claims paid:</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Claims and claim expenses paid:</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Current year </w:t>
            </w:r>
            <w:r>
              <w:rPr>
                <w:rFonts w:ascii="Times New Roman;sans-serif" w:hAnsi="Times New Roman;sans-serif"/>
                <w:b w:val="false"/>
                <w:color w:val="000000"/>
                <w:sz w:val="13"/>
              </w:rPr>
              <w:t>(2)</w:t>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Prior years</w:t>
            </w:r>
            <w:r>
              <w:rPr>
                <w:color w:val="000000"/>
              </w:rPr>
              <w:t xml:space="preserve"> </w:t>
            </w:r>
            <w:r>
              <w:rPr>
                <w:rFonts w:ascii="Times New Roman;sans-serif" w:hAnsi="Times New Roman;sans-serif"/>
                <w:b w:val="false"/>
                <w:color w:val="000000"/>
                <w:sz w:val="13"/>
              </w:rPr>
              <w:t>(3)</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Reinsurance terminations </w:t>
            </w:r>
            <w:r>
              <w:rPr>
                <w:rFonts w:ascii="Times New Roman;sans-serif" w:hAnsi="Times New Roman;sans-serif"/>
                <w:b w:val="false"/>
                <w:color w:val="000000"/>
                <w:sz w:val="13"/>
              </w:rPr>
              <w:t>(4)</w:t>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claims and claim expenses paid</w:t>
            </w:r>
          </w:p>
        </w:tc>
        <w:tc>
          <w:tcPr>
            <w:tcW w:w="11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3,821 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 at end of period, net of reinsurance recoverables</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120,468 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99,302 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Add reinsurance recoverables </w:t>
            </w:r>
            <w:r>
              <w:rPr>
                <w:rFonts w:ascii="Times New Roman;sans-serif" w:hAnsi="Times New Roman;sans-serif"/>
                <w:b w:val="false"/>
                <w:color w:val="000000"/>
                <w:sz w:val="13"/>
              </w:rPr>
              <w:t>(1)</w:t>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31,379 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27,880 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151,847 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127,182 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Times New Roman;sans-serif" w:hAnsi="Times New Roman;sans-serif"/>
          <w:b w:val="false"/>
          <w:color w:val="000000"/>
          <w:sz w:val="16"/>
        </w:rPr>
        <w:t>(1)    Related to ceded losses recoverable under the QSR Transactions. See Item 1, “</w:t>
      </w:r>
      <w:r>
        <w:rPr>
          <w:rFonts w:ascii="Times New Roman;sans-serif" w:hAnsi="Times New Roman;sans-serif"/>
          <w:b w:val="false"/>
          <w:i/>
          <w:color w:val="000000"/>
          <w:sz w:val="16"/>
        </w:rPr>
        <w:t>Financial Statements - Notes to Condensed Consolidated Financial Statements - Note 5, Reinsurance”</w:t>
      </w:r>
      <w:r>
        <w:rPr>
          <w:color w:val="000000"/>
        </w:rPr>
        <w:t xml:space="preserve"> </w:t>
      </w:r>
      <w:r>
        <w:rPr>
          <w:rFonts w:ascii="Times New Roman;sans-serif" w:hAnsi="Times New Roman;sans-serif"/>
          <w:b w:val="false"/>
          <w:color w:val="000000"/>
          <w:sz w:val="16"/>
        </w:rPr>
        <w:t>for additional information.</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    Related to insured loans with their most recent defaults occurring in the current year. For example, if a loan defaulted in a prior year and subsequently cured and later re-defaulted in the current year, the default would be included in the current year. Amounts are presented net of reinsurance and included $25.9 million attributed to net case reserves and $8.1 million attributed to net IBNR reserves for the three months ended March 31, 2025 and $25.9 million attributed to net case reserves and $6.6 million attributed to net IBNR reserves for the three months ended March 31, 2024.</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(3)    Related to insured loans with defaults occurring in prior years, which have been continuously in default before the start of the current year. Amounts are presented net of reinsurance and included $21.8 million attributed to net case reserves and $8.1 million attributed to net IBNR reserves for the three months ended March 31, 2025 and $22.4 million attributed to net case reserves and $6.3 million attributed to net IBNR reserves for the three months ended March 31, 2024.</w:t>
      </w:r>
    </w:p>
    <w:p>
      <w:pPr>
        <w:pStyle w:val="TextBody"/>
        <w:bidi w:val="0"/>
        <w:spacing w:lineRule="auto" w:line="288" w:before="0" w:after="0"/>
        <w:ind w:left="0" w:right="0" w:hanging="360"/>
        <w:jc w:val="both"/>
        <w:rPr/>
      </w:pPr>
      <w:r>
        <w:rPr>
          <w:rFonts w:ascii="Times New Roman;sans-serif" w:hAnsi="Times New Roman;sans-serif"/>
          <w:b w:val="false"/>
          <w:color w:val="000000"/>
          <w:sz w:val="16"/>
        </w:rPr>
        <w:t>(4)    Represents the settlement of reinsurance recoverables in conjunction with the termination of one reinsurer under the 2016, 2018 and 2021 QSR Transactions by mutual agreement on a cut-off basis with no termination fee. See Item 1, “</w:t>
      </w:r>
      <w:r>
        <w:rPr>
          <w:rFonts w:ascii="Times New Roman;sans-serif" w:hAnsi="Times New Roman;sans-serif"/>
          <w:b w:val="false"/>
          <w:i/>
          <w:color w:val="000000"/>
          <w:sz w:val="16"/>
        </w:rPr>
        <w:t>Financial Statements - Notes to Condensed Consolidated Financial Statements - Note 5, Reinsurance”</w:t>
      </w:r>
      <w:r>
        <w:rPr>
          <w:color w:val="000000"/>
        </w:rPr>
        <w:t xml:space="preserve"> </w:t>
      </w:r>
      <w:r>
        <w:rPr>
          <w:rFonts w:ascii="Times New Roman;sans-serif" w:hAnsi="Times New Roman;sans-serif"/>
          <w:b w:val="false"/>
          <w:color w:val="000000"/>
          <w:sz w:val="16"/>
        </w:rPr>
        <w:t>for additional information.</w:t>
      </w:r>
    </w:p>
    <w:p>
      <w:pPr>
        <w:pStyle w:val="TextBody"/>
        <w:bidi w:val="0"/>
        <w:spacing w:before="0" w:after="180"/>
        <w:ind w:left="0" w:right="0" w:hanging="360"/>
        <w:jc w:val="both"/>
        <w:rPr/>
      </w:pPr>
      <w:r>
        <w:rPr/>
      </w:r>
    </w:p>
    <w:p>
      <w:pPr>
        <w:pStyle w:val="TextBody"/>
        <w:bidi w:val="0"/>
        <w:spacing w:lineRule="auto" w:line="288" w:before="0" w:after="180"/>
        <w:ind w:left="0" w:right="0" w:firstLine="720"/>
        <w:jc w:val="both"/>
        <w:rPr/>
      </w:pPr>
      <w:r>
        <w:rPr>
          <w:rFonts w:ascii="Times New Roman;sans-serif" w:hAnsi="Times New Roman;sans-serif"/>
          <w:b w:val="false"/>
          <w:color w:val="000000"/>
          <w:sz w:val="20"/>
        </w:rPr>
        <w:t xml:space="preserve">The </w:t>
      </w:r>
      <w:r>
        <w:rPr>
          <w:color w:val="000000"/>
        </w:rPr>
        <w:t>“</w:t>
      </w:r>
      <w:r>
        <w:rPr>
          <w:rFonts w:ascii="Times New Roman;sans-serif" w:hAnsi="Times New Roman;sans-serif"/>
          <w:b w:val="false"/>
          <w:color w:val="000000"/>
          <w:sz w:val="20"/>
        </w:rPr>
        <w:t>claims incurred</w:t>
      </w:r>
      <w:r>
        <w:rPr>
          <w:color w:val="000000"/>
        </w:rPr>
        <w:t xml:space="preserve">” </w:t>
      </w:r>
      <w:r>
        <w:rPr>
          <w:rFonts w:ascii="Times New Roman;sans-serif" w:hAnsi="Times New Roman;sans-serif"/>
          <w:b w:val="false"/>
          <w:color w:val="000000"/>
          <w:sz w:val="20"/>
        </w:rPr>
        <w:t>section of the table above shows claims and claim expenses incurred on defaults occurring in current and prior years, including IBNR reserves and is presented net of reinsurance. We may increase or decrease our claim estimates and reserves as we learn additional information about individual defaulted loans and continue to observe and analyze loss development trends in our portfolio. Gross reserves of $108.4 million related to prior year defaults remained as of March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the beginning and ending count of loans in default:</w:t>
      </w:r>
    </w:p>
    <w:tbl>
      <w:tblPr>
        <w:tblW w:w="6361" w:type="dxa"/>
        <w:jc w:val="left"/>
        <w:tblInd w:w="0" w:type="dxa"/>
        <w:tblLayout w:type="fixed"/>
        <w:tblCellMar>
          <w:top w:w="28" w:type="dxa"/>
          <w:left w:w="28" w:type="dxa"/>
          <w:bottom w:w="28" w:type="dxa"/>
          <w:right w:w="28" w:type="dxa"/>
        </w:tblCellMar>
      </w:tblPr>
      <w:tblGrid>
        <w:gridCol w:w="1049"/>
        <w:gridCol w:w="920"/>
        <w:gridCol w:w="926"/>
        <w:gridCol w:w="345"/>
        <w:gridCol w:w="345"/>
        <w:gridCol w:w="321"/>
        <w:gridCol w:w="321"/>
        <w:gridCol w:w="321"/>
        <w:gridCol w:w="321"/>
        <w:gridCol w:w="345"/>
        <w:gridCol w:w="345"/>
        <w:gridCol w:w="321"/>
        <w:gridCol w:w="109"/>
        <w:gridCol w:w="109"/>
        <w:gridCol w:w="109"/>
        <w:gridCol w:w="154"/>
      </w:tblGrid>
      <w:tr>
        <w:trPr/>
        <w:tc>
          <w:tcPr>
            <w:tcW w:w="1049"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9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default inventory</w:t>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6,642 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5,099 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Plus: new defaults</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2,421 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1,876 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cures</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(2,094)</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(1,817)</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claims paid</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rescission and claims denied</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default inventory</w:t>
            </w:r>
          </w:p>
        </w:tc>
        <w:tc>
          <w:tcPr>
            <w:tcW w:w="6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6,859 </w:t>
            </w:r>
          </w:p>
        </w:tc>
        <w:tc>
          <w:tcPr>
            <w:tcW w:w="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5,109 </w:t>
            </w:r>
          </w:p>
        </w:tc>
        <w:tc>
          <w:tcPr>
            <w:tcW w:w="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Ending default inventory increased from March 31, 2024 to March 31, 2025, primarily due to the growth and seasoning of our insured portfolio, partially offset by cure activity within our default population during the intervening period.</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details of our claims paid, before giving effect to claims ceded under the QSR Transactions for the periods indicated:</w:t>
      </w:r>
    </w:p>
    <w:tbl>
      <w:tblPr>
        <w:tblW w:w="6090" w:type="dxa"/>
        <w:jc w:val="left"/>
        <w:tblInd w:w="0" w:type="dxa"/>
        <w:tblLayout w:type="fixed"/>
        <w:tblCellMar>
          <w:top w:w="28" w:type="dxa"/>
          <w:left w:w="28" w:type="dxa"/>
          <w:bottom w:w="28" w:type="dxa"/>
          <w:right w:w="28" w:type="dxa"/>
        </w:tblCellMar>
      </w:tblPr>
      <w:tblGrid>
        <w:gridCol w:w="981"/>
        <w:gridCol w:w="864"/>
        <w:gridCol w:w="869"/>
        <w:gridCol w:w="242"/>
        <w:gridCol w:w="707"/>
        <w:gridCol w:w="311"/>
        <w:gridCol w:w="125"/>
        <w:gridCol w:w="125"/>
        <w:gridCol w:w="125"/>
        <w:gridCol w:w="242"/>
        <w:gridCol w:w="707"/>
        <w:gridCol w:w="311"/>
        <w:gridCol w:w="109"/>
        <w:gridCol w:w="109"/>
        <w:gridCol w:w="109"/>
        <w:gridCol w:w="154"/>
      </w:tblGrid>
      <w:tr>
        <w:trPr/>
        <w:tc>
          <w:tcPr>
            <w:tcW w:w="981"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 Values In 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Number of claims paid </w:t>
            </w:r>
            <w:r>
              <w:rPr>
                <w:rFonts w:ascii="Times New Roman;sans-serif" w:hAnsi="Times New Roman;sans-serif"/>
                <w:b w:val="false"/>
                <w:color w:val="000000"/>
                <w:sz w:val="13"/>
              </w:rPr>
              <w:t>(1)</w:t>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amount paid for claims</w:t>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5,225 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Average amount paid per claim</w:t>
            </w:r>
            <w:r>
              <w:rPr>
                <w:color w:val="000000"/>
              </w:rPr>
              <w:t xml:space="preserve"> </w:t>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Severity </w:t>
            </w:r>
            <w:r>
              <w:rPr>
                <w:rFonts w:ascii="Times New Roman;sans-serif" w:hAnsi="Times New Roman;sans-serif"/>
                <w:b w:val="false"/>
                <w:color w:val="000000"/>
                <w:sz w:val="13"/>
              </w:rPr>
              <w:t>(2)</w:t>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    Count includes 20 and 16 claims settled without payment during the three months ended March 31, 2025 and 2024, respectively.</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    Severity represents the total amount of claims paid including claim expenses divided by the related RIF on the loan at the time the claim is perfected, and is calculated including claims settled without payment.</w:t>
      </w:r>
    </w:p>
    <w:p>
      <w:pPr>
        <w:pStyle w:val="TextBody"/>
        <w:bidi w:val="0"/>
        <w:spacing w:before="0" w:after="0"/>
        <w:ind w:left="0" w:right="0" w:hanging="360"/>
        <w:jc w:val="both"/>
        <w:rPr/>
      </w:pPr>
      <w:r>
        <w:rPr/>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paid 95 and 42 claims during the three months ended March 31, 2025 and 2024, respectively. The number of claims paid in each period was modest relative to the size of our insured portfolio and we generally observe that the borrowers of the loans we insure are well-situated with strong credit profiles, stable 30-year fixed rate mortgages, manageable debt service obligations and significant appreciated equity in their homes. An increase in the value of the homes collateralizing the mortgages we insure provides defaulted borrowers with alternative paths and incentives to cure their loan prior to the development of a claim.</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claims severity was 69% and 54% for the three months ended March 31, 2025 and 2024, respectively. Our claims severity for each period was below long-term industry norms and benefited from the same broad national house price appreciation that supported our claims paid experience. An increase in the value of the homes collateralizing the mortgages we insure provides additional equity support to our risk exposure and raises the prospect of a third-party sale of a foreclosed property, which can mitigate the severity of our settled claims.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number of claims paid and our severity experience in future periods may be impacted if developing economic cycles impose financial strain on borrowers, and each could increase if house price declines serve to limit the alternative paths and incentives to cure delinquencies that are available to defaulted borrowers or erode the equity value of the homes collateralizing the mortgages we insure.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detail on our average reserve per default, before giving effect to reserves ceded under the QSR Transactions, as of the dates indicated:</w:t>
      </w:r>
    </w:p>
    <w:tbl>
      <w:tblPr>
        <w:tblW w:w="4239" w:type="dxa"/>
        <w:jc w:val="left"/>
        <w:tblInd w:w="0" w:type="dxa"/>
        <w:tblLayout w:type="fixed"/>
        <w:tblCellMar>
          <w:top w:w="28" w:type="dxa"/>
          <w:left w:w="28" w:type="dxa"/>
          <w:bottom w:w="28" w:type="dxa"/>
          <w:right w:w="28" w:type="dxa"/>
        </w:tblCellMar>
      </w:tblPr>
      <w:tblGrid>
        <w:gridCol w:w="797"/>
        <w:gridCol w:w="701"/>
        <w:gridCol w:w="707"/>
        <w:gridCol w:w="211"/>
        <w:gridCol w:w="511"/>
        <w:gridCol w:w="109"/>
        <w:gridCol w:w="109"/>
        <w:gridCol w:w="109"/>
        <w:gridCol w:w="109"/>
        <w:gridCol w:w="211"/>
        <w:gridCol w:w="511"/>
        <w:gridCol w:w="154"/>
      </w:tblGrid>
      <w:tr>
        <w:trPr/>
        <w:tc>
          <w:tcPr>
            <w:tcW w:w="797"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Average reserve per default:</w:t>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March 31,</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Case </w:t>
            </w:r>
            <w:r>
              <w:rPr>
                <w:rFonts w:ascii="Times New Roman;sans-serif" w:hAnsi="Times New Roman;sans-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IBNR </w:t>
            </w:r>
            <w:r>
              <w:rPr>
                <w:rFonts w:ascii="Times New Roman;sans-serif" w:hAnsi="Times New Roman;sans-serif"/>
                <w:b w:val="false"/>
                <w:color w:val="000000"/>
                <w:sz w:val="13"/>
              </w:rPr>
              <w:t>(1)(2)</w:t>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    Defined as the gross reserve per insured loan in default.</w:t>
      </w:r>
    </w:p>
    <w:p>
      <w:pPr>
        <w:pStyle w:val="TextBody"/>
        <w:bidi w:val="0"/>
        <w:spacing w:lineRule="auto" w:line="288" w:before="0" w:after="18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    Amount includes claims adjustment expenses.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Average reserve per default decreased from March 31, 2024 to March 31, 2025, due to changes in observed and forecasted housing market conditions and macroeconomic factors between the measurement dates, and an increase in the proportion of defaults that trace to storm-related activity year-on-year. We generally observe that storm-related defaults cure at higher rates than other similarly situated loans in default (in non-disaster zones) and scale our reserves accordingly. Average reserves per default were further impacted by other changes in the composition of our default inventory as measured by the size, vintage and current estimated LTV of defaulted loans.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GSE Oversight</w:t>
      </w:r>
    </w:p>
    <w:p>
      <w:pPr>
        <w:pStyle w:val="TextBody"/>
        <w:bidi w:val="0"/>
        <w:spacing w:lineRule="auto" w:line="288" w:before="0" w:after="180"/>
        <w:ind w:left="0" w:right="0" w:firstLine="765"/>
        <w:jc w:val="both"/>
        <w:rPr/>
      </w:pPr>
      <w:r>
        <w:rPr>
          <w:rFonts w:ascii="Times New Roman;sans-serif" w:hAnsi="Times New Roman;sans-serif"/>
          <w:b w:val="false"/>
          <w:color w:val="000000"/>
          <w:sz w:val="20"/>
        </w:rPr>
        <w:t>As an</w:t>
      </w:r>
      <w:r>
        <w:rPr>
          <w:color w:val="000000"/>
        </w:rPr>
        <w:t xml:space="preserve"> </w:t>
      </w:r>
      <w:r>
        <w:rPr>
          <w:rFonts w:ascii="Times New Roman;sans-serif" w:hAnsi="Times New Roman;sans-serif"/>
          <w:b w:val="false"/>
          <w:i/>
          <w:color w:val="000000"/>
          <w:sz w:val="20"/>
        </w:rPr>
        <w:t>approved insurer</w:t>
      </w:r>
      <w:r>
        <w:rPr>
          <w:rFonts w:ascii="Times New Roman;sans-serif" w:hAnsi="Times New Roman;sans-serif"/>
          <w:b w:val="false"/>
          <w:color w:val="000000"/>
          <w:sz w:val="20"/>
        </w:rPr>
        <w:t>, NMIC is subject to ongoing compliance with the PMIERs established by each of the GSEs (</w:t>
      </w:r>
      <w:r>
        <w:rPr>
          <w:rFonts w:ascii="Times New Roman;sans-serif" w:hAnsi="Times New Roman;sans-serif"/>
          <w:b w:val="false"/>
          <w:i/>
          <w:color w:val="000000"/>
          <w:sz w:val="20"/>
        </w:rPr>
        <w:t>italicized</w:t>
      </w:r>
      <w:r>
        <w:rPr>
          <w:color w:val="000000"/>
        </w:rPr>
        <w:t xml:space="preserve"> </w:t>
      </w:r>
      <w:r>
        <w:rPr>
          <w:rFonts w:ascii="Times New Roman;sans-serif" w:hAnsi="Times New Roman;sans-serif"/>
          <w:b w:val="false"/>
          <w:color w:val="000000"/>
          <w:sz w:val="20"/>
        </w:rPr>
        <w:t>terms have the same meaning that such terms have in the PMIERs, as described below). The PMIERs establish operational, business, remedial and financial requirements applicable to</w:t>
      </w:r>
      <w:r>
        <w:rPr>
          <w:color w:val="000000"/>
        </w:rPr>
        <w:t xml:space="preserve"> </w:t>
      </w:r>
      <w:r>
        <w:rPr>
          <w:rFonts w:ascii="Times New Roman;sans-serif" w:hAnsi="Times New Roman;sans-serif"/>
          <w:b w:val="false"/>
          <w:i/>
          <w:color w:val="000000"/>
          <w:sz w:val="20"/>
        </w:rPr>
        <w:t>approved insurers</w:t>
      </w:r>
      <w:r>
        <w:rPr>
          <w:rFonts w:ascii="Times New Roman;sans-serif" w:hAnsi="Times New Roman;sans-serif"/>
          <w:b w:val="false"/>
          <w:color w:val="000000"/>
          <w:sz w:val="20"/>
        </w:rPr>
        <w:t>. The PMIERs financial requirements prescribe a risk-based methodology whereby the amount of assets required to be held against each insured loan is determined based on certain loan-level risk characteristics, such as FICO, vintage (year of origination), performing vs. non-performing (</w:t>
      </w:r>
      <w:r>
        <w:rPr>
          <w:rFonts w:ascii="Times New Roman;sans-serif" w:hAnsi="Times New Roman;sans-serif"/>
          <w:b w:val="false"/>
          <w:i/>
          <w:color w:val="000000"/>
          <w:sz w:val="20"/>
        </w:rPr>
        <w:t xml:space="preserve">i.e., </w:t>
      </w:r>
      <w:r>
        <w:rPr>
          <w:rFonts w:ascii="Times New Roman;sans-serif" w:hAnsi="Times New Roman;sans-serif"/>
          <w:b w:val="false"/>
          <w:color w:val="000000"/>
          <w:sz w:val="20"/>
        </w:rPr>
        <w:t>current vs. delinquent), LTV ratio and other risk features. In general, higher quality loans carry lower asset charges.</w:t>
      </w:r>
    </w:p>
    <w:p>
      <w:pPr>
        <w:pStyle w:val="TextBody"/>
        <w:bidi w:val="0"/>
        <w:spacing w:lineRule="auto" w:line="288" w:before="0" w:after="180"/>
        <w:ind w:left="0" w:right="0" w:firstLine="765"/>
        <w:jc w:val="both"/>
        <w:rPr/>
      </w:pPr>
      <w:r>
        <w:rPr>
          <w:rFonts w:ascii="Times New Roman;sans-serif" w:hAnsi="Times New Roman;sans-serif"/>
          <w:b w:val="false"/>
          <w:color w:val="000000"/>
          <w:sz w:val="20"/>
        </w:rPr>
        <w:t>Under the PMIERs,</w:t>
      </w:r>
      <w:r>
        <w:rPr>
          <w:color w:val="000000"/>
        </w:rPr>
        <w:t xml:space="preserve"> </w:t>
      </w:r>
      <w:r>
        <w:rPr>
          <w:rFonts w:ascii="Times New Roman;sans-serif" w:hAnsi="Times New Roman;sans-serif"/>
          <w:b w:val="false"/>
          <w:i/>
          <w:color w:val="000000"/>
          <w:sz w:val="20"/>
        </w:rPr>
        <w:t>approved insurers</w:t>
      </w:r>
      <w:r>
        <w:rPr>
          <w:color w:val="000000"/>
        </w:rPr>
        <w:t xml:space="preserve"> </w:t>
      </w:r>
      <w:r>
        <w:rPr>
          <w:rFonts w:ascii="Times New Roman;sans-serif" w:hAnsi="Times New Roman;sans-serif"/>
          <w:b w:val="false"/>
          <w:color w:val="000000"/>
          <w:sz w:val="20"/>
        </w:rPr>
        <w:t>must maintain</w:t>
      </w:r>
      <w:r>
        <w:rPr>
          <w:color w:val="000000"/>
        </w:rPr>
        <w:t xml:space="preserve"> </w:t>
      </w:r>
      <w:r>
        <w:rPr>
          <w:rFonts w:ascii="Times New Roman;sans-serif" w:hAnsi="Times New Roman;sans-serif"/>
          <w:b w:val="false"/>
          <w:i/>
          <w:color w:val="000000"/>
          <w:sz w:val="20"/>
        </w:rPr>
        <w:t>available assets</w:t>
      </w:r>
      <w:r>
        <w:rPr>
          <w:color w:val="000000"/>
        </w:rPr>
        <w:t xml:space="preserve"> </w:t>
      </w:r>
      <w:r>
        <w:rPr>
          <w:rFonts w:ascii="Times New Roman;sans-serif" w:hAnsi="Times New Roman;sans-serif"/>
          <w:b w:val="false"/>
          <w:color w:val="000000"/>
          <w:sz w:val="20"/>
        </w:rPr>
        <w:t>that equal or exceed</w:t>
      </w:r>
      <w:r>
        <w:rPr>
          <w:color w:val="000000"/>
        </w:rPr>
        <w:t xml:space="preserve"> </w:t>
      </w:r>
      <w:r>
        <w:rPr>
          <w:rFonts w:ascii="Times New Roman;sans-serif" w:hAnsi="Times New Roman;sans-serif"/>
          <w:b w:val="false"/>
          <w:i/>
          <w:color w:val="000000"/>
          <w:sz w:val="20"/>
        </w:rPr>
        <w:t>minimum required assets</w:t>
      </w:r>
      <w:r>
        <w:rPr>
          <w:rFonts w:ascii="Times New Roman;sans-serif" w:hAnsi="Times New Roman;sans-serif"/>
          <w:b w:val="false"/>
          <w:color w:val="000000"/>
          <w:sz w:val="20"/>
        </w:rPr>
        <w:t xml:space="preserve">, which is an amount equal to the greater of (i) $400 million or (ii) a total </w:t>
      </w:r>
      <w:r>
        <w:rPr>
          <w:rFonts w:ascii="Times New Roman;sans-serif" w:hAnsi="Times New Roman;sans-serif"/>
          <w:b w:val="false"/>
          <w:i/>
          <w:color w:val="000000"/>
          <w:sz w:val="20"/>
        </w:rPr>
        <w:t xml:space="preserve">risk-based required asset </w:t>
      </w:r>
      <w:r>
        <w:rPr>
          <w:rFonts w:ascii="Times New Roman;sans-serif" w:hAnsi="Times New Roman;sans-serif"/>
          <w:b w:val="false"/>
          <w:color w:val="000000"/>
          <w:sz w:val="20"/>
        </w:rPr>
        <w:t xml:space="preserve">amount. </w:t>
      </w:r>
    </w:p>
    <w:p>
      <w:pPr>
        <w:pStyle w:val="TextBody"/>
        <w:bidi w:val="0"/>
        <w:spacing w:lineRule="auto" w:line="288" w:before="0" w:after="180"/>
        <w:ind w:left="0" w:right="0" w:firstLine="765"/>
        <w:jc w:val="both"/>
        <w:rPr/>
      </w:pPr>
      <w:r>
        <w:rPr>
          <w:rFonts w:ascii="Times New Roman;sans-serif" w:hAnsi="Times New Roman;sans-serif"/>
          <w:b w:val="false"/>
          <w:i/>
          <w:color w:val="000000"/>
          <w:sz w:val="20"/>
        </w:rPr>
        <w:t xml:space="preserve">Available assets </w:t>
      </w:r>
      <w:r>
        <w:rPr>
          <w:rFonts w:ascii="Times New Roman;sans-serif" w:hAnsi="Times New Roman;sans-serif"/>
          <w:b w:val="false"/>
          <w:color w:val="000000"/>
          <w:sz w:val="20"/>
        </w:rPr>
        <w:t>reflect the financial resources of a mortgage insurer available to pay claims, and includes the most readily liquid assets held, such as cash, investments and other items as stipulated in PMIERs Section 703. The credit provided for such liquid assets is further subject to adjustment based on several factors, including asset class, credit rating and portfolio concentration.</w:t>
      </w:r>
    </w:p>
    <w:p>
      <w:pPr>
        <w:pStyle w:val="TextBody"/>
        <w:bidi w:val="0"/>
        <w:spacing w:lineRule="auto" w:line="288" w:before="0" w:after="180"/>
        <w:ind w:left="0" w:right="0" w:firstLine="765"/>
        <w:jc w:val="both"/>
        <w:rPr/>
      </w:pPr>
      <w:r>
        <w:rPr>
          <w:rFonts w:ascii="Times New Roman;sans-serif" w:hAnsi="Times New Roman;sans-serif"/>
          <w:b w:val="false"/>
          <w:color w:val="000000"/>
          <w:sz w:val="20"/>
        </w:rPr>
        <w:t>The</w:t>
      </w:r>
      <w:r>
        <w:rPr>
          <w:color w:val="000000"/>
        </w:rPr>
        <w:t xml:space="preserve"> </w:t>
      </w:r>
      <w:r>
        <w:rPr>
          <w:rFonts w:ascii="Times New Roman;sans-serif" w:hAnsi="Times New Roman;sans-serif"/>
          <w:b w:val="false"/>
          <w:i/>
          <w:color w:val="000000"/>
          <w:sz w:val="20"/>
        </w:rPr>
        <w:t xml:space="preserve">risk-based required asset </w:t>
      </w:r>
      <w:r>
        <w:rPr>
          <w:rFonts w:ascii="Times New Roman;sans-serif" w:hAnsi="Times New Roman;sans-serif"/>
          <w:b w:val="false"/>
          <w:color w:val="000000"/>
          <w:sz w:val="20"/>
        </w:rPr>
        <w:t>amount is a function of the risk profile of an</w:t>
      </w:r>
      <w:r>
        <w:rPr>
          <w:color w:val="000000"/>
        </w:rPr>
        <w:t xml:space="preserve"> </w:t>
      </w:r>
      <w:r>
        <w:rPr>
          <w:rFonts w:ascii="Times New Roman;sans-serif" w:hAnsi="Times New Roman;sans-serif"/>
          <w:b w:val="false"/>
          <w:i/>
          <w:color w:val="000000"/>
          <w:sz w:val="20"/>
        </w:rPr>
        <w:t>approved insurer's</w:t>
      </w:r>
      <w:r>
        <w:rPr>
          <w:color w:val="000000"/>
        </w:rPr>
        <w:t xml:space="preserve"> </w:t>
      </w:r>
      <w:r>
        <w:rPr>
          <w:rFonts w:ascii="Times New Roman;sans-serif" w:hAnsi="Times New Roman;sans-serif"/>
          <w:b w:val="false"/>
          <w:color w:val="000000"/>
          <w:sz w:val="20"/>
        </w:rPr>
        <w:t>RIF, assessed on a loan-by-loan basis and considered against certain risk-based factors derived from tables set out in the PMIERs, which is then adjusted on an aggregate basis for reinsurance transactions approved by the GSEs, such as with respect to our ILN Transactions, XOL Transactions and QSR Transactions. The</w:t>
      </w:r>
      <w:r>
        <w:rPr>
          <w:color w:val="000000"/>
        </w:rPr>
        <w:t xml:space="preserve"> </w:t>
      </w:r>
      <w:r>
        <w:rPr>
          <w:rFonts w:ascii="Times New Roman;sans-serif" w:hAnsi="Times New Roman;sans-serif"/>
          <w:b w:val="false"/>
          <w:i/>
          <w:color w:val="000000"/>
          <w:sz w:val="20"/>
        </w:rPr>
        <w:t xml:space="preserve">aggregate gross risk-based required asset </w:t>
      </w:r>
      <w:r>
        <w:rPr>
          <w:rFonts w:ascii="Times New Roman;sans-serif" w:hAnsi="Times New Roman;sans-serif"/>
          <w:b w:val="false"/>
          <w:color w:val="000000"/>
          <w:sz w:val="20"/>
        </w:rPr>
        <w:t>amount</w:t>
      </w:r>
      <w:r>
        <w:rPr>
          <w:color w:val="000000"/>
        </w:rPr>
        <w:t xml:space="preserve"> </w:t>
      </w:r>
      <w:r>
        <w:rPr>
          <w:rFonts w:ascii="Times New Roman;sans-serif" w:hAnsi="Times New Roman;sans-serif"/>
          <w:b w:val="false"/>
          <w:color w:val="000000"/>
          <w:sz w:val="20"/>
        </w:rPr>
        <w:t>for performing, primary insurance is subject to a floor of 5.6% of</w:t>
      </w:r>
      <w:r>
        <w:rPr>
          <w:color w:val="000000"/>
        </w:rPr>
        <w:t xml:space="preserve"> </w:t>
      </w:r>
      <w:r>
        <w:rPr>
          <w:rFonts w:ascii="Times New Roman;sans-serif" w:hAnsi="Times New Roman;sans-serif"/>
          <w:b w:val="false"/>
          <w:i/>
          <w:color w:val="000000"/>
          <w:sz w:val="20"/>
        </w:rPr>
        <w:t>performing primary adjusted RIF</w:t>
      </w:r>
      <w:r>
        <w:rPr>
          <w:rFonts w:ascii="Times New Roman;sans-serif" w:hAnsi="Times New Roman;sans-serif"/>
          <w:b w:val="false"/>
          <w:color w:val="000000"/>
          <w:sz w:val="20"/>
        </w:rPr>
        <w:t>.</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By April 15th of each year, NMIC must certify it met all PMIERs requirements as of December 31st of the prior year. We certified to the GSEs by April 15, 2025 that NMIC was in full compliance with the PMIERs as of December 31, 2024. NMIC also has an ongoing obligation to immediately notify the GSEs in writing upon discovery of a failure to meet one or more of the PMIERs requirements. We continuously monitor NMIC's compliance with the PMIERs.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720"/>
        <w:jc w:val="both"/>
        <w:rPr/>
      </w:pPr>
      <w:r>
        <w:rPr>
          <w:rFonts w:ascii="Times New Roman;sans-serif" w:hAnsi="Times New Roman;sans-serif"/>
          <w:b w:val="false"/>
          <w:color w:val="000000"/>
          <w:sz w:val="20"/>
        </w:rPr>
        <w:t xml:space="preserve">The following table provides a comparison of the PMIERs </w:t>
      </w:r>
      <w:r>
        <w:rPr>
          <w:rFonts w:ascii="Times New Roman;sans-serif" w:hAnsi="Times New Roman;sans-serif"/>
          <w:b w:val="false"/>
          <w:i/>
          <w:color w:val="000000"/>
          <w:sz w:val="20"/>
        </w:rPr>
        <w:t>available assets</w:t>
      </w:r>
      <w:r>
        <w:rPr>
          <w:color w:val="000000"/>
        </w:rPr>
        <w:t xml:space="preserve"> </w:t>
      </w:r>
      <w:r>
        <w:rPr>
          <w:rFonts w:ascii="Times New Roman;sans-serif" w:hAnsi="Times New Roman;sans-serif"/>
          <w:b w:val="false"/>
          <w:color w:val="000000"/>
          <w:sz w:val="20"/>
        </w:rPr>
        <w:t xml:space="preserve">and net </w:t>
      </w:r>
      <w:r>
        <w:rPr>
          <w:rFonts w:ascii="Times New Roman;sans-serif" w:hAnsi="Times New Roman;sans-serif"/>
          <w:b w:val="false"/>
          <w:i/>
          <w:color w:val="000000"/>
          <w:sz w:val="20"/>
        </w:rPr>
        <w:t>risk-based required asset</w:t>
      </w:r>
      <w:r>
        <w:rPr>
          <w:color w:val="000000"/>
        </w:rPr>
        <w:t xml:space="preserve"> </w:t>
      </w:r>
      <w:r>
        <w:rPr>
          <w:rFonts w:ascii="Times New Roman;sans-serif" w:hAnsi="Times New Roman;sans-serif"/>
          <w:b w:val="false"/>
          <w:color w:val="000000"/>
          <w:sz w:val="20"/>
        </w:rPr>
        <w:t>amount as reported by NMIC as of the dates indicated:</w:t>
      </w:r>
    </w:p>
    <w:tbl>
      <w:tblPr>
        <w:tblW w:w="5468" w:type="dxa"/>
        <w:jc w:val="left"/>
        <w:tblInd w:w="0" w:type="dxa"/>
        <w:tblLayout w:type="fixed"/>
        <w:tblCellMar>
          <w:top w:w="28" w:type="dxa"/>
          <w:left w:w="28" w:type="dxa"/>
          <w:bottom w:w="28" w:type="dxa"/>
          <w:right w:w="28" w:type="dxa"/>
        </w:tblCellMar>
      </w:tblPr>
      <w:tblGrid>
        <w:gridCol w:w="907"/>
        <w:gridCol w:w="796"/>
        <w:gridCol w:w="801"/>
        <w:gridCol w:w="211"/>
        <w:gridCol w:w="976"/>
        <w:gridCol w:w="109"/>
        <w:gridCol w:w="109"/>
        <w:gridCol w:w="109"/>
        <w:gridCol w:w="109"/>
        <w:gridCol w:w="211"/>
        <w:gridCol w:w="976"/>
        <w:gridCol w:w="154"/>
      </w:tblGrid>
      <w:tr>
        <w:trPr/>
        <w:tc>
          <w:tcPr>
            <w:tcW w:w="907"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March 31,</w:t>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Available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3,230,653 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2,821,803 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risk-based required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1,867,414 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1,561,655 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both"/>
        <w:rPr/>
      </w:pPr>
      <w:r>
        <w:rPr>
          <w:rFonts w:ascii="Times New Roman;sans-serif" w:hAnsi="Times New Roman;sans-serif"/>
          <w:b w:val="false"/>
          <w:i/>
          <w:color w:val="000000"/>
          <w:sz w:val="20"/>
        </w:rPr>
        <w:t xml:space="preserve">Available assets </w:t>
      </w:r>
      <w:r>
        <w:rPr>
          <w:rFonts w:ascii="Times New Roman;sans-serif" w:hAnsi="Times New Roman;sans-serif"/>
          <w:b w:val="false"/>
          <w:color w:val="000000"/>
          <w:sz w:val="20"/>
        </w:rPr>
        <w:t xml:space="preserve">were $3.2 billion at March 31, 2025, compared to $2.8 billion at March 31, 2024. The $409 million increase in </w:t>
      </w:r>
      <w:r>
        <w:rPr>
          <w:rFonts w:ascii="Times New Roman;sans-serif" w:hAnsi="Times New Roman;sans-serif"/>
          <w:b w:val="false"/>
          <w:i/>
          <w:color w:val="000000"/>
          <w:sz w:val="20"/>
        </w:rPr>
        <w:t>available assets</w:t>
      </w:r>
      <w:r>
        <w:rPr>
          <w:color w:val="000000"/>
        </w:rPr>
        <w:t xml:space="preserve"> </w:t>
      </w:r>
      <w:r>
        <w:rPr>
          <w:rFonts w:ascii="Times New Roman;sans-serif" w:hAnsi="Times New Roman;sans-serif"/>
          <w:b w:val="false"/>
          <w:color w:val="000000"/>
          <w:sz w:val="20"/>
        </w:rPr>
        <w:t>between the dates presented was primarily driven by NMIC's positive cash flow from operations during the intervening period, partially offset by the payment of an ordinary course dividend from NMIC to NMIH in May 2024.</w:t>
      </w:r>
    </w:p>
    <w:p>
      <w:pPr>
        <w:pStyle w:val="TextBody"/>
        <w:bidi w:val="0"/>
        <w:spacing w:lineRule="auto" w:line="288" w:before="0" w:after="180"/>
        <w:ind w:left="0" w:right="0" w:firstLine="720"/>
        <w:jc w:val="both"/>
        <w:rPr/>
      </w:pPr>
      <w:r>
        <w:rPr>
          <w:rFonts w:ascii="Times New Roman;sans-serif" w:hAnsi="Times New Roman;sans-serif"/>
          <w:b w:val="false"/>
          <w:color w:val="000000"/>
          <w:sz w:val="20"/>
        </w:rPr>
        <w:t>Net</w:t>
      </w:r>
      <w:r>
        <w:rPr>
          <w:color w:val="000000"/>
        </w:rPr>
        <w:t xml:space="preserve"> </w:t>
      </w:r>
      <w:r>
        <w:rPr>
          <w:rFonts w:ascii="Times New Roman;sans-serif" w:hAnsi="Times New Roman;sans-serif"/>
          <w:b w:val="false"/>
          <w:i/>
          <w:color w:val="000000"/>
          <w:sz w:val="20"/>
        </w:rPr>
        <w:t>risk-based required assets</w:t>
      </w:r>
      <w:r>
        <w:rPr>
          <w:color w:val="000000"/>
        </w:rPr>
        <w:t xml:space="preserve"> </w:t>
      </w:r>
      <w:r>
        <w:rPr>
          <w:rFonts w:ascii="Times New Roman;sans-serif" w:hAnsi="Times New Roman;sans-serif"/>
          <w:b w:val="false"/>
          <w:color w:val="000000"/>
          <w:sz w:val="20"/>
        </w:rPr>
        <w:t>were $1.9 billion at March 31, 2025, compared to $1.6 billion at March 31, 2024. The $306 million increase in the</w:t>
      </w:r>
      <w:r>
        <w:rPr>
          <w:color w:val="000000"/>
        </w:rPr>
        <w:t xml:space="preserve"> </w:t>
      </w:r>
      <w:r>
        <w:rPr>
          <w:rFonts w:ascii="Times New Roman;sans-serif" w:hAnsi="Times New Roman;sans-serif"/>
          <w:b w:val="false"/>
          <w:i/>
          <w:color w:val="000000"/>
          <w:sz w:val="20"/>
        </w:rPr>
        <w:t xml:space="preserve">risk-based required asset </w:t>
      </w:r>
      <w:r>
        <w:rPr>
          <w:rFonts w:ascii="Times New Roman;sans-serif" w:hAnsi="Times New Roman;sans-serif"/>
          <w:b w:val="false"/>
          <w:color w:val="000000"/>
          <w:sz w:val="20"/>
        </w:rPr>
        <w:t xml:space="preserve">amount between the dates presented was primarily due to the growth in our gross RIF and aggregate gross </w:t>
      </w:r>
      <w:r>
        <w:rPr>
          <w:rFonts w:ascii="Times New Roman;sans-serif" w:hAnsi="Times New Roman;sans-serif"/>
          <w:b w:val="false"/>
          <w:i/>
          <w:color w:val="000000"/>
          <w:sz w:val="20"/>
        </w:rPr>
        <w:t>risk-based required asset</w:t>
      </w:r>
      <w:r>
        <w:rPr>
          <w:color w:val="000000"/>
        </w:rPr>
        <w:t xml:space="preserve"> </w:t>
      </w:r>
      <w:r>
        <w:rPr>
          <w:rFonts w:ascii="Times New Roman;sans-serif" w:hAnsi="Times New Roman;sans-serif"/>
          <w:b w:val="false"/>
          <w:color w:val="000000"/>
          <w:sz w:val="20"/>
        </w:rPr>
        <w:t>amount.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both"/>
        <w:rPr>
          <w:rFonts w:ascii="Times New Roman;sans-serif" w:hAnsi="Times New Roman;sans-serif"/>
          <w:b/>
          <w:color w:val="000000"/>
          <w:sz w:val="20"/>
        </w:rPr>
      </w:pPr>
      <w:r>
        <w:rPr>
          <w:rFonts w:ascii="Times New Roman;sans-serif" w:hAnsi="Times New Roman;sans-serif"/>
          <w:b/>
          <w:color w:val="000000"/>
          <w:sz w:val="20"/>
        </w:rPr>
        <w:t>Information and Technology Support Function</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Effective April 1, 2025, we renewed and extended our existing seven-year IT service agreement with Tata Consultancy Services (TCS), dated March 31, 2020, through March 31, 2032. Under the agreement, TCS provides IT services across such functions as application development and support, infrastructure support, and information security. Our engagement with TCS has enhanced our ability to provide innovative IT solutions for our internal and external constituents, and has allowed us to realize cost efficiencies by leveraging TCS’s global platform.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Consolidated Results of Operations</w:t>
      </w:r>
    </w:p>
    <w:tbl>
      <w:tblPr>
        <w:tblW w:w="9188" w:type="dxa"/>
        <w:jc w:val="left"/>
        <w:tblInd w:w="0" w:type="dxa"/>
        <w:tblLayout w:type="fixed"/>
        <w:tblCellMar>
          <w:top w:w="28" w:type="dxa"/>
          <w:left w:w="28" w:type="dxa"/>
          <w:bottom w:w="28" w:type="dxa"/>
          <w:right w:w="28" w:type="dxa"/>
        </w:tblCellMar>
      </w:tblPr>
      <w:tblGrid>
        <w:gridCol w:w="1141"/>
        <w:gridCol w:w="1002"/>
        <w:gridCol w:w="1007"/>
        <w:gridCol w:w="211"/>
        <w:gridCol w:w="826"/>
        <w:gridCol w:w="271"/>
        <w:gridCol w:w="109"/>
        <w:gridCol w:w="109"/>
        <w:gridCol w:w="109"/>
        <w:gridCol w:w="211"/>
        <w:gridCol w:w="826"/>
        <w:gridCol w:w="271"/>
        <w:gridCol w:w="109"/>
        <w:gridCol w:w="109"/>
        <w:gridCol w:w="109"/>
        <w:gridCol w:w="211"/>
        <w:gridCol w:w="721"/>
        <w:gridCol w:w="109"/>
        <w:gridCol w:w="109"/>
        <w:gridCol w:w="109"/>
        <w:gridCol w:w="109"/>
        <w:gridCol w:w="218"/>
        <w:gridCol w:w="218"/>
        <w:gridCol w:w="483"/>
        <w:gridCol w:w="109"/>
        <w:gridCol w:w="109"/>
        <w:gridCol w:w="109"/>
        <w:gridCol w:w="154"/>
      </w:tblGrid>
      <w:tr>
        <w:trPr/>
        <w:tc>
          <w:tcPr>
            <w:tcW w:w="1141"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Consolidated statements of operations</w:t>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2025 vs.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555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 In Thousands, except for per share data)</w:t>
            </w:r>
          </w:p>
        </w:tc>
        <w:tc>
          <w:tcPr>
            <w:tcW w:w="481" w:type="dxa"/>
            <w:gridSpan w:val="4"/>
            <w:tcBorders/>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premiums earned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149,366 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136,657 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23,686 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19,436 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realized investment gains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color w:val="000000"/>
                <w:sz w:val="20"/>
              </w:rPr>
              <w:t xml:space="preserve">NM </w:t>
            </w:r>
            <w:r>
              <w:rPr>
                <w:rFonts w:ascii="Times New Roman;sans-serif" w:hAnsi="Times New Roman;sans-serif"/>
                <w:b w:val="false"/>
                <w:color w:val="000000"/>
                <w:sz w:val="13"/>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173,246 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156,253 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4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Expenses</w:t>
            </w:r>
          </w:p>
        </w:tc>
        <w:tc>
          <w:tcPr>
            <w:tcW w:w="13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Insurance claims and claim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4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Underwriting and operating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30,175 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29,815 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4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41,875 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41,686 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131,371 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114,567 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4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 expense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28,812 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25,517 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102,559 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89,050 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share - 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share - 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Loss ratio </w:t>
            </w:r>
            <w:r>
              <w:rPr>
                <w:rFonts w:ascii="Times New Roman;sans-serif" w:hAnsi="Times New Roman;sans-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Expense ratio </w:t>
            </w:r>
            <w:r>
              <w:rPr>
                <w:rFonts w:ascii="Times New Roman;sans-serif" w:hAnsi="Times New Roman;sans-serif"/>
                <w:b w:val="false"/>
                <w:color w:val="000000"/>
                <w:sz w:val="13"/>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Combined ratio</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8443" w:type="dxa"/>
        <w:jc w:val="left"/>
        <w:tblInd w:w="0" w:type="dxa"/>
        <w:tblLayout w:type="fixed"/>
        <w:tblCellMar>
          <w:top w:w="28" w:type="dxa"/>
          <w:left w:w="28" w:type="dxa"/>
          <w:bottom w:w="28" w:type="dxa"/>
          <w:right w:w="28" w:type="dxa"/>
        </w:tblCellMar>
      </w:tblPr>
      <w:tblGrid>
        <w:gridCol w:w="907"/>
        <w:gridCol w:w="797"/>
        <w:gridCol w:w="800"/>
        <w:gridCol w:w="233"/>
        <w:gridCol w:w="913"/>
        <w:gridCol w:w="120"/>
        <w:gridCol w:w="120"/>
        <w:gridCol w:w="120"/>
        <w:gridCol w:w="120"/>
        <w:gridCol w:w="233"/>
        <w:gridCol w:w="913"/>
        <w:gridCol w:w="120"/>
        <w:gridCol w:w="109"/>
        <w:gridCol w:w="109"/>
        <w:gridCol w:w="109"/>
        <w:gridCol w:w="211"/>
        <w:gridCol w:w="721"/>
        <w:gridCol w:w="109"/>
        <w:gridCol w:w="109"/>
        <w:gridCol w:w="109"/>
        <w:gridCol w:w="109"/>
        <w:gridCol w:w="194"/>
        <w:gridCol w:w="194"/>
        <w:gridCol w:w="483"/>
        <w:gridCol w:w="109"/>
        <w:gridCol w:w="109"/>
        <w:gridCol w:w="109"/>
        <w:gridCol w:w="154"/>
      </w:tblGrid>
      <w:tr>
        <w:trPr/>
        <w:tc>
          <w:tcPr>
            <w:tcW w:w="907"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6"/>
              </w:rPr>
              <w:t xml:space="preserve">Non-GAAP financial measures </w:t>
            </w:r>
            <w:r>
              <w:rPr>
                <w:rFonts w:ascii="Times New Roman;sans-serif" w:hAnsi="Times New Roman;sans-serif"/>
                <w:b/>
                <w:color w:val="000000"/>
                <w:sz w:val="10"/>
              </w:rPr>
              <w:t>(4)</w:t>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9"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2025 vs.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8" w:type="dxa"/>
            <w:gridSpan w:val="21"/>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 In Thousands, except for per share data)</w:t>
            </w:r>
          </w:p>
        </w:tc>
        <w:tc>
          <w:tcPr>
            <w:tcW w:w="481" w:type="dxa"/>
            <w:gridSpan w:val="4"/>
            <w:tcBorders/>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income before tax</w:t>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131,347 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114,567 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net income</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102,540 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89,050 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diluted EPS</w:t>
            </w:r>
          </w:p>
        </w:tc>
        <w:tc>
          <w:tcPr>
            <w:tcW w:w="1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4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    Loss ratio is calculated by dividing insurance claims and claim expenses by net premiums earned.</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    Expense ratio is calculated by dividing underwriting and operating expenses by net premiums earned.</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(3)    Not meaningful.</w:t>
      </w:r>
    </w:p>
    <w:p>
      <w:pPr>
        <w:pStyle w:val="TextBody"/>
        <w:bidi w:val="0"/>
        <w:spacing w:lineRule="auto" w:line="288" w:before="0" w:after="0"/>
        <w:ind w:left="0" w:right="0" w:hanging="360"/>
        <w:jc w:val="both"/>
        <w:rPr/>
      </w:pPr>
      <w:r>
        <w:rPr>
          <w:rFonts w:ascii="Times New Roman;sans-serif" w:hAnsi="Times New Roman;sans-serif"/>
          <w:b w:val="false"/>
          <w:color w:val="000000"/>
          <w:sz w:val="16"/>
        </w:rPr>
        <w:t>(4)    See “</w:t>
      </w:r>
      <w:r>
        <w:rPr>
          <w:rFonts w:ascii="Times New Roman;sans-serif" w:hAnsi="Times New Roman;sans-serif"/>
          <w:b w:val="false"/>
          <w:i/>
          <w:color w:val="000000"/>
          <w:sz w:val="16"/>
        </w:rPr>
        <w:t>Explanation and Reconciliation of Our Use of Non-GAAP Financial Measures,”</w:t>
      </w:r>
      <w:r>
        <w:rPr>
          <w:color w:val="000000"/>
        </w:rPr>
        <w:t xml:space="preserve"> </w:t>
      </w:r>
      <w:r>
        <w:rPr>
          <w:rFonts w:ascii="Times New Roman;sans-serif" w:hAnsi="Times New Roman;sans-serif"/>
          <w:b w:val="false"/>
          <w:color w:val="000000"/>
          <w:sz w:val="16"/>
        </w:rPr>
        <w:t>below.</w:t>
      </w:r>
    </w:p>
    <w:p>
      <w:pPr>
        <w:pStyle w:val="TextBody"/>
        <w:bidi w:val="0"/>
        <w:spacing w:before="0" w:after="0"/>
        <w:ind w:left="0" w:right="0" w:hanging="360"/>
        <w:jc w:val="both"/>
        <w:rPr/>
      </w:pPr>
      <w:r>
        <w:rPr/>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Revenues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Net premiums earned increased during the three months ended March 31, 2025 compared to the three months ended March 31, 2024 primarily due to growth in our monthly IIF and monthly pay premium receipts, as well as a decline in the total premiums ceded under the ILN Transactions.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Net investment income increased during the three months ended March 31, 2025 compared to the three months ended March 31, 2024 primarily due to growth in the size of our total invested asset base, as well as an increase in the book yield of our investment portfolio tied to the deployment of new cash flows and reinvestment of rolling maturities at incrementally higher rates.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revenues represent underwriting fee revenue generated by our subsidiary, NMIS, which provides outsourced loan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review services to mortgage loan originators. Changes in other revenues primarily reflect changes in NMIS' outsourced loan review volume. Amounts recognized in other revenues generally correspond with amounts incurred as service expenses for outsourced loan review activities in the same periods.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Expenses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 insurance claims and claim expenses in connection with the loss experience of our insured portfolio and incur other underwriting and operating expenses, including employee compensation and benefits, policy acquisition costs, and technology, professional services and facilities expenses, in connection with the development and operation of our business. We also incur service expenses in connection with NMIS' outsourced loan review activities.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Insurance claims and claim expenses increased during the three months ended March 31, 2025 compared to the three months ended March 31, 2024 primarily due to an increase in the number of newly defaulted loans that emerged in the period and the establishment of initial reserves against such loans, as well as an increase in the average case reserve held against previously defaulted loans that aged in their delinquency status through the period, partially offset by the release of a portion of the reserves we established for anticipated claims payments in prior periods in connection with cure activity and the ongoing analysis of recent loss development trends.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Underwriting and operating expenses increased during the three months ended March 31, 2025 compared to the three months ended March 31, 2024 primarily due to a decline in the ceding commission received under the 2022 Seasoned QSR Transaction in connection with the run-off of covered policies, partially offset by a decrease in the amortization of previously deferred policy acquisition costs.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Service expenses represent third-party costs incurred by NMIS in connection with the services it provides. Changes in service expenses primarily reflect changes in NMIS' outsourced loan review volume. Amounts incurred as service expenses generally correspond with amounts recognized in other revenues in the same periods.</w:t>
      </w:r>
    </w:p>
    <w:p>
      <w:pPr>
        <w:pStyle w:val="TextBody"/>
        <w:bidi w:val="0"/>
        <w:spacing w:lineRule="auto" w:line="288" w:before="0" w:after="180"/>
        <w:ind w:left="0" w:right="0" w:firstLine="720"/>
        <w:jc w:val="both"/>
        <w:rPr/>
      </w:pPr>
      <w:r>
        <w:rPr>
          <w:rFonts w:ascii="Times New Roman;sans-serif" w:hAnsi="Times New Roman;sans-serif"/>
          <w:b w:val="false"/>
          <w:color w:val="000000"/>
          <w:sz w:val="20"/>
        </w:rPr>
        <w:t>Interest expense primarily reflects the carrying costs of our outstanding debt. Interest expense declined during the three months ended March 31, 2025 compared to the three months ended March 31, 2024 in connection with the refinancing of our outstanding senior notes and revolving credit facility at reduced costs in May 2024. See Item 1, “</w:t>
      </w:r>
      <w:r>
        <w:rPr>
          <w:rFonts w:ascii="Times New Roman;sans-serif" w:hAnsi="Times New Roman;sans-serif"/>
          <w:b w:val="false"/>
          <w:i/>
          <w:color w:val="000000"/>
          <w:sz w:val="20"/>
        </w:rPr>
        <w:t>Financial Statements - Notes to Condensed Consolidated Financial Statements - Note 4, Debt.”</w:t>
      </w:r>
    </w:p>
    <w:p>
      <w:pPr>
        <w:pStyle w:val="TextBody"/>
        <w:bidi w:val="0"/>
        <w:spacing w:lineRule="auto" w:line="288" w:before="0" w:after="180"/>
        <w:ind w:left="0" w:right="0" w:firstLine="720"/>
        <w:jc w:val="both"/>
        <w:rPr/>
      </w:pPr>
      <w:r>
        <w:rPr>
          <w:rFonts w:ascii="Times New Roman;sans-serif" w:hAnsi="Times New Roman;sans-serif"/>
          <w:b w:val="false"/>
          <w:color w:val="000000"/>
          <w:sz w:val="20"/>
        </w:rPr>
        <w:t>Income tax expense increased during the three months ended March 31, 2025 compared to the three months ended March 31, 2024 primarily due to the growth in our pre-tax income. Our effective tax rate on pre-tax income was 21.9% for the three months ended March 31, 2025, compared to 22.3% for the three months ended March 31, 2024. As a U.S. taxpayer, we are subject to a statutory U.S. federal corporate income tax rate of 21%. Our provision for income taxes for interim periods is established based on our estimated annual effective tax rate for a given year and reflects the impact of discrete tax effects in the period in which they occur. Our effective tax rates for the three months ended March 31, 2025 and 2024 include the discrete tax effects of the vesting of RSUs. See Item 1, “</w:t>
      </w:r>
      <w:r>
        <w:rPr>
          <w:rFonts w:ascii="Times New Roman;sans-serif" w:hAnsi="Times New Roman;sans-serif"/>
          <w:b w:val="false"/>
          <w:i/>
          <w:color w:val="000000"/>
          <w:sz w:val="20"/>
        </w:rPr>
        <w:t>Financial Statements - Notes to Condensed Consolidated Financial Statements - Note 9, Income Taxes.”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Net Income</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Net income and adjusted net income increased during the three months ended March 31, 2025 compared to the three months ended March 31, 2024 primarily due to growth in our total revenues, partially offset by increases in our income tax expense, insurance claims and claim expenses, and underwriting and operating expenses. Net income and adjusted net income for the three months ended March 31, 2025 further benefited from a decline in our interest expense.</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Diluted and adjusted diluted EPS increased during the three months ended March 31, 2025 compared to the three months ended March 31, 2024 primarily due to growth in our net income and adjusted net income, as well as a decline in the number of weighted average diluted shares outstanding tied to share repurchase activity.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non-GAAP financial measures of adjusted income before tax, adjusted net income and adjusted diluted EPS are presented to enhance the comparability of financial results between periods.</w:t>
      </w:r>
    </w:p>
    <w:tbl>
      <w:tblPr>
        <w:tblW w:w="9719" w:type="dxa"/>
        <w:jc w:val="left"/>
        <w:tblInd w:w="0" w:type="dxa"/>
        <w:tblLayout w:type="fixed"/>
        <w:tblCellMar>
          <w:top w:w="28" w:type="dxa"/>
          <w:left w:w="28" w:type="dxa"/>
          <w:bottom w:w="28" w:type="dxa"/>
          <w:right w:w="28" w:type="dxa"/>
        </w:tblCellMar>
      </w:tblPr>
      <w:tblGrid>
        <w:gridCol w:w="1368"/>
        <w:gridCol w:w="1203"/>
        <w:gridCol w:w="1209"/>
        <w:gridCol w:w="233"/>
        <w:gridCol w:w="913"/>
        <w:gridCol w:w="120"/>
        <w:gridCol w:w="120"/>
        <w:gridCol w:w="120"/>
        <w:gridCol w:w="120"/>
        <w:gridCol w:w="233"/>
        <w:gridCol w:w="913"/>
        <w:gridCol w:w="120"/>
        <w:gridCol w:w="109"/>
        <w:gridCol w:w="109"/>
        <w:gridCol w:w="109"/>
        <w:gridCol w:w="211"/>
        <w:gridCol w:w="721"/>
        <w:gridCol w:w="109"/>
        <w:gridCol w:w="109"/>
        <w:gridCol w:w="109"/>
        <w:gridCol w:w="109"/>
        <w:gridCol w:w="194"/>
        <w:gridCol w:w="194"/>
        <w:gridCol w:w="483"/>
        <w:gridCol w:w="109"/>
        <w:gridCol w:w="109"/>
        <w:gridCol w:w="109"/>
        <w:gridCol w:w="154"/>
      </w:tblGrid>
      <w:tr>
        <w:trPr/>
        <w:tc>
          <w:tcPr>
            <w:tcW w:w="1368"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Non-GAAP Financial Measure Reconciliations</w:t>
            </w:r>
          </w:p>
        </w:tc>
        <w:tc>
          <w:tcPr>
            <w:tcW w:w="28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9"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2025 vs.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 reported</w:t>
            </w:r>
          </w:p>
        </w:tc>
        <w:tc>
          <w:tcPr>
            <w:tcW w:w="545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 In Thousands, except for per share data)</w:t>
            </w:r>
          </w:p>
        </w:tc>
        <w:tc>
          <w:tcPr>
            <w:tcW w:w="481" w:type="dxa"/>
            <w:gridSpan w:val="4"/>
            <w:tcBorders/>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131,371 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114,567 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28,812 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25,517 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102,559 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89,050 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Adjustments</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realized investment gains</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color w:val="000000"/>
                <w:sz w:val="20"/>
              </w:rPr>
              <w:t xml:space="preserve">NM </w:t>
            </w:r>
            <w:r>
              <w:rPr>
                <w:rFonts w:ascii="Times New Roman;sans-serif" w:hAnsi="Times New Roman;sans-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income before tax</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131,347 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114,567 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Income tax benefit on adjustments</w:t>
            </w:r>
            <w:r>
              <w:rPr>
                <w:color w:val="000000"/>
              </w:rPr>
              <w:t xml:space="preserve"> </w:t>
            </w:r>
            <w:r>
              <w:rPr>
                <w:rFonts w:ascii="Times New Roman;sans-serif" w:hAnsi="Times New Roman;sans-serif"/>
                <w:b w:val="false"/>
                <w:color w:val="000000"/>
                <w:sz w:val="13"/>
              </w:rPr>
              <w:t>(1)</w:t>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color w:val="000000"/>
                <w:sz w:val="20"/>
              </w:rPr>
              <w:t xml:space="preserve">NM </w:t>
            </w:r>
            <w:r>
              <w:rPr>
                <w:rFonts w:ascii="Times New Roman;sans-serif" w:hAnsi="Times New Roman;sans-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net income</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102,540 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89,050 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diluted shares outstanding</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79,858 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82,099 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diluted EPS</w:t>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    Marginal tax impact of non-GAAP adjustments is calculated based on our statutory U.S. federal corporate income tax rate of 21%, except for those items that are not eligible for an income tax deduction.</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    Not meaningful.</w:t>
      </w:r>
    </w:p>
    <w:p>
      <w:pPr>
        <w:pStyle w:val="TextBody"/>
        <w:bidi w:val="0"/>
        <w:spacing w:before="0" w:after="0"/>
        <w:jc w:val="both"/>
        <w:rPr/>
      </w:pPr>
      <w:r>
        <w:rPr/>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Explanation and Reconciliation of Our Use of Non-GAAP Financial Measures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the use of the non-GAAP measures of adjusted income before tax, adjusted net income and adjusted diluted EPS enhances the comparability of our fundamental financial performance between periods, and provides relevant information to investors. These non-GAAP financial measures align with the way the company's business performance is evaluated by management. These measures are not prepared in accordance with GAAP and should not be viewed as alternatives to GAAP measures of performance. These measures have been presented to increase transparency and enhance the comparability of our fundamental operating trends across periods. Other companies may calculate these measures differently; their measures may not be comparable to those we calculate and present.</w:t>
      </w:r>
    </w:p>
    <w:p>
      <w:pPr>
        <w:pStyle w:val="TextBody"/>
        <w:bidi w:val="0"/>
        <w:spacing w:lineRule="auto" w:line="288" w:before="0" w:after="180"/>
        <w:ind w:left="0" w:right="0" w:firstLine="720"/>
        <w:jc w:val="both"/>
        <w:rPr/>
      </w:pPr>
      <w:r>
        <w:rPr>
          <w:rFonts w:ascii="Times New Roman;sans-serif" w:hAnsi="Times New Roman;sans-serif"/>
          <w:b/>
          <w:color w:val="000000"/>
          <w:sz w:val="20"/>
        </w:rPr>
        <w:t>Adjusted income before tax</w:t>
      </w:r>
      <w:r>
        <w:rPr>
          <w:color w:val="000000"/>
        </w:rPr>
        <w:t xml:space="preserve"> </w:t>
      </w:r>
      <w:r>
        <w:rPr>
          <w:rFonts w:ascii="Times New Roman;sans-serif" w:hAnsi="Times New Roman;sans-serif"/>
          <w:b w:val="false"/>
          <w:color w:val="000000"/>
          <w:sz w:val="20"/>
        </w:rPr>
        <w:t>is defined as GAAP income before tax, excluding the pre-tax effects of net realized gains or losses from our investment portfolio, periodic costs incurred in connection with capital markets transactions, and other infrequent, unusual or non-operating items in the periods in which such items are incurred.</w:t>
      </w:r>
    </w:p>
    <w:p>
      <w:pPr>
        <w:pStyle w:val="TextBody"/>
        <w:bidi w:val="0"/>
        <w:spacing w:lineRule="auto" w:line="288" w:before="0" w:after="180"/>
        <w:ind w:left="0" w:right="0" w:firstLine="720"/>
        <w:jc w:val="both"/>
        <w:rPr/>
      </w:pPr>
      <w:r>
        <w:rPr>
          <w:rFonts w:ascii="Times New Roman;sans-serif" w:hAnsi="Times New Roman;sans-serif"/>
          <w:b/>
          <w:color w:val="000000"/>
          <w:sz w:val="20"/>
        </w:rPr>
        <w:t>Adjusted net income</w:t>
      </w:r>
      <w:r>
        <w:rPr>
          <w:color w:val="000000"/>
        </w:rPr>
        <w:t xml:space="preserve"> </w:t>
      </w:r>
      <w:r>
        <w:rPr>
          <w:rFonts w:ascii="Times New Roman;sans-serif" w:hAnsi="Times New Roman;sans-serif"/>
          <w:b w:val="false"/>
          <w:color w:val="000000"/>
          <w:sz w:val="20"/>
        </w:rPr>
        <w:t>is defined as GAAP net income, excluding the after-tax effects of net realized gains or losses from our investment portfolio, periodic costs incurred in connection with capital markets transactions, and other infrequent, unusual or non-operating items in the periods in which such items are incurred. Adjustments to components of pre-tax income are tax effected using the applicable federal statutory tax rate for the respective periods.</w:t>
      </w:r>
    </w:p>
    <w:p>
      <w:pPr>
        <w:pStyle w:val="TextBody"/>
        <w:bidi w:val="0"/>
        <w:spacing w:lineRule="auto" w:line="288" w:before="0" w:after="180"/>
        <w:ind w:left="0" w:right="0" w:firstLine="720"/>
        <w:jc w:val="both"/>
        <w:rPr/>
      </w:pPr>
      <w:r>
        <w:rPr>
          <w:rFonts w:ascii="Times New Roman;sans-serif" w:hAnsi="Times New Roman;sans-serif"/>
          <w:b/>
          <w:color w:val="000000"/>
          <w:sz w:val="20"/>
        </w:rPr>
        <w:t>Adjusted diluted EPS</w:t>
      </w:r>
      <w:r>
        <w:rPr>
          <w:color w:val="000000"/>
        </w:rPr>
        <w:t xml:space="preserve"> </w:t>
      </w:r>
      <w:r>
        <w:rPr>
          <w:rFonts w:ascii="Times New Roman;sans-serif" w:hAnsi="Times New Roman;sans-serif"/>
          <w:b w:val="false"/>
          <w:color w:val="000000"/>
          <w:sz w:val="20"/>
        </w:rPr>
        <w:t>is defined as adjusted net income divided by adjusted weighted average diluted shares outstanding. Adjusted weighted average diluted shares outstanding is defined as weighted average diluted shares outstanding, adjusted for changes in the dilutive effect of non-vested shares that would otherwise have occurred had GAAP net income been calculated in accordance with adjusted net income. There will be no adjustment to weighted average diluted shares outstanding in the years that non-vested shares are anti-dilutive under GAAP.</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Although adjusted income before tax, adjusted net income and adjusted diluted EPS exclude certain items that have occurred in the past and are expected to occur in the future, the excluded items: (1) are not viewed as part of the operating performance of our primary activities; or (2) are impacted by market, economic or regulatory factors and are not necessarily indicative of operating trends, or both. These adjustments, and the reasons for their treatment, are described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i/>
          <w:color w:val="000000"/>
          <w:sz w:val="20"/>
        </w:rPr>
        <w:t>Net realized investment gains and losses</w:t>
      </w:r>
      <w:r>
        <w:rPr>
          <w:rFonts w:ascii="Times New Roman;sans-serif" w:hAnsi="Times New Roman;sans-serif"/>
          <w:b w:val="false"/>
          <w:color w:val="000000"/>
          <w:sz w:val="20"/>
        </w:rPr>
        <w:t>. The recognition of net realized investment gains or losses can vary significantly across periods as the timing is highly discretionary and is influenced by factors such as market opportunities, tax and capital profile, and overall market cycles that do not reflect our current period operating results.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i/>
          <w:color w:val="000000"/>
          <w:sz w:val="20"/>
        </w:rPr>
        <w:t>Capital markets transaction costs</w:t>
      </w:r>
      <w:r>
        <w:rPr>
          <w:rFonts w:ascii="Times New Roman;sans-serif" w:hAnsi="Times New Roman;sans-serif"/>
          <w:b w:val="false"/>
          <w:color w:val="000000"/>
          <w:sz w:val="20"/>
        </w:rPr>
        <w:t xml:space="preserve">. Capital markets transaction costs result from activities that are undertaken to improve our debt profile or enhance our capital position through activities such as debt refinancing and capital markets reinsurance transactions that may vary in their size and timing due to factors such as market opportunities, tax and capital profile, and overall market cycles.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i/>
          <w:color w:val="000000"/>
          <w:sz w:val="20"/>
        </w:rPr>
        <w:t>Other infrequent, unusual or non-operating items</w:t>
      </w:r>
      <w:r>
        <w:rPr>
          <w:rFonts w:ascii="Times New Roman;sans-serif" w:hAnsi="Times New Roman;sans-serif"/>
          <w:b w:val="false"/>
          <w:color w:val="000000"/>
          <w:sz w:val="20"/>
        </w:rPr>
        <w:t>. Items that are the result of unforeseen or uncommon events, and are not expected to recur with frequency in the future. Identification and exclusion of these items provides clarity about the impact special or rare occurrences may have on our current financial performance. Past adjustments under this category include infrequent, unusual or non-operating adjustments related to severance, restricted stock modification and other expenses incurred in connection with the CEO transition announced in September 2021 and the effects of the release of the valuation allowance recorded against our net federal and certain state net deferred tax assets in 2016 and the re-measurement of our net deferred tax assets in connection with tax reform in 2017. We believe such items are infrequent or non-recurring in nature, and are not indicative of the performance of, or ongoing trends in, our primary operating activities or business.</w:t>
      </w:r>
    </w:p>
    <w:p>
      <w:pPr>
        <w:pStyle w:val="TextBody"/>
        <w:bidi w:val="0"/>
        <w:spacing w:before="0" w:after="180"/>
        <w:jc w:val="both"/>
        <w:rPr/>
      </w:pPr>
      <w:r>
        <w:rPr/>
      </w:r>
    </w:p>
    <w:tbl>
      <w:tblPr>
        <w:tblW w:w="9953" w:type="dxa"/>
        <w:jc w:val="left"/>
        <w:tblInd w:w="0" w:type="dxa"/>
        <w:tblLayout w:type="fixed"/>
        <w:tblCellMar>
          <w:top w:w="28" w:type="dxa"/>
          <w:left w:w="28" w:type="dxa"/>
          <w:bottom w:w="28" w:type="dxa"/>
          <w:right w:w="28" w:type="dxa"/>
        </w:tblCellMar>
      </w:tblPr>
      <w:tblGrid>
        <w:gridCol w:w="1467"/>
        <w:gridCol w:w="1288"/>
        <w:gridCol w:w="1295"/>
        <w:gridCol w:w="211"/>
        <w:gridCol w:w="976"/>
        <w:gridCol w:w="109"/>
        <w:gridCol w:w="109"/>
        <w:gridCol w:w="109"/>
        <w:gridCol w:w="109"/>
        <w:gridCol w:w="244"/>
        <w:gridCol w:w="1130"/>
        <w:gridCol w:w="126"/>
        <w:gridCol w:w="109"/>
        <w:gridCol w:w="109"/>
        <w:gridCol w:w="109"/>
        <w:gridCol w:w="211"/>
        <w:gridCol w:w="826"/>
        <w:gridCol w:w="109"/>
        <w:gridCol w:w="109"/>
        <w:gridCol w:w="109"/>
        <w:gridCol w:w="109"/>
        <w:gridCol w:w="218"/>
        <w:gridCol w:w="218"/>
        <w:gridCol w:w="544"/>
      </w:tblGrid>
      <w:tr>
        <w:trPr/>
        <w:tc>
          <w:tcPr>
            <w:tcW w:w="1467"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Consolidated balance sheets</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investment portfolio</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2,809,247 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2,723,541 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54,308 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Premiums receivable,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82,804 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5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policy acquisition costs,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64,327 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 and equipment,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25,681 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5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Reinsurance recoverable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32,260 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federal income taxes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322,175 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assets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44,877 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3,456,196 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3,349,973 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415,606 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415,146 </w:t>
            </w:r>
          </w:p>
        </w:tc>
        <w:tc>
          <w:tcPr>
            <w:tcW w:w="12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Unearned premiums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65,217 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5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103,164 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 for insurance claims and claim expenses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152,071 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liability,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386,192 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5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1,134,625 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1,132,541 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shareholders' equity</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2,321,571 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2,217,432 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5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shareholders'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3,456,196 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3,349,973 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Total cash and investments increased at March 31, 2025 compared to December 31, 2024 with the addition of incremental cash provided by operating activities and a decrease in the unrealized loss position of our fixed income portfolio primarily tied to changes in interest rates, partially offset by share repurchase activity during the three months ended March 31, 2025. Cash and investments at March 31, 2025 included $76.4 million held by NMIH.</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Net premiums receivable represents premiums due on our mortgage insurance policies and may fluctuate based on changes in our monthly premium policies in force, where premiums are generally paid one month in arrears, and the pace of settlement of previously outstanding receivables.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Net deferred policy acquisition costs decreased at March 31, 2025 compared to December 31, 2024 primarily due to the recognition of previously deferred policy acquisition costs during the three months ended March 31, 2025, partially offset by the deferral of certain costs associated with the origination of new policies during the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Net software and equipment decreased at March 31, 2025 compared to December 31, 2024 primarily due to the amortization of previously capitalized amounts during three months ended March 31, 2025.</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Reinsurance recoverable decreased at March 31, 2025 compared to December 31, 2024 due to a decline in ceded losses recoverable under the QSR Transactions tied to a decline in our gross reserve for insurance claims and claim expenses.</w:t>
      </w:r>
    </w:p>
    <w:p>
      <w:pPr>
        <w:pStyle w:val="TextBody"/>
        <w:bidi w:val="0"/>
        <w:spacing w:lineRule="auto" w:line="288" w:before="100" w:after="180"/>
        <w:ind w:left="0" w:right="0" w:firstLine="720"/>
        <w:jc w:val="both"/>
        <w:rPr/>
      </w:pPr>
      <w:r>
        <w:rPr>
          <w:rFonts w:ascii="Times New Roman;sans-serif" w:hAnsi="Times New Roman;sans-serif"/>
          <w:b w:val="false"/>
          <w:color w:val="000000"/>
          <w:sz w:val="20"/>
        </w:rPr>
        <w:t>Prepaid federal income taxes represent tax and loss bonds purchased in connection with our claimed tax deduction for our statutory contingency reserve position. See Item 1, “</w:t>
      </w:r>
      <w:r>
        <w:rPr>
          <w:rFonts w:ascii="Times New Roman;sans-serif" w:hAnsi="Times New Roman;sans-serif"/>
          <w:b w:val="false"/>
          <w:i/>
          <w:color w:val="000000"/>
          <w:sz w:val="20"/>
        </w:rPr>
        <w:t>Financial Statements - Notes to Condensed Consolidated Financial Statements - Note 9, Income Taxes.”</w:t>
      </w:r>
    </w:p>
    <w:p>
      <w:pPr>
        <w:pStyle w:val="TextBody"/>
        <w:bidi w:val="0"/>
        <w:spacing w:lineRule="auto" w:line="288" w:before="10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Other assets increased at March 31, 2025 compared to December 31, 2024 primarily due to an increase in accrued investment income and prepaid expenses.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Unearned premiums decreased at March 31, 2025 compared to December 31, 2024 due to the amortization of existing unearned premiums through earnings in accordance with the expiration of risk on related single premium policies and the cancellations of other single premium policies during the three months ended March 31, 2025, partially offset by single premium policy originations during the period.</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 decreased at March 31, 2025 compared to December 31, 2024 primarily due to the settlement of previously accrued compensation expenses, accrued interest on the 2024 Notes, which is payable semi-annually in February and August, and premium taxes payable during the three months ended March 31, 2025.</w:t>
      </w:r>
    </w:p>
    <w:p>
      <w:pPr>
        <w:pStyle w:val="TextBody"/>
        <w:bidi w:val="0"/>
        <w:spacing w:lineRule="auto" w:line="288" w:before="0" w:after="180"/>
        <w:ind w:left="0" w:right="0" w:firstLine="720"/>
        <w:jc w:val="both"/>
        <w:rPr/>
      </w:pPr>
      <w:r>
        <w:rPr>
          <w:rFonts w:ascii="Times New Roman;sans-serif" w:hAnsi="Times New Roman;sans-serif"/>
          <w:b w:val="false"/>
          <w:color w:val="000000"/>
          <w:sz w:val="20"/>
        </w:rPr>
        <w:t>Reserve for insurance claims and claim expenses decreased at March 31, 2025 compared to December 31, 2024 due to the release of a portion of the reserves we established for anticipated claims payments in prior periods (in connection with cure activity and ongoing analysis of recent loss development trends), as well as the payment of previously reserved claims during the three months ended March 31, 2025. The decrease was partially offset by the establishment of initial reserves on newly defaulted loans and an increase in the average case reserve held against previously defaulted loans that aged in their delinquent status during the period. See “</w:t>
      </w:r>
      <w:r>
        <w:rPr>
          <w:rFonts w:ascii="Times New Roman;sans-serif" w:hAnsi="Times New Roman;sans-serif"/>
          <w:b w:val="false"/>
          <w:i/>
          <w:color w:val="000000"/>
          <w:sz w:val="20"/>
        </w:rPr>
        <w:t>Insurance Claims and Claim Expenses</w:t>
      </w:r>
      <w:r>
        <w:rPr>
          <w:rFonts w:ascii="Times New Roman;sans-serif" w:hAnsi="Times New Roman;sans-serif"/>
          <w:b w:val="false"/>
          <w:color w:val="000000"/>
          <w:sz w:val="20"/>
        </w:rPr>
        <w:t>,” above</w:t>
      </w:r>
      <w:r>
        <w:rPr>
          <w:color w:val="000000"/>
        </w:rPr>
        <w:t xml:space="preserve"> </w:t>
      </w:r>
      <w:r>
        <w:rPr>
          <w:rFonts w:ascii="Times New Roman;sans-serif" w:hAnsi="Times New Roman;sans-serif"/>
          <w:b w:val="false"/>
          <w:color w:val="000000"/>
          <w:sz w:val="20"/>
        </w:rPr>
        <w:t>for further details.</w:t>
      </w:r>
    </w:p>
    <w:p>
      <w:pPr>
        <w:pStyle w:val="TextBody"/>
        <w:bidi w:val="0"/>
        <w:spacing w:lineRule="auto" w:line="288" w:before="0" w:after="180"/>
        <w:ind w:left="0" w:right="0" w:firstLine="720"/>
        <w:jc w:val="both"/>
        <w:rPr/>
      </w:pPr>
      <w:r>
        <w:rPr>
          <w:rFonts w:ascii="Times New Roman;sans-serif" w:hAnsi="Times New Roman;sans-serif"/>
          <w:b w:val="false"/>
          <w:color w:val="000000"/>
          <w:sz w:val="20"/>
        </w:rPr>
        <w:t>Net deferred tax liability increased at March 31, 2025 compared to December 31, 2024 due to an increase in the claimed deductibility of our statutory contingency reserve, as well as a decrease in the aggregate unrealized loss position of our fixed income portfolio recorded in other comprehensive income. For further information regarding income taxes and their impact on our results of operations and financial position, see Item 1, “</w:t>
      </w:r>
      <w:r>
        <w:rPr>
          <w:rFonts w:ascii="Times New Roman;sans-serif" w:hAnsi="Times New Roman;sans-serif"/>
          <w:b w:val="false"/>
          <w:i/>
          <w:color w:val="000000"/>
          <w:sz w:val="20"/>
        </w:rPr>
        <w:t>Financial Statements - Notes to Condensed Consolidated Financial Statements - Note 9, Income Taxes</w:t>
      </w:r>
      <w:r>
        <w:rPr>
          <w:rFonts w:ascii="Times New Roman;sans-serif" w:hAnsi="Times New Roman;sans-serif"/>
          <w:b w:val="false"/>
          <w:color w:val="000000"/>
          <w:sz w:val="20"/>
        </w:rPr>
        <w:t>.”</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consolidated cash flows from operating, investing and financing activities:</w:t>
      </w:r>
    </w:p>
    <w:tbl>
      <w:tblPr>
        <w:tblW w:w="9309" w:type="dxa"/>
        <w:jc w:val="left"/>
        <w:tblInd w:w="0" w:type="dxa"/>
        <w:tblLayout w:type="fixed"/>
        <w:tblCellMar>
          <w:top w:w="28" w:type="dxa"/>
          <w:left w:w="28" w:type="dxa"/>
          <w:bottom w:w="28" w:type="dxa"/>
          <w:right w:w="28" w:type="dxa"/>
        </w:tblCellMar>
      </w:tblPr>
      <w:tblGrid>
        <w:gridCol w:w="1254"/>
        <w:gridCol w:w="1103"/>
        <w:gridCol w:w="1108"/>
        <w:gridCol w:w="233"/>
        <w:gridCol w:w="913"/>
        <w:gridCol w:w="120"/>
        <w:gridCol w:w="120"/>
        <w:gridCol w:w="120"/>
        <w:gridCol w:w="120"/>
        <w:gridCol w:w="233"/>
        <w:gridCol w:w="913"/>
        <w:gridCol w:w="120"/>
        <w:gridCol w:w="109"/>
        <w:gridCol w:w="109"/>
        <w:gridCol w:w="109"/>
        <w:gridCol w:w="211"/>
        <w:gridCol w:w="796"/>
        <w:gridCol w:w="109"/>
        <w:gridCol w:w="109"/>
        <w:gridCol w:w="109"/>
        <w:gridCol w:w="109"/>
        <w:gridCol w:w="218"/>
        <w:gridCol w:w="218"/>
        <w:gridCol w:w="483"/>
        <w:gridCol w:w="109"/>
        <w:gridCol w:w="154"/>
      </w:tblGrid>
      <w:tr>
        <w:trPr/>
        <w:tc>
          <w:tcPr>
            <w:tcW w:w="1254"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Consolidated cash flows</w:t>
            </w:r>
          </w:p>
        </w:tc>
        <w:tc>
          <w:tcPr>
            <w:tcW w:w="28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2"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2025 vs. 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w:t>
            </w:r>
          </w:p>
        </w:tc>
        <w:tc>
          <w:tcPr>
            <w:tcW w:w="558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101,151 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111,574 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(47,657)</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(37,752)</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(33,593)</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(30,785)</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in cash and cash equivalents</w:t>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19,901 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43,037 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(23,136)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decreased during the three months ended March 31, 2025 compared to the three months ended March 31, 2024 primarily due to the first semi-annual interest payment made on the 2024 Notes in February 2025, partially offset by an increase in our net premiums receipts and growth in our investment income.</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Cash used in investing activities for the three months ended March 31, 2025 and 2024 reflects the purchase of fixed and short-term maturities with cash provided by operating activities, and the reinvestment of coupon payments, maturities and redemption proceeds within our investment portfolio.</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used in financing activities primarily relates to the repurchase of common stock and taxes paid on the net share settlement of equity awards for certain employees.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NMIH serves as the holding company for our insurance subsidiaries and does not have any significant operations of its own. NMIH's principal liquidity demands include funds for (i) payment of certain corporate expenses; (ii) payment of certain reimbursable expenses of its insurance subsidiaries; (iii) payment of the interest related to the 2024 Notes and 2024 Revolving Credit Facility; (iv) tax payments to the Internal Revenue Service; (v) capital support for its subsidiaries; (vi) repurchase of its common stock; and (vii) payment of dividends, if any, on its common stock. NMIH is not subject to any limitations on its ability to pay dividends except those generally applicable to corporations that are incorporated in Delaware. Delaware law provides that dividends are only payable out of a corporation's surplus or recent net profits (subject to certain limitations).</w:t>
      </w:r>
    </w:p>
    <w:p>
      <w:pPr>
        <w:pStyle w:val="TextBody"/>
        <w:bidi w:val="0"/>
        <w:spacing w:lineRule="auto" w:line="288" w:before="0" w:after="180"/>
        <w:ind w:left="0" w:right="0" w:firstLine="720"/>
        <w:jc w:val="both"/>
        <w:rPr/>
      </w:pPr>
      <w:r>
        <w:rPr>
          <w:rFonts w:ascii="Times New Roman;sans-serif" w:hAnsi="Times New Roman;sans-serif"/>
          <w:b w:val="false"/>
          <w:color w:val="000000"/>
          <w:sz w:val="20"/>
        </w:rPr>
        <w:t>As of March 31, 2025, NMIH had $76.4 million of cash and cash equivalents, and investments. NMIH's principal sources of net cash are dividends from its subsidiaries and investment income. NMIC has the capacity to pay $98.4 million of aggregate ordinary dividends to NMIH during the twelve-month period ending December 31, 2025. NMIH also has access to $250 million of undrawn revolving credit capacity under the 2024 Revolving Credit Facility.</w:t>
      </w:r>
      <w:r>
        <w:rPr>
          <w:color w:val="000000"/>
        </w:rPr>
        <w:t xml:space="preserve">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31, 2023, our Board of Directors authorized the $200 million 2023 Repurchase Program (excluding associated costs and applicable taxes) effective through December 31, 2025. On February 5, 2025, our Board of Directors authorized the new $250 million 2025 Repurchase Program (excluding associated costs and applicable taxes) effective through December 31, 2027 and extended the 2023 Repurchase Program through December 31, 2027 to align its remaining tenor with that of the 2025 Repurchase Program. The authorization provides NMIH the flexibility, based on market and business conditions, stock price and other factors, to repurchase stock from time to time through open market repurchases, privately negotiated transactions, or other means, including pursuant to Rule 10b5-1 trading plans.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2025, NMIH repurchased 0.7 million shares of common stock at a total cost of $26.1 million, including associated costs and applicable taxes. As of March 31, 2025, NMIH had $304.2 million of repurchase authority remaining.</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NMIH has entered into tax and expense-sharing agreements with its subsidiaries which have been approved by the Wisconsin OCI, with such approvals subject to change or revocation at any time. Among such agreements, the Wisconsin OCI has approved the allocation of interest expense on the 2024 Notes and 2024 Revolving Credit Facility to NMIC, to the extent proceeds from such offering and facility are contributed to NMIC or used to repay, redeem or otherwise defease amounts raised by NMIC under prior credit arrangements that have previously been distributed to NMIC.</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2024 Notes mature on August 15, 2029 and bear interest at a rate of 6.00%, payable semi-annually on February 15 and August 15. The 2024 Revolving Credit Facility matures on May 21, 2029, and accrues interest at a variable rate equal to, at our discretion, (i) a Base Rate (as defined in the 2024 Revolving Credit Facility, subject to a floor of 1.00% per annum) plus a margin of 0.375% to 1.875% per annum, or (ii) the Adjusted Term SOFR Rate (as defined in the 2024 Revolving Credit Facility) plus a margin of 1.375% to 2.875% per annum, with the margin in each of (i) or (ii) based on our applicable corporate credit rating at the time. Borrowings under the 2024 Revolving Credit Facility may be used for general corporate purposes, including to support the growth of our new business production and operations.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2024 Revolving Credit Facility, NMIH is required to pay a quarterly commitment fee on the average daily undrawn amount of 0.175% to 0.525%, based on the applicable corporate credit rating at the time. As of March 31, 2025, the applicable commitment fee was 0.225%.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certain covenants under the 2024 Revolving Credit Facility, including: a maximum debt-to-total capitalization ratio of 35%, a minimum consolidated net worth requirement (as defined therein), and a requirement to maintain compliance with the financial standards prescribed by the PMIERs (subject to any GSE approved waivers). We were in compliance with all covenants at March 31, 2025.</w:t>
      </w:r>
    </w:p>
    <w:p>
      <w:pPr>
        <w:pStyle w:val="TextBody"/>
        <w:bidi w:val="0"/>
        <w:spacing w:lineRule="auto" w:line="288" w:before="0" w:after="180"/>
        <w:ind w:left="0" w:right="0" w:firstLine="720"/>
        <w:jc w:val="both"/>
        <w:rPr/>
      </w:pPr>
      <w:r>
        <w:rPr>
          <w:rFonts w:ascii="Times New Roman;sans-serif" w:hAnsi="Times New Roman;sans-serif"/>
          <w:b w:val="false"/>
          <w:color w:val="000000"/>
          <w:sz w:val="20"/>
        </w:rPr>
        <w:t>NMIC and Re One are subject to certain capital and dividend rules and regulations prescribed by jurisdictions in which they are authorized to operate and by the GSEs. Under Wisconsin insurance laws, NMIC and Re One may pay dividends up to specified levels (</w:t>
      </w:r>
      <w:r>
        <w:rPr>
          <w:rFonts w:ascii="Times New Roman;sans-serif" w:hAnsi="Times New Roman;sans-serif"/>
          <w:b w:val="false"/>
          <w:i/>
          <w:color w:val="000000"/>
          <w:sz w:val="20"/>
        </w:rPr>
        <w:t>i.e.,</w:t>
      </w:r>
      <w:r>
        <w:rPr>
          <w:color w:val="000000"/>
        </w:rPr>
        <w:t xml:space="preserve"> “</w:t>
      </w:r>
      <w:r>
        <w:rPr>
          <w:rFonts w:ascii="Times New Roman;sans-serif" w:hAnsi="Times New Roman;sans-serif"/>
          <w:b w:val="false"/>
          <w:color w:val="000000"/>
          <w:sz w:val="20"/>
        </w:rPr>
        <w:t>ordinary” dividends) with 30 days' prior notice to the Wisconsin OCI. Dividends in larger amounts, or “extraordinary” dividends, are subject to the Wisconsin OCI's prior approval. Under Wisconsin insurance laws, an extraordinary dividend is defined as any payment or distribution that, together with other dividends and distributions made within the preceding twelve months, exceeds the lesser of (i) 10% of the insurer's statutory policyholders' surplus as of the preceding December 31 or (ii) adjusted statutory net income for the twelve-month period ending the preceding December 31</w:t>
      </w:r>
      <w:r>
        <w:rPr>
          <w:rFonts w:ascii="Times New Roman;sans-serif" w:hAnsi="Times New Roman;sans-serif"/>
          <w:b w:val="false"/>
          <w:color w:val="000000"/>
          <w:sz w:val="20"/>
          <w:shd w:fill="FFFFFF" w:val="clear"/>
        </w:rPr>
        <w:t>.</w:t>
      </w:r>
      <w:r>
        <w:rPr>
          <w:color w:val="000000"/>
        </w:rPr>
        <w:t xml:space="preserve"> </w:t>
      </w:r>
      <w:r>
        <w:rPr>
          <w:rFonts w:ascii="Times New Roman;sans-serif" w:hAnsi="Times New Roman;sans-serif"/>
          <w:b w:val="false"/>
          <w:color w:val="000000"/>
          <w:sz w:val="20"/>
        </w:rPr>
        <w:t>NMIC has the capacity to pay $98.4 million of aggregate ordinary dividends to NMIH during the twelve-month period ending December 31, 2025.</w:t>
      </w:r>
    </w:p>
    <w:p>
      <w:pPr>
        <w:pStyle w:val="TextBody"/>
        <w:bidi w:val="0"/>
        <w:spacing w:lineRule="auto" w:line="288" w:before="0" w:after="180"/>
        <w:ind w:left="0" w:right="0" w:firstLine="720"/>
        <w:jc w:val="both"/>
        <w:rPr/>
      </w:pPr>
      <w:r>
        <w:rPr>
          <w:rFonts w:ascii="Times New Roman;sans-serif" w:hAnsi="Times New Roman;sans-serif"/>
          <w:b w:val="false"/>
          <w:color w:val="000000"/>
          <w:sz w:val="20"/>
        </w:rPr>
        <w:t xml:space="preserve">As an </w:t>
      </w:r>
      <w:r>
        <w:rPr>
          <w:rFonts w:ascii="Times New Roman;sans-serif" w:hAnsi="Times New Roman;sans-serif"/>
          <w:b w:val="false"/>
          <w:i/>
          <w:color w:val="000000"/>
          <w:sz w:val="20"/>
        </w:rPr>
        <w:t>approved insurer</w:t>
      </w:r>
      <w:r>
        <w:rPr>
          <w:color w:val="000000"/>
        </w:rPr>
        <w:t xml:space="preserve"> </w:t>
      </w:r>
      <w:r>
        <w:rPr>
          <w:rFonts w:ascii="Times New Roman;sans-serif" w:hAnsi="Times New Roman;sans-serif"/>
          <w:b w:val="false"/>
          <w:color w:val="000000"/>
          <w:sz w:val="20"/>
        </w:rPr>
        <w:t xml:space="preserve">under PMIERs, NMIC would generally be subject to additional restrictions on its ability to pay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dividends to NMIH if it failed to meet the financial requirements prescribed by PMIERs. Approved insurers that fail to meet the prescribed PMIERs financial requirements are not permitted to pay dividends without prior approval from the GSEs.</w:t>
      </w:r>
    </w:p>
    <w:p>
      <w:pPr>
        <w:pStyle w:val="TextBody"/>
        <w:bidi w:val="0"/>
        <w:spacing w:lineRule="auto" w:line="276" w:before="0" w:after="180"/>
        <w:ind w:left="0" w:right="0" w:firstLine="720"/>
        <w:jc w:val="both"/>
        <w:rPr/>
      </w:pPr>
      <w:r>
        <w:rPr>
          <w:rFonts w:ascii="Times New Roman;sans-serif" w:hAnsi="Times New Roman;sans-serif"/>
          <w:b w:val="false"/>
          <w:color w:val="000000"/>
          <w:sz w:val="20"/>
        </w:rPr>
        <w:t xml:space="preserve">NMIH may require liquidity to fund the capital needs of its insurance subsidiaries. NMIC’s capital needs depend on many factors including its ability to successfully write new business, establish premium rates at levels sufficient to cover claims and operating costs, access the reinsurance markets and meet </w:t>
      </w:r>
      <w:r>
        <w:rPr>
          <w:rFonts w:ascii="Times New Roman;sans-serif" w:hAnsi="Times New Roman;sans-serif"/>
          <w:b w:val="false"/>
          <w:i/>
          <w:color w:val="000000"/>
          <w:sz w:val="20"/>
        </w:rPr>
        <w:t>minimum required asset</w:t>
      </w:r>
      <w:r>
        <w:rPr>
          <w:color w:val="000000"/>
        </w:rPr>
        <w:t xml:space="preserve"> </w:t>
      </w:r>
      <w:r>
        <w:rPr>
          <w:rFonts w:ascii="Times New Roman;sans-serif" w:hAnsi="Times New Roman;sans-serif"/>
          <w:b w:val="false"/>
          <w:color w:val="000000"/>
          <w:sz w:val="20"/>
        </w:rPr>
        <w:t>thresholds under the PMIERs and minimum state capital requirements (respectively, as defined therein).</w:t>
      </w:r>
    </w:p>
    <w:p>
      <w:pPr>
        <w:pStyle w:val="TextBody"/>
        <w:bidi w:val="0"/>
        <w:spacing w:lineRule="auto" w:line="288" w:before="0" w:after="180"/>
        <w:ind w:left="0" w:right="0" w:firstLine="720"/>
        <w:jc w:val="both"/>
        <w:rPr/>
      </w:pPr>
      <w:r>
        <w:rPr>
          <w:rFonts w:ascii="Times New Roman;sans-serif" w:hAnsi="Times New Roman;sans-serif"/>
          <w:b w:val="false"/>
          <w:color w:val="000000"/>
          <w:sz w:val="20"/>
        </w:rPr>
        <w:t xml:space="preserve">As an approved mortgage insurer and Wisconsin-domiciled carrier, NMIC is required to satisfy financial and/or capitalization requirements stipulated by each of the GSEs and the Wisconsin OCI. The financial requirements stipulated by the GSEs are outlined in the PMIERs. Under the PMIERs, NMIC must maintain </w:t>
      </w:r>
      <w:r>
        <w:rPr>
          <w:rFonts w:ascii="Times New Roman;sans-serif" w:hAnsi="Times New Roman;sans-serif"/>
          <w:b w:val="false"/>
          <w:i/>
          <w:color w:val="000000"/>
          <w:sz w:val="20"/>
        </w:rPr>
        <w:t>available assets</w:t>
      </w:r>
      <w:r>
        <w:rPr>
          <w:color w:val="000000"/>
        </w:rPr>
        <w:t xml:space="preserve"> </w:t>
      </w:r>
      <w:r>
        <w:rPr>
          <w:rFonts w:ascii="Times New Roman;sans-serif" w:hAnsi="Times New Roman;sans-serif"/>
          <w:b w:val="false"/>
          <w:color w:val="000000"/>
          <w:sz w:val="20"/>
        </w:rPr>
        <w:t xml:space="preserve">that are equal to or exceed a minimum </w:t>
      </w:r>
      <w:r>
        <w:rPr>
          <w:rFonts w:ascii="Times New Roman;sans-serif" w:hAnsi="Times New Roman;sans-serif"/>
          <w:b w:val="false"/>
          <w:i/>
          <w:color w:val="000000"/>
          <w:sz w:val="20"/>
        </w:rPr>
        <w:t>risk-based required asset</w:t>
      </w:r>
      <w:r>
        <w:rPr>
          <w:color w:val="000000"/>
        </w:rPr>
        <w:t xml:space="preserve"> </w:t>
      </w:r>
      <w:r>
        <w:rPr>
          <w:rFonts w:ascii="Times New Roman;sans-serif" w:hAnsi="Times New Roman;sans-serif"/>
          <w:b w:val="false"/>
          <w:color w:val="000000"/>
          <w:sz w:val="20"/>
        </w:rPr>
        <w:t>amount, subject to a minimum floor of $400 million.</w:t>
      </w:r>
    </w:p>
    <w:p>
      <w:pPr>
        <w:pStyle w:val="TextBody"/>
        <w:bidi w:val="0"/>
        <w:spacing w:lineRule="auto" w:line="288" w:before="0" w:after="180"/>
        <w:ind w:left="0" w:right="0" w:firstLine="765"/>
        <w:jc w:val="both"/>
        <w:rPr/>
      </w:pPr>
      <w:r>
        <w:rPr>
          <w:rFonts w:ascii="Times New Roman;sans-serif" w:hAnsi="Times New Roman;sans-serif"/>
          <w:b w:val="false"/>
          <w:i/>
          <w:color w:val="000000"/>
          <w:sz w:val="20"/>
        </w:rPr>
        <w:t xml:space="preserve">Available assets </w:t>
      </w:r>
      <w:r>
        <w:rPr>
          <w:rFonts w:ascii="Times New Roman;sans-serif" w:hAnsi="Times New Roman;sans-serif"/>
          <w:b w:val="false"/>
          <w:color w:val="000000"/>
          <w:sz w:val="20"/>
        </w:rPr>
        <w:t>reflect the financial resources of a mortgage insurer available to pay claims, and includes the most readily liquid assets held, such as cash, investments and other items as stipulated in PMIERs Section 703. The credit provided for such liquid assets is further subject to adjustment based on several factors, including asset class, credit rating and portfolio concentration.</w:t>
      </w:r>
    </w:p>
    <w:p>
      <w:pPr>
        <w:pStyle w:val="TextBody"/>
        <w:bidi w:val="0"/>
        <w:spacing w:lineRule="auto" w:line="288" w:before="0" w:after="180"/>
        <w:ind w:left="0" w:right="0" w:firstLine="720"/>
        <w:jc w:val="both"/>
        <w:rPr/>
      </w:pPr>
      <w:r>
        <w:rPr>
          <w:rFonts w:ascii="Times New Roman;sans-serif" w:hAnsi="Times New Roman;sans-serif"/>
          <w:b w:val="false"/>
          <w:color w:val="000000"/>
          <w:sz w:val="20"/>
        </w:rPr>
        <w:t xml:space="preserve">The </w:t>
      </w:r>
      <w:r>
        <w:rPr>
          <w:rFonts w:ascii="Times New Roman;sans-serif" w:hAnsi="Times New Roman;sans-serif"/>
          <w:b w:val="false"/>
          <w:i/>
          <w:color w:val="000000"/>
          <w:sz w:val="20"/>
        </w:rPr>
        <w:t>risk-based required asset</w:t>
      </w:r>
      <w:r>
        <w:rPr>
          <w:color w:val="000000"/>
        </w:rPr>
        <w:t xml:space="preserve"> </w:t>
      </w:r>
      <w:r>
        <w:rPr>
          <w:rFonts w:ascii="Times New Roman;sans-serif" w:hAnsi="Times New Roman;sans-serif"/>
          <w:b w:val="false"/>
          <w:color w:val="000000"/>
          <w:sz w:val="20"/>
        </w:rPr>
        <w:t>amount under PMIERs is determined at an individual policy-level based on the risk characteristics of each insured loan. Loans with higher risk factors, such as higher LTVs or lower borrower FICO scores, are assessed a higher charge. Non-performing loans that have missed two or more payments are generally assessed a significantly higher charge than performing loans, regardless of the underlying borrower or loan risk profile; however, special consideration is given under PMIERs to loans that are delinquent on homes located in an area declared by the Federal Emergency Management Agency to be a Major Disaster zone eligible for Individual Assistance.</w:t>
      </w:r>
    </w:p>
    <w:p>
      <w:pPr>
        <w:pStyle w:val="TextBody"/>
        <w:bidi w:val="0"/>
        <w:spacing w:lineRule="auto" w:line="288" w:before="0" w:after="180"/>
        <w:ind w:left="0" w:right="0" w:firstLine="720"/>
        <w:jc w:val="both"/>
        <w:rPr/>
      </w:pPr>
      <w:r>
        <w:rPr>
          <w:rFonts w:ascii="Times New Roman;sans-serif" w:hAnsi="Times New Roman;sans-serif"/>
          <w:b w:val="false"/>
          <w:color w:val="000000"/>
          <w:sz w:val="20"/>
        </w:rPr>
        <w:t xml:space="preserve">NMIC’s PMIERs minimum </w:t>
      </w:r>
      <w:r>
        <w:rPr>
          <w:rFonts w:ascii="Times New Roman;sans-serif" w:hAnsi="Times New Roman;sans-serif"/>
          <w:b w:val="false"/>
          <w:i/>
          <w:color w:val="000000"/>
          <w:sz w:val="20"/>
        </w:rPr>
        <w:t>risk-based required asset</w:t>
      </w:r>
      <w:r>
        <w:rPr>
          <w:color w:val="000000"/>
        </w:rPr>
        <w:t xml:space="preserve"> </w:t>
      </w:r>
      <w:r>
        <w:rPr>
          <w:rFonts w:ascii="Times New Roman;sans-serif" w:hAnsi="Times New Roman;sans-serif"/>
          <w:b w:val="false"/>
          <w:color w:val="000000"/>
          <w:sz w:val="20"/>
        </w:rPr>
        <w:t xml:space="preserve">amount is also adjusted for its reinsurance transactions (as approved by the GSEs). Under NMIC’s quota share reinsurance treaties, it receives credit for the PMIERs </w:t>
      </w:r>
      <w:r>
        <w:rPr>
          <w:rFonts w:ascii="Times New Roman;sans-serif" w:hAnsi="Times New Roman;sans-serif"/>
          <w:b w:val="false"/>
          <w:i/>
          <w:color w:val="000000"/>
          <w:sz w:val="20"/>
        </w:rPr>
        <w:t>risk-based required asset</w:t>
      </w:r>
      <w:r>
        <w:rPr>
          <w:color w:val="000000"/>
        </w:rPr>
        <w:t xml:space="preserve"> </w:t>
      </w:r>
      <w:r>
        <w:rPr>
          <w:rFonts w:ascii="Times New Roman;sans-serif" w:hAnsi="Times New Roman;sans-serif"/>
          <w:b w:val="false"/>
          <w:color w:val="000000"/>
          <w:sz w:val="20"/>
        </w:rPr>
        <w:t xml:space="preserve">amount on ceded RIF. As its gross PMIERs </w:t>
      </w:r>
      <w:r>
        <w:rPr>
          <w:rFonts w:ascii="Times New Roman;sans-serif" w:hAnsi="Times New Roman;sans-serif"/>
          <w:b w:val="false"/>
          <w:i/>
          <w:color w:val="000000"/>
          <w:sz w:val="20"/>
        </w:rPr>
        <w:t>risk-based required asset</w:t>
      </w:r>
      <w:r>
        <w:rPr>
          <w:color w:val="000000"/>
        </w:rPr>
        <w:t xml:space="preserve"> </w:t>
      </w:r>
      <w:r>
        <w:rPr>
          <w:rFonts w:ascii="Times New Roman;sans-serif" w:hAnsi="Times New Roman;sans-serif"/>
          <w:b w:val="false"/>
          <w:color w:val="000000"/>
          <w:sz w:val="20"/>
        </w:rPr>
        <w:t xml:space="preserve">amount on ceded RIF increases, the PMIERs credit for ceded RIF automatically increases as well (in an unlimited amount). Under NMIC’s ILN and XOL Transactions, it generally receives credit for the PMIERs </w:t>
      </w:r>
      <w:r>
        <w:rPr>
          <w:rFonts w:ascii="Times New Roman;sans-serif" w:hAnsi="Times New Roman;sans-serif"/>
          <w:b w:val="false"/>
          <w:i/>
          <w:color w:val="000000"/>
          <w:sz w:val="20"/>
        </w:rPr>
        <w:t>risk-based required asset</w:t>
      </w:r>
      <w:r>
        <w:rPr>
          <w:color w:val="000000"/>
        </w:rPr>
        <w:t xml:space="preserve"> </w:t>
      </w:r>
      <w:r>
        <w:rPr>
          <w:rFonts w:ascii="Times New Roman;sans-serif" w:hAnsi="Times New Roman;sans-serif"/>
          <w:b w:val="false"/>
          <w:color w:val="000000"/>
          <w:sz w:val="20"/>
        </w:rPr>
        <w:t>amount on ceded RIF to the extent such requirement is within the subordinated coverage (excess of loss detachment threshold) afforded by the transaction.</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NMIC is also subject to state regulatory minimum capital requirements based on its RIF. Formulations of this minimum capital vary by state, however, the most common measure allows for a maximum ratio of RIF to statutory capital (commonly referred to as RTC) of 25:1. The RTC calculation does not assess a different charge or impose a different threshold RTC limit based on the underlying risk characteristics of the insured portfolio. Non-performing loans are treated the same as performing loans under the RTC framework. As such, the PMIERs generally imposes a stricter financial requirement than the state RTC standard.</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NMIC had a RTC ratio of 12.6:1 with $37.9 billion of performing primary RIF, net of reinsurance, and $3.0 billion of total statutory capital, including contingency reserves. Re One has no risk in force remaining and no longer reports a RTC ratio.</w:t>
      </w:r>
    </w:p>
    <w:p>
      <w:pPr>
        <w:pStyle w:val="TextBody"/>
        <w:bidi w:val="0"/>
        <w:spacing w:lineRule="auto" w:line="288" w:before="0" w:after="180"/>
        <w:ind w:left="0" w:right="0" w:firstLine="720"/>
        <w:jc w:val="both"/>
        <w:rPr/>
      </w:pPr>
      <w:r>
        <w:rPr>
          <w:rFonts w:ascii="Times New Roman;sans-serif" w:hAnsi="Times New Roman;sans-serif"/>
          <w:b w:val="false"/>
          <w:color w:val="000000"/>
          <w:sz w:val="20"/>
        </w:rPr>
        <w:t>NMIC’s principal sources of liquidity include (i) premium receipts on its insured portfolio and new business production, (ii) interest income on its investment portfolio and principal repayments on maturities therein, and (iii) existing cash and cash equivalent holdings. At March 31, 2025, NMIC had $2.8 billion of cash and investments, including $29.3 million of cash and cash equivalents. NMIC's principal liquidity demands include funds for the payment of (i) reimbursable holding company expenses, (ii) premiums ceded under our reinsurance transactions (iii) claims payments, and (iv) taxes as due or otherwise deferred through the purchase of tax and loss bonds. NMIC's cash inflow is generally significantly in excess of its cash outflow in any given period. During the twelve-month period ended March 31, 2025, NMIC generated $388 million of cash flow from operations and received an additional $222 million of cash flow on the maturity and redemption of securities held in its investment portfolio. NMIC is not a party to any contracts (derivative or otherwise) that require it to post an increasing amount of collateral to any counterparty and NMIC’s principal liquidity demands (other than claims payments) generally develop along a scheduled path (</w:t>
      </w:r>
      <w:r>
        <w:rPr>
          <w:rFonts w:ascii="Times New Roman;sans-serif" w:hAnsi="Times New Roman;sans-serif"/>
          <w:b w:val="false"/>
          <w:i/>
          <w:color w:val="000000"/>
          <w:sz w:val="20"/>
        </w:rPr>
        <w:t>i.e.</w:t>
      </w:r>
      <w:r>
        <w:rPr>
          <w:rFonts w:ascii="Times New Roman;sans-serif" w:hAnsi="Times New Roman;sans-serif"/>
          <w:b w:val="false"/>
          <w:color w:val="000000"/>
          <w:sz w:val="20"/>
        </w:rPr>
        <w:t>, are of a contractually predetermined amount and due at a contractually predetermined date). NMIC’s only use of cash with the potential to develop along an unscheduled path is claims payments. Given the relatively small size of our current population of defaulted policies, the generally extended duration of the default-to-foreclosure-to-claim cycle, and the potential availability of forbearance, foreclosure moratorium and other borrower assistance programs (which serve to further extend the default-to-foreclosure-to-claim cycle timeline), we do not expect NMIC to use a meaningful amount of cash to settle claims in the near-term.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80"/>
        <w:jc w:val="both"/>
        <w:rPr>
          <w:rFonts w:ascii="Times New Roman;sans-serif" w:hAnsi="Times New Roman;sans-serif"/>
          <w:b/>
          <w:color w:val="000000"/>
          <w:sz w:val="20"/>
        </w:rPr>
      </w:pPr>
      <w:r>
        <w:rPr>
          <w:rFonts w:ascii="Times New Roman;sans-serif" w:hAnsi="Times New Roman;sans-serif"/>
          <w:b/>
          <w:color w:val="000000"/>
          <w:sz w:val="20"/>
        </w:rPr>
        <w:t>Debt and Financial Strength Ratings</w:t>
      </w:r>
    </w:p>
    <w:p>
      <w:pPr>
        <w:pStyle w:val="TextBody"/>
        <w:bidi w:val="0"/>
        <w:spacing w:lineRule="auto" w:line="268" w:before="12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NMIC's financial strength is rated “A-” by Fitch Ratings (Fitch), “A3” by Moody's, and “A-” by S&amp;P. NMIH's 2024 Notes are rated “BBB-” by Fitch and “Baa3” by Moody's. The outlook for all ratings provided by Fitch is positive and the outlook for all ratings provided by Moody's and S&amp;P is stable.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both"/>
        <w:rPr>
          <w:rFonts w:ascii="Times New Roman;sans-serif" w:hAnsi="Times New Roman;sans-serif"/>
          <w:b/>
          <w:color w:val="000000"/>
          <w:sz w:val="20"/>
        </w:rPr>
      </w:pPr>
      <w:r>
        <w:rPr>
          <w:rFonts w:ascii="Times New Roman;sans-serif" w:hAnsi="Times New Roman;sans-serif"/>
          <w:b/>
          <w:color w:val="000000"/>
          <w:sz w:val="20"/>
        </w:rPr>
        <w:t>Consolidated Investment Portfolio</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primary objectives of our investment activity are to generate investment income and preserve capital, while maintaining sufficient liquidity to cover our operating needs. We aim to achieve diversification by type, quality, maturity, and industry. We have adopted an investment policy that defines, among other things, eligible and ineligible investments; concentration limits for asset types, industry sectors, single issuers, and certain credit ratings; and benchmarks for asset duration.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investment portfolio is comprised entirely of fixed maturity instruments. As of March 31, 2025, the fair value of our investment portfolio was $2.8 billion and we held an additional $74.2 million of cash and cash equivalents. Pre-tax book yield on the investment portfolio for the three months ended March 31, 2025 was 3.2%. Book yield is calculated as period-to-date net investment income divided by the average amortized cost of the investment portfolio. The yield on our investment portfolio is likely to change over time based on movements in interest rates, credit spreads, the duration or mix of our holdings and other factors.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present a breakdown of our investment portfolio and cash and cash equivalents by investment type and credit rating: </w:t>
      </w:r>
    </w:p>
    <w:tbl>
      <w:tblPr>
        <w:tblW w:w="8756" w:type="dxa"/>
        <w:jc w:val="left"/>
        <w:tblInd w:w="0" w:type="dxa"/>
        <w:tblLayout w:type="fixed"/>
        <w:tblCellMar>
          <w:top w:w="28" w:type="dxa"/>
          <w:left w:w="28" w:type="dxa"/>
          <w:bottom w:w="28" w:type="dxa"/>
          <w:right w:w="28" w:type="dxa"/>
        </w:tblCellMar>
      </w:tblPr>
      <w:tblGrid>
        <w:gridCol w:w="2036"/>
        <w:gridCol w:w="1789"/>
        <w:gridCol w:w="1800"/>
        <w:gridCol w:w="279"/>
        <w:gridCol w:w="279"/>
        <w:gridCol w:w="701"/>
        <w:gridCol w:w="109"/>
        <w:gridCol w:w="109"/>
        <w:gridCol w:w="109"/>
        <w:gridCol w:w="314"/>
        <w:gridCol w:w="314"/>
        <w:gridCol w:w="917"/>
      </w:tblGrid>
      <w:tr>
        <w:trPr/>
        <w:tc>
          <w:tcPr>
            <w:tcW w:w="2036" w:type="dxa"/>
            <w:tcBorders/>
            <w:vAlign w:val="center"/>
          </w:tcPr>
          <w:p>
            <w:pPr>
              <w:pStyle w:val="TableContents"/>
              <w:bidi w:val="0"/>
              <w:spacing w:before="0" w:after="283"/>
              <w:jc w:val="left"/>
              <w:rPr>
                <w:sz w:val="4"/>
                <w:szCs w:val="4"/>
              </w:rPr>
            </w:pPr>
            <w:r>
              <w:rPr>
                <w:sz w:val="4"/>
                <w:szCs w:val="4"/>
              </w:rPr>
            </w:r>
          </w:p>
        </w:tc>
        <w:tc>
          <w:tcPr>
            <w:tcW w:w="1789" w:type="dxa"/>
            <w:tcBorders/>
            <w:vAlign w:val="center"/>
          </w:tcPr>
          <w:p>
            <w:pPr>
              <w:pStyle w:val="TableContents"/>
              <w:bidi w:val="0"/>
              <w:spacing w:before="0" w:after="283"/>
              <w:jc w:val="left"/>
              <w:rPr>
                <w:sz w:val="4"/>
                <w:szCs w:val="4"/>
              </w:rPr>
            </w:pPr>
            <w:r>
              <w:rPr>
                <w:sz w:val="4"/>
                <w:szCs w:val="4"/>
              </w:rPr>
            </w:r>
          </w:p>
        </w:tc>
        <w:tc>
          <w:tcPr>
            <w:tcW w:w="180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Percentage of portfolio's fair value</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5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debt securities</w:t>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 and obligations of U.S. government agencies</w:t>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7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9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short-term investments</w:t>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7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9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55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7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9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6401" w:type="dxa"/>
        <w:jc w:val="left"/>
        <w:tblInd w:w="0" w:type="dxa"/>
        <w:tblLayout w:type="fixed"/>
        <w:tblCellMar>
          <w:top w:w="28" w:type="dxa"/>
          <w:left w:w="28" w:type="dxa"/>
          <w:bottom w:w="28" w:type="dxa"/>
          <w:right w:w="28" w:type="dxa"/>
        </w:tblCellMar>
      </w:tblPr>
      <w:tblGrid>
        <w:gridCol w:w="1185"/>
        <w:gridCol w:w="1039"/>
        <w:gridCol w:w="1046"/>
        <w:gridCol w:w="279"/>
        <w:gridCol w:w="279"/>
        <w:gridCol w:w="701"/>
        <w:gridCol w:w="109"/>
        <w:gridCol w:w="109"/>
        <w:gridCol w:w="109"/>
        <w:gridCol w:w="314"/>
        <w:gridCol w:w="314"/>
        <w:gridCol w:w="917"/>
      </w:tblGrid>
      <w:tr>
        <w:trPr/>
        <w:tc>
          <w:tcPr>
            <w:tcW w:w="1185"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6"/>
              </w:rPr>
              <w:t xml:space="preserve">Investment portfolio ratings at fair value </w:t>
            </w:r>
            <w:r>
              <w:rPr>
                <w:rFonts w:ascii="Times New Roman;sans-serif" w:hAnsi="Times New Roman;sans-serif"/>
                <w:b/>
                <w:color w:val="000000"/>
                <w:sz w:val="10"/>
              </w:rPr>
              <w:t>(1)</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AAA </w:t>
            </w:r>
            <w:r>
              <w:rPr>
                <w:rFonts w:ascii="Times New Roman;sans-serif" w:hAnsi="Times New Roman;sans-serif"/>
                <w:b w:val="false"/>
                <w:color w:val="000000"/>
                <w:sz w:val="13"/>
              </w:rPr>
              <w:t>(2)</w:t>
            </w:r>
          </w:p>
        </w:tc>
        <w:tc>
          <w:tcPr>
            <w:tcW w:w="5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AA </w:t>
            </w:r>
            <w:r>
              <w:rPr>
                <w:rFonts w:ascii="Times New Roman;sans-serif" w:hAnsi="Times New Roman;sans-serif"/>
                <w:b w:val="false"/>
                <w:color w:val="000000"/>
                <w:sz w:val="13"/>
              </w:rPr>
              <w:t>(3)</w:t>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 </w:t>
            </w:r>
            <w:r>
              <w:rPr>
                <w:rFonts w:ascii="Times New Roman;sans-serif" w:hAnsi="Times New Roman;sans-serif"/>
                <w:b w:val="false"/>
                <w:color w:val="000000"/>
                <w:sz w:val="13"/>
              </w:rPr>
              <w:t>(3)</w:t>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7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9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BBB </w:t>
            </w:r>
            <w:r>
              <w:rPr>
                <w:rFonts w:ascii="Times New Roman;sans-serif" w:hAnsi="Times New Roman;sans-serif"/>
                <w:b w:val="false"/>
                <w:color w:val="000000"/>
                <w:sz w:val="13"/>
              </w:rPr>
              <w:t>(3)</w:t>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BB </w:t>
            </w:r>
            <w:r>
              <w:rPr>
                <w:rFonts w:ascii="Times New Roman;sans-serif" w:hAnsi="Times New Roman;sans-serif"/>
                <w:b w:val="false"/>
                <w:color w:val="000000"/>
                <w:sz w:val="13"/>
              </w:rPr>
              <w:t>(4)</w:t>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55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7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9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    Excluding certain operating cash accounts.</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    Includes short-term securities rated A-1+.</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(3)    Includes +/– ratings.</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(4)    We held one security with a BB+ rating at March 31, 2025 and December 31, 2024, which is not identifiable in the table due to rounding. </w:t>
      </w:r>
    </w:p>
    <w:p>
      <w:pPr>
        <w:pStyle w:val="TextBody"/>
        <w:bidi w:val="0"/>
        <w:spacing w:before="0" w:after="0"/>
        <w:ind w:left="0" w:right="0" w:hanging="360"/>
        <w:jc w:val="both"/>
        <w:rPr/>
      </w:pPr>
      <w:r>
        <w:rPr/>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All of our investments are rated by one or more nationally recognized statistical rating organizations. If three or more ratings are available, we assign the middle rating for classification purposes, otherwise we assign the lowest rating.</w:t>
      </w:r>
    </w:p>
    <w:p>
      <w:pPr>
        <w:pStyle w:val="TextBody"/>
        <w:bidi w:val="0"/>
        <w:spacing w:lineRule="auto" w:line="288" w:before="0" w:after="18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Investment Securities - Allowance for credit losses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did not recognize an allowance for credit loss for any security in the investment portfolio as of March 31, 2025 or December 31, 2024, and we did not record any provision for credit loss for investment securities during the three months ended March 31, 2025 or 2024.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2025, the investment portfolio had gross unrealized losses of $129.0 million, of which $126.3 million were associated with securities that had been in an unrealized loss position for a period of twelve months or longer. As of December 31, 2024, the investment portfolio had gross unrealized losses of $158.6 million, of which $150.8 million were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associated with securities that had been in an unrealized loss position for a period of twelve months or longer.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evaluated the securities in an unrealized loss position as of March 31, 2025, assessing their credit ratings as well as any adverse conditions specifically related to the security. Based upon our assessment of the amount and timing of cash flows to be collected over the remaining life of each instrument, we believe the unrealized losses as of March 31, 2025 are not indicative of the ultimate collectability of the current amortized cost of the securities. Rather, the unrealized losses on securities held as of March 31, 2025 were primarily driven by fluctuations in interest rates, and to a lesser extent, movements in credit spreads following the purchase of those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both"/>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use accounting principles and methods that conform to GAAP. We are required to apply significant judgment and make material estimates in the preparation of our financial statements and with regard to various accounting, reporting and disclosure matters. Assumptions and estimates are required to apply these principles where actual measurement is not possible or practical. On an ongoing basis, we evaluate our estimates and assumptions. Our actual results may differ from these estimates under different assumptions or conditions.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the assumptions and estimates associated with revenue recognition, our investment portfolio, deferred policy acquisition costs, and reserves for insurance claims and claim expenses have the greatest potential impact on our consolidated financial statements. Therefore, we consider these to be our critical accounting estimates. There have not been any material changes to our critical accounting policies and estimates as compared to the critical accounting policies and estimates described in our 2024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 xml:space="preserve">Item 3. Quantitative and Qualitative Disclosures About Market Risk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own and manage a large investment portfolio of various holdings, types and maturities. NMIH's principal source of operating cash is investment income. The assets within the investment portfolio are exposed to the same factors that affect overall financial market performance.</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manage market risk via a defined investment policy implemented by our treasury function with oversight from our Board's Risk Committee. Important drivers of our market risk exposure monitored and managed by us include but are not limited to:</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i/>
          <w:color w:val="000000"/>
          <w:sz w:val="20"/>
        </w:rPr>
        <w:t>Changes to the level of interest rates</w:t>
      </w:r>
      <w:r>
        <w:rPr>
          <w:rFonts w:ascii="Times New Roman;sans-serif" w:hAnsi="Times New Roman;sans-serif"/>
          <w:b w:val="false"/>
          <w:color w:val="000000"/>
          <w:sz w:val="20"/>
        </w:rPr>
        <w:t>. Increasing interest rates may reduce the value of certain fixed-rate bonds held in the investment portfolio. Higher rates may cause variable rate assets to generate additional income. Decreasing rates will have the reverse impact. Significant changes in interest rates can also affect persistency and claim rates of our insurance portfolio, and as a result we may determine that our investment portfolio needs to be restructured to better align it with future liabilities and claim payments. Such restructuring may cause investments to be liquidated when market conditions are adverse. Additionally, the changes in SOFR based interest rates affect the interest expense related to the Company's debt.</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i/>
          <w:color w:val="000000"/>
          <w:sz w:val="20"/>
        </w:rPr>
        <w:t>Changes to the term structure of interest rates</w:t>
      </w:r>
      <w:r>
        <w:rPr>
          <w:rFonts w:ascii="Times New Roman;sans-serif" w:hAnsi="Times New Roman;sans-serif"/>
          <w:b w:val="false"/>
          <w:color w:val="000000"/>
          <w:sz w:val="20"/>
        </w:rPr>
        <w:t xml:space="preserve">. Rising or falling rates typically change by different amounts along the yield curve. These changes may have unforeseen impacts on the value of certain assets.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i/>
          <w:color w:val="000000"/>
          <w:sz w:val="20"/>
        </w:rPr>
        <w:t>Market volatility/changes in the real or perceived credit quality of investments</w:t>
      </w:r>
      <w:r>
        <w:rPr>
          <w:rFonts w:ascii="Times New Roman;sans-serif" w:hAnsi="Times New Roman;sans-serif"/>
          <w:b w:val="false"/>
          <w:color w:val="000000"/>
          <w:sz w:val="20"/>
        </w:rPr>
        <w:t>. Deterioration in the quality of investments, identified through changes to our own or third-party (</w:t>
      </w:r>
      <w:r>
        <w:rPr>
          <w:rFonts w:ascii="Times New Roman;sans-serif" w:hAnsi="Times New Roman;sans-serif"/>
          <w:b w:val="false"/>
          <w:i/>
          <w:color w:val="000000"/>
          <w:sz w:val="20"/>
        </w:rPr>
        <w:t>e.g.</w:t>
      </w:r>
      <w:r>
        <w:rPr>
          <w:rFonts w:ascii="Times New Roman;sans-serif" w:hAnsi="Times New Roman;sans-serif"/>
          <w:b w:val="false"/>
          <w:color w:val="000000"/>
          <w:sz w:val="20"/>
        </w:rPr>
        <w:t>, rating agency or investment advisors) assessments, will reduce the value and potentially the liquidity of investments.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i/>
          <w:color w:val="000000"/>
          <w:sz w:val="20"/>
        </w:rPr>
        <w:t>Concentration risk</w:t>
      </w:r>
      <w:r>
        <w:rPr>
          <w:rFonts w:ascii="Times New Roman;sans-serif" w:hAnsi="Times New Roman;sans-serif"/>
          <w:b w:val="false"/>
          <w:color w:val="000000"/>
          <w:sz w:val="20"/>
        </w:rPr>
        <w:t>. If the investment portfolio is highly concentrated in one asset, or in multiple assets whose values are highly correlated, the value of the total portfolio may be greatly affected by the change in value of just one asset or a group of highly correlated assets.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i/>
          <w:color w:val="000000"/>
          <w:sz w:val="20"/>
        </w:rPr>
        <w:t>Prepayment risk</w:t>
      </w:r>
      <w:r>
        <w:rPr>
          <w:rFonts w:ascii="Times New Roman;sans-serif" w:hAnsi="Times New Roman;sans-serif"/>
          <w:b w:val="false"/>
          <w:color w:val="000000"/>
          <w:sz w:val="20"/>
        </w:rPr>
        <w:t>. Bonds may have call provisions that permit debtors to repay prior to maturity when it is to their advantage. This typically occurs when rates fall below the interest rate of the debt.</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value of our investment portfolio as of March 31, 2025 and December 31, 2024 was $2.8 billion and $2.7 billion, respectively, of which 100% was invested in fixed maturity securities. The primary market risk to our investment portfolio is interest rate risk associated with investments in fixed maturity securities. We mitigate the market risk associated with our fixed maturity securities portfolio by matching the duration of our fixed maturity securities with the expected duration of the liabilities that those securities are intended to support.</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the duration of our fixed income portfolio, including cash and cash equivalents, was 3.55 years, which means that an instantaneous parallel shift (movement up or down) in the yield curve of 100 basis points would result in a change of 3.55% in fair value of our fixed income portfolio. Excluding cash, our fixed income portfolio duration was 3.56 years, which means that an instantaneous parallel shift (movement up or down) in the yield curve of 100 basis points would result in a change of 3.56% in fair value of our fixed income portfolio.</w:t>
      </w:r>
    </w:p>
    <w:p>
      <w:pPr>
        <w:pStyle w:val="TextBody"/>
        <w:bidi w:val="0"/>
        <w:spacing w:lineRule="auto" w:line="288" w:before="0" w:after="180"/>
        <w:ind w:left="0" w:right="0" w:firstLine="720"/>
        <w:jc w:val="both"/>
        <w:rPr/>
      </w:pPr>
      <w:r>
        <w:rPr>
          <w:rFonts w:ascii="Times New Roman;sans-serif" w:hAnsi="Times New Roman;sans-serif"/>
          <w:b w:val="false"/>
          <w:color w:val="000000"/>
          <w:sz w:val="20"/>
        </w:rPr>
        <w:t>We are also subject to market risk related to the 2024 Revolving Credit Facility and the ILN Transactions. As discussed in Item 1, “</w:t>
      </w:r>
      <w:r>
        <w:rPr>
          <w:rFonts w:ascii="Times New Roman;sans-serif" w:hAnsi="Times New Roman;sans-serif"/>
          <w:b w:val="false"/>
          <w:i/>
          <w:color w:val="000000"/>
          <w:sz w:val="20"/>
        </w:rPr>
        <w:t>Financial Statements - Notes to Condensed Consolidated Financial Statements - Note 4, Debt”</w:t>
      </w:r>
      <w:r>
        <w:rPr>
          <w:color w:val="000000"/>
        </w:rPr>
        <w:t xml:space="preserve"> </w:t>
      </w:r>
      <w:r>
        <w:rPr>
          <w:rFonts w:ascii="Times New Roman;sans-serif" w:hAnsi="Times New Roman;sans-serif"/>
          <w:b w:val="false"/>
          <w:color w:val="000000"/>
          <w:sz w:val="20"/>
        </w:rPr>
        <w:t>the 2024 Revolving Credit Facility bears interest at a variable rate and, as a result, increases in market interest rates would generally result in increased interest expense on any outstanding drawn balance.</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risk premium amounts under the ILN Transactions are calculated by multiplying the outstanding reinsurance coverage amount at the beginning of any payment period by a coupon rate, which is the sum of one-month SOFR, as applicable, and a risk margin, and then subtracting actual investment income earned on the trust balance during that payment period. An increase in one-month SOFR, as applicable, would generally increase the risk premium payments, while an increase to money market rates, which directly affect investment income earned on the trust balance, would generally decrease them. Although we expect the two rates to move in tandem, to the extent they do not, it could increase or decrease the risk premium payments that otherwise would be due.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Disclosure Controls and Procedures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disclosure controls and procedures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including our Chief Executive Officer and Chief Financial Officer, conducted an evaluation of the effectiveness of our disclosure controls and procedures (as defined in Rule 13a-15(e) of the Exchange Act) as of March 31, 2025, pursuant to Rule 13a-15(e) under the Exchange Act. Management applied its judgment in assessing the costs and benefits of such controls and procedures, which by their nature, can provide only reasonable assurance regarding management's control objectives. Management does not expect that our disclosure controls and procedures will prevent or detect all errors and fraud. A control system, irrespective of how well it is designed and operated, can only provide reasonable assurance and cannot guarantee that it will succeed in its stated objectives.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Based upon that evaluation, our Chief Executive Officer and Chief Financial Officer concluded that, as of March 31, 2025, our disclosure controls and procedures were effective to provide reasonable assurance that the information required to be disclosed by us in the reports we file or submit under the Exchange Act is recorded, processed, summarized, and reported within the time periods specified in the SEC's rules and forms.</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Internal Control Over Financial Reporting</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was no change in our internal control over financial reporting that occurred during the period covered by this report that has materially affected, or is reasonably likely to materially affect, our internal control over financial reporting.</w:t>
      </w:r>
    </w:p>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Certain lawsuits and claims arising in the ordinary course of business may be filed or pending against us or our affiliates from time to time. In accordance with applicable accounting guidance, we establish accruals for all lawsuits, claims and expected settlements when we believe it is probable that a loss has been incurred and the amount of the loss is reasonably estimable. When a loss contingency is not both probable and estimable, we do not establish an accrual. Any such loss estimates are inherently uncertain, based on currently available information and are subject to management's judgment and various assumptions. Due to the inherent subjectivity of these estimates and unpredictability of outcomes of legal proceedings, any amounts accrued may not represent the ultimate resolution of such matters.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To the extent we believe any potential loss relating to such lawsuits and claims may have a material impact on our liquidity, consolidated financial position, results of operations, and/or our business as a whole and is reasonably possible but not probable, we will disclose information relating to any such potential loss, whether in excess of any established accruals or where there is no established accrual. We will also disclose information relating to any material potential loss that is probable but not reasonably estimable. Where reasonably practicable, we will provide an estimate of loss or range of potential loss. No disclosures are generally made for any loss contingencies that are deemed to be remote.</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we have previously disclosed, we were named as a defendant in one litigation case that involves refunds of mortgage insurance premiums under the Homeowners Protection Act. In September 2023, the United States District Court for the Eastern District of Virginia granted our motion to dismiss the case. Subsequently, the plaintiff filed a notice of appeal in October 2023, appealing the District Court’s decision to the United States Court of Appeals for the Fourth Circuit. The appeal is currently pending. Based upon information available to us and our review of lawsuits and claims filed or pending against us to date, we have not recognized a material accrual liability for these matters, nor do we currently expect it is reasonably possible that these matters will result in a material liability to the Company. However, the outcome of litigation and other legal and regulatory matters is inherently uncertain, and it is possible that one or more of such matters currently pending or threatened could have an unanticipated material adverse effect on our liquidity, consolidated financial position, results of operations, and/or our business as a whole,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Risk factors that affect our business and financial results are discussed in Part I, Item 1A of our 2024 10-K. As of the date of this report, we are not aware of any material changes in our risk factors from the risk factors disclosed in our 2024 10-K. You should carefully consider the risks and uncertainties described herein and in our 2024 10-K, which have the potential to affect our business, financial condition, results of operations, cash flows or prospects in a material and adverse manner. The risks described herein and in our 2024 10-K are not the only risks we face, as there are additional risks and uncertainties not currently known to us or that we currently deem to be immaterial, which may in the future adversely affect our business, financial condition and/or operating results.</w:t>
      </w:r>
    </w:p>
    <w:p>
      <w:pPr>
        <w:pStyle w:val="TextBody"/>
        <w:bidi w:val="0"/>
        <w:spacing w:before="0" w:after="0"/>
        <w:ind w:left="0" w:right="0" w:firstLine="720"/>
        <w:jc w:val="left"/>
        <w:rPr/>
      </w:pPr>
      <w:r>
        <w:rPr/>
      </w:r>
    </w:p>
    <w:p>
      <w:pPr>
        <w:pStyle w:val="TextBody"/>
        <w:bidi w:val="0"/>
        <w:spacing w:before="0" w:after="0"/>
        <w:jc w:val="left"/>
        <w:rPr/>
      </w:pPr>
      <w:r>
        <w:rPr/>
      </w:r>
    </w:p>
    <w:p>
      <w:pPr>
        <w:pStyle w:val="TextBody"/>
        <w:bidi w:val="0"/>
        <w:spacing w:before="0" w:after="18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0" w:after="18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 xml:space="preserve">Issuer Purchases of Equity Securities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about purchases of NMI Holdings, Inc. common stock by us during the three months ended March 31, 2025.</w:t>
      </w:r>
    </w:p>
    <w:tbl>
      <w:tblPr>
        <w:tblW w:w="10205" w:type="dxa"/>
        <w:jc w:val="left"/>
        <w:tblInd w:w="0" w:type="dxa"/>
        <w:tblLayout w:type="fixed"/>
        <w:tblCellMar>
          <w:top w:w="28" w:type="dxa"/>
          <w:left w:w="28" w:type="dxa"/>
          <w:bottom w:w="28" w:type="dxa"/>
          <w:right w:w="28" w:type="dxa"/>
        </w:tblCellMar>
      </w:tblPr>
      <w:tblGrid>
        <w:gridCol w:w="268"/>
        <w:gridCol w:w="237"/>
        <w:gridCol w:w="237"/>
        <w:gridCol w:w="237"/>
        <w:gridCol w:w="237"/>
        <w:gridCol w:w="240"/>
        <w:gridCol w:w="623"/>
        <w:gridCol w:w="429"/>
        <w:gridCol w:w="431"/>
        <w:gridCol w:w="109"/>
        <w:gridCol w:w="109"/>
        <w:gridCol w:w="109"/>
        <w:gridCol w:w="283"/>
        <w:gridCol w:w="829"/>
        <w:gridCol w:w="146"/>
        <w:gridCol w:w="109"/>
        <w:gridCol w:w="109"/>
        <w:gridCol w:w="109"/>
        <w:gridCol w:w="918"/>
        <w:gridCol w:w="755"/>
        <w:gridCol w:w="758"/>
        <w:gridCol w:w="109"/>
        <w:gridCol w:w="109"/>
        <w:gridCol w:w="109"/>
        <w:gridCol w:w="500"/>
        <w:gridCol w:w="1717"/>
        <w:gridCol w:w="379"/>
      </w:tblGrid>
      <w:tr>
        <w:trPr/>
        <w:tc>
          <w:tcPr>
            <w:tcW w:w="26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71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r>
      <w:tr>
        <w:trPr/>
        <w:tc>
          <w:tcPr>
            <w:tcW w:w="1456"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In Thousands, except for per share data)</w:t>
            </w:r>
          </w:p>
        </w:tc>
        <w:tc>
          <w:tcPr>
            <w:tcW w:w="14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Total Number of Shares Purchased as Part of Publicly Announced Plans or Programs </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Approximate Dollar Value of Shares That May Yet Be Purchased Under the Plans or Program </w:t>
            </w:r>
            <w:r>
              <w:rPr>
                <w:rFonts w:ascii="Times New Roman;sans-serif" w:hAnsi="Times New Roman;sans-serif"/>
                <w:b/>
                <w:color w:val="000000"/>
                <w:sz w:val="10"/>
              </w:rPr>
              <w:t>(1)</w:t>
            </w:r>
          </w:p>
        </w:tc>
      </w:tr>
      <w:tr>
        <w:trPr/>
        <w:tc>
          <w:tcPr>
            <w:tcW w:w="1456" w:type="dxa"/>
            <w:gridSpan w:val="6"/>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Period:</w:t>
            </w:r>
          </w:p>
        </w:tc>
        <w:tc>
          <w:tcPr>
            <w:tcW w:w="14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1/1/2025 to 1/31/2025</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222,013 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222,013 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71,941 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2/1/2025 to 2/28/2025</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260,468 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260,468 </w:t>
            </w:r>
          </w:p>
        </w:tc>
        <w:tc>
          <w:tcPr>
            <w:tcW w:w="7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312,516 </w:t>
            </w:r>
          </w:p>
        </w:tc>
        <w:tc>
          <w:tcPr>
            <w:tcW w:w="3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3/1/2025 to 3/31/2025</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235,376 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235,376 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304,191 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05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717,857 </w:t>
            </w:r>
          </w:p>
        </w:tc>
        <w:tc>
          <w:tcPr>
            <w:tcW w:w="4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717,857 </w:t>
            </w:r>
          </w:p>
        </w:tc>
        <w:tc>
          <w:tcPr>
            <w:tcW w:w="7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Times New Roman;sans-serif" w:hAnsi="Times New Roman;sans-serif"/>
          <w:b w:val="false"/>
          <w:color w:val="000000"/>
          <w:sz w:val="16"/>
        </w:rPr>
        <w:t>(1)    On July 31, 2023, our Board of Directors authorized the $200 million 2023 Repurchase Program (excluding associated costs and applicable taxes) effective through December 31, 2025.</w:t>
      </w:r>
      <w:r>
        <w:rPr>
          <w:color w:val="000000"/>
        </w:rPr>
        <w:t xml:space="preserve"> </w:t>
      </w:r>
      <w:r>
        <w:rPr>
          <w:rFonts w:ascii="Times New Roman;sans-serif" w:hAnsi="Times New Roman;sans-serif"/>
          <w:b w:val="false"/>
          <w:color w:val="000000"/>
          <w:sz w:val="16"/>
        </w:rPr>
        <w:t>On February 5, 2025, our Board of Directors authorized the new $250 million 2025 Repurchase Program (excluding associated costs and applicable taxes) effective through December 31, 2027 and extended the 2023 Repurchase Program through December 31, 2027 to align its remaining tenor with that of the 2025 Repurchase Program. See Part I, Item 1, “Financial Statements - Notes to Condensed Consolidated Financial Statements - Note 10, Stockholder's Equity” for additional information.</w:t>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Section 16 officers and directors (as defined in Rule 16a-1 under the Exchange Act) may from time to time enter into plans for the purchase or sale of the Company's stock that are intended to satisfy the affirmative defense conditions of Rule 10b5-1(c) under the Exchange Act. During the quarter ended March 31, 2025, none of our Section 16 officers or directors adopted, modified or terminated “Rule 10b5-1 trading arrangements” or "non-Rule 10b5-1 trading arrangements" (each as defined in Item 408 under Regulation S-K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359"/>
        <w:gridCol w:w="315"/>
        <w:gridCol w:w="316"/>
        <w:gridCol w:w="109"/>
        <w:gridCol w:w="109"/>
        <w:gridCol w:w="109"/>
        <w:gridCol w:w="2603"/>
        <w:gridCol w:w="2592"/>
        <w:gridCol w:w="3693"/>
      </w:tblGrid>
      <w:tr>
        <w:trPr/>
        <w:tc>
          <w:tcPr>
            <w:tcW w:w="35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3" w:type="dxa"/>
            <w:tcBorders/>
            <w:vAlign w:val="center"/>
          </w:tcPr>
          <w:p>
            <w:pPr>
              <w:pStyle w:val="TableContents"/>
              <w:bidi w:val="0"/>
              <w:spacing w:before="0" w:after="283"/>
              <w:jc w:val="left"/>
              <w:rPr>
                <w:sz w:val="4"/>
                <w:szCs w:val="4"/>
              </w:rPr>
            </w:pPr>
            <w:r>
              <w:rPr>
                <w:sz w:val="4"/>
                <w:szCs w:val="4"/>
              </w:rPr>
            </w:r>
          </w:p>
        </w:tc>
        <w:tc>
          <w:tcPr>
            <w:tcW w:w="2592" w:type="dxa"/>
            <w:tcBorders/>
            <w:vAlign w:val="center"/>
          </w:tcPr>
          <w:p>
            <w:pPr>
              <w:pStyle w:val="TableContents"/>
              <w:bidi w:val="0"/>
              <w:spacing w:before="0" w:after="283"/>
              <w:jc w:val="left"/>
              <w:rPr>
                <w:sz w:val="4"/>
                <w:szCs w:val="4"/>
              </w:rPr>
            </w:pPr>
            <w:r>
              <w:rPr>
                <w:sz w:val="4"/>
                <w:szCs w:val="4"/>
              </w:rPr>
            </w:r>
          </w:p>
        </w:tc>
        <w:tc>
          <w:tcPr>
            <w:tcW w:w="3693" w:type="dxa"/>
            <w:tcBorders/>
            <w:vAlign w:val="center"/>
          </w:tcPr>
          <w:p>
            <w:pPr>
              <w:pStyle w:val="TableContents"/>
              <w:bidi w:val="0"/>
              <w:spacing w:before="0" w:after="283"/>
              <w:jc w:val="left"/>
              <w:rPr>
                <w:sz w:val="4"/>
                <w:szCs w:val="4"/>
              </w:rPr>
            </w:pPr>
            <w:r>
              <w:rPr>
                <w:sz w:val="4"/>
                <w:szCs w:val="4"/>
              </w:rPr>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60"/>
              <w:jc w:val="center"/>
              <w:rPr>
                <w:rFonts w:ascii="Times New Roman;sans-serif" w:hAnsi="Times New Roman;sans-serif"/>
                <w:b/>
                <w:color w:val="000000"/>
                <w:sz w:val="20"/>
              </w:rPr>
            </w:pPr>
            <w:r>
              <w:rPr>
                <w:rFonts w:ascii="Times New Roman;sans-serif" w:hAnsi="Times New Roman;sans-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tcMar>
              <w:top w:w="0" w:type="dxa"/>
              <w:left w:w="0" w:type="dxa"/>
              <w:bottom w:w="0" w:type="dxa"/>
              <w:right w:w="0" w:type="dxa"/>
            </w:tcMar>
            <w:vAlign w:val="center"/>
          </w:tcPr>
          <w:p>
            <w:pPr>
              <w:pStyle w:val="TableContents"/>
              <w:bidi w:val="0"/>
              <w:spacing w:lineRule="auto" w:line="240" w:before="0" w:after="60"/>
              <w:jc w:val="center"/>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9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
              <w:r>
                <w:rPr>
                  <w:rStyle w:val="InternetLink"/>
                  <w:rFonts w:ascii="Times New Roman;sans-serif" w:hAnsi="Times New Roman;sans-serif"/>
                  <w:b w:val="false"/>
                  <w:color w:val="0000FF"/>
                  <w:sz w:val="20"/>
                  <w:u w:val="single"/>
                </w:rPr>
                <w:t>Underwriting Agreement, dated May 7, 2024, among the Company, RBC Capital Markets, LLC, Goldman Sachs &amp; Co. LLC, BMO Capital Markets Corp., Citigroup Global Markets Inc. and Truist Securities, Inc. acting as representatives of several underwriters named therein</w:t>
              </w:r>
            </w:hyperlink>
            <w:r>
              <w:rPr>
                <w:color w:val="000000"/>
              </w:rPr>
              <w:t xml:space="preserve"> </w:t>
            </w:r>
            <w:r>
              <w:rPr>
                <w:rFonts w:ascii="Times New Roman;sans-serif" w:hAnsi="Times New Roman;sans-serif"/>
                <w:b w:val="false"/>
                <w:color w:val="000000"/>
                <w:sz w:val="20"/>
              </w:rPr>
              <w:t>(incorporated herein by reference to Exhibit 1.1 to our Form 8-K, filed on May 8, 2024)</w:t>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ans-serif" w:hAnsi="Times New Roman;sans-serif"/>
                  <w:b w:val="false"/>
                  <w:color w:val="0000FF"/>
                  <w:sz w:val="20"/>
                  <w:u w:val="single"/>
                </w:rPr>
                <w:t>Third Amended and Restated Certificate of Incorporation</w:t>
              </w:r>
            </w:hyperlink>
            <w:r>
              <w:rPr>
                <w:color w:val="000000"/>
              </w:rPr>
              <w:t xml:space="preserve"> </w:t>
            </w:r>
            <w:r>
              <w:rPr>
                <w:rFonts w:ascii="Times New Roman;sans-serif" w:hAnsi="Times New Roman;sans-serif"/>
                <w:b w:val="false"/>
                <w:color w:val="000000"/>
                <w:sz w:val="20"/>
              </w:rPr>
              <w:t xml:space="preserve">(incorporated herein by reference to Exhibit 3.1 to our Form 8-K, filed on May 10, 2024) </w:t>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Times New Roman;sans-serif" w:hAnsi="Times New Roman;sans-serif"/>
                  <w:b w:val="false"/>
                  <w:color w:val="0000FF"/>
                  <w:sz w:val="20"/>
                  <w:u w:val="single"/>
                </w:rPr>
                <w:t>Fifth Amended and Restated Bylaws</w:t>
              </w:r>
            </w:hyperlink>
            <w:r>
              <w:rPr>
                <w:color w:val="000000"/>
              </w:rPr>
              <w:t xml:space="preserve"> </w:t>
            </w:r>
            <w:r>
              <w:rPr>
                <w:rFonts w:ascii="Times New Roman;sans-serif" w:hAnsi="Times New Roman;sans-serif"/>
                <w:b w:val="false"/>
                <w:color w:val="000000"/>
                <w:sz w:val="20"/>
              </w:rPr>
              <w:t>(incorporated herein by reference to Exhibit 3.2 to our Form 8-K, filed on May 10, 2024)</w:t>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
              <w:r>
                <w:rPr>
                  <w:rStyle w:val="InternetLink"/>
                  <w:rFonts w:ascii="Times New Roman;sans-serif" w:hAnsi="Times New Roman;sans-serif"/>
                  <w:b w:val="false"/>
                  <w:color w:val="0000FF"/>
                  <w:sz w:val="20"/>
                  <w:u w:val="single"/>
                </w:rPr>
                <w:t>Indenture, dated as of May 21, 2024, by and between NMI Holdings, Inc. and The Bank of New York Mellon Trust Company, N.A. as Trustee</w:t>
              </w:r>
            </w:hyperlink>
            <w:r>
              <w:rPr>
                <w:color w:val="000000"/>
              </w:rPr>
              <w:t xml:space="preserve"> </w:t>
            </w:r>
            <w:r>
              <w:rPr>
                <w:rFonts w:ascii="Times New Roman;sans-serif" w:hAnsi="Times New Roman;sans-serif"/>
                <w:b w:val="false"/>
                <w:color w:val="000000"/>
                <w:sz w:val="20"/>
              </w:rPr>
              <w:t>(incorporated herein by reference to Exhibit 4.1 to our Form 8-K, filed on May 21, 2024)</w:t>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
              <w:r>
                <w:rPr>
                  <w:rStyle w:val="InternetLink"/>
                  <w:rFonts w:ascii="Times New Roman;sans-serif" w:hAnsi="Times New Roman;sans-serif"/>
                  <w:b w:val="false"/>
                  <w:color w:val="0000FF"/>
                  <w:sz w:val="20"/>
                  <w:u w:val="single"/>
                </w:rPr>
                <w:t>Supplemental Indenture, dated as of May 21, 2024, by and between NMI Holdings, Inc. and The Bank of New York Mellon Trust Company, N.A. as Trustee</w:t>
              </w:r>
            </w:hyperlink>
            <w:r>
              <w:rPr>
                <w:color w:val="000000"/>
              </w:rPr>
              <w:t xml:space="preserve"> </w:t>
            </w:r>
            <w:r>
              <w:rPr>
                <w:rFonts w:ascii="Times New Roman;sans-serif" w:hAnsi="Times New Roman;sans-serif"/>
                <w:b w:val="false"/>
                <w:color w:val="000000"/>
                <w:sz w:val="20"/>
              </w:rPr>
              <w:t>(including the form of the Notes) (incorporated herein by reference to Exhibit 4.2 to our Form 8-K, filed on May 21, 2024)</w:t>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7">
              <w:r>
                <w:rPr>
                  <w:rStyle w:val="InternetLink"/>
                  <w:rFonts w:ascii="Times New Roman;sans-serif" w:hAnsi="Times New Roman;sans-serif"/>
                  <w:b w:val="false"/>
                  <w:color w:val="0000FF"/>
                  <w:sz w:val="20"/>
                  <w:u w:val="single"/>
                </w:rPr>
                <w:t>Description of Securities</w:t>
              </w:r>
            </w:hyperlink>
            <w:r>
              <w:rPr>
                <w:color w:val="000000"/>
              </w:rPr>
              <w:t xml:space="preserve"> </w:t>
            </w:r>
            <w:r>
              <w:rPr>
                <w:rFonts w:ascii="Times New Roman;sans-serif" w:hAnsi="Times New Roman;sans-serif"/>
                <w:b w:val="false"/>
                <w:color w:val="000000"/>
                <w:sz w:val="20"/>
              </w:rPr>
              <w:t>(incorporated herein by reference to Exhibit 4.4 to our Form 10-Q, filed on July 31, 2024)</w:t>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8">
              <w:r>
                <w:rPr>
                  <w:rStyle w:val="InternetLink"/>
                  <w:rFonts w:ascii="Times New Roman;sans-serif" w:hAnsi="Times New Roman;sans-serif"/>
                  <w:b w:val="false"/>
                  <w:color w:val="0000FF"/>
                  <w:sz w:val="20"/>
                  <w:u w:val="single"/>
                </w:rPr>
                <w:t>NMI Holdings, Inc. 2012 Stock Incentive Plan</w:t>
              </w:r>
            </w:hyperlink>
            <w:r>
              <w:rPr>
                <w:color w:val="000000"/>
              </w:rPr>
              <w:t xml:space="preserve"> </w:t>
            </w:r>
            <w:r>
              <w:rPr>
                <w:rFonts w:ascii="Times New Roman;sans-serif" w:hAnsi="Times New Roman;sans-serif"/>
                <w:b w:val="false"/>
                <w:color w:val="000000"/>
                <w:sz w:val="20"/>
              </w:rPr>
              <w:t>(incorporated herein by reference to Exhibit 10.1 to our Form S-1 Registration Statement (Registration No. 333-191635), filed on October 9, 2013)</w:t>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ans-serif" w:hAnsi="Times New Roman;sans-serif"/>
                  <w:b w:val="false"/>
                  <w:color w:val="0000FF"/>
                  <w:sz w:val="20"/>
                  <w:u w:val="single"/>
                </w:rPr>
                <w:t>Form of NMI Holdings, Inc. 2012 Stock Incentive Plan Nonqualified Stock Option Award Agreement (For CEO and CFO)</w:t>
              </w:r>
            </w:hyperlink>
            <w:r>
              <w:rPr>
                <w:color w:val="000000"/>
              </w:rPr>
              <w:t xml:space="preserve"> </w:t>
            </w:r>
            <w:r>
              <w:rPr>
                <w:rFonts w:ascii="Times New Roman;sans-serif" w:hAnsi="Times New Roman;sans-serif"/>
                <w:b w:val="false"/>
                <w:color w:val="000000"/>
                <w:sz w:val="20"/>
              </w:rPr>
              <w:t>(incorporated herein by reference to Exhibit 10.5 to our Form S-1 Registration Statement (Registration No. 333-191635), filed on October 9, 2013)</w:t>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ans-serif" w:hAnsi="Times New Roman;sans-serif"/>
                  <w:b w:val="false"/>
                  <w:color w:val="0000FF"/>
                  <w:sz w:val="20"/>
                  <w:u w:val="single"/>
                </w:rPr>
                <w:t>Form of NMI Holdings, Inc. 2012 Stock Incentive Plan Nonqualified Stock Option Award Agreement (For Management)</w:t>
              </w:r>
            </w:hyperlink>
            <w:r>
              <w:rPr>
                <w:color w:val="000000"/>
              </w:rPr>
              <w:t xml:space="preserve"> </w:t>
            </w:r>
            <w:r>
              <w:rPr>
                <w:rFonts w:ascii="Times New Roman;sans-serif" w:hAnsi="Times New Roman;sans-serif"/>
                <w:b w:val="false"/>
                <w:color w:val="000000"/>
                <w:sz w:val="20"/>
              </w:rPr>
              <w:t>(incorporated herein by reference to Exhibit 10.6 to our Form S-1 Registration Statement (Registration No. 333-191635), filed on October 9, 2013)</w:t>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ans-serif" w:hAnsi="Times New Roman;sans-serif"/>
                  <w:b w:val="false"/>
                  <w:color w:val="0000FF"/>
                  <w:sz w:val="20"/>
                  <w:u w:val="single"/>
                </w:rPr>
                <w:t>Form of NMI Holdings, Inc. 2012 Stock Incentive Plan Nonqualified Stock Option Award Agreement (For Non-Employee Directors)</w:t>
              </w:r>
            </w:hyperlink>
            <w:r>
              <w:rPr>
                <w:color w:val="000000"/>
              </w:rPr>
              <w:t xml:space="preserve"> </w:t>
            </w:r>
            <w:r>
              <w:rPr>
                <w:rFonts w:ascii="Times New Roman;sans-serif" w:hAnsi="Times New Roman;sans-serif"/>
                <w:b w:val="false"/>
                <w:color w:val="000000"/>
                <w:sz w:val="20"/>
              </w:rPr>
              <w:t>(incorporated herein by reference to Exhibit 10.7 to our Form S-1 Registration Statement (Registration No. 333-191635), filed on October 9, 2013)</w:t>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ans-serif" w:hAnsi="Times New Roman;sans-serif"/>
                  <w:b w:val="false"/>
                  <w:color w:val="0000FF"/>
                  <w:sz w:val="20"/>
                  <w:u w:val="single"/>
                </w:rPr>
                <w:t>Form of NMI Holdings, Inc. 2012 Stock Incentive Plan Nonqualified Stock Option Award Agreement (For CEO/CFO)</w:t>
              </w:r>
            </w:hyperlink>
            <w:r>
              <w:rPr>
                <w:color w:val="000000"/>
              </w:rPr>
              <w:t xml:space="preserve"> </w:t>
            </w:r>
            <w:r>
              <w:rPr>
                <w:rFonts w:ascii="Times New Roman;sans-serif" w:hAnsi="Times New Roman;sans-serif"/>
                <w:b w:val="false"/>
                <w:color w:val="000000"/>
                <w:sz w:val="20"/>
              </w:rPr>
              <w:t>(incorporated herein by reference to Exhibit 10.8 to our Form 10-K, filed on February 17, 2017)</w:t>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ans-serif" w:hAnsi="Times New Roman;sans-serif"/>
                  <w:b w:val="false"/>
                  <w:color w:val="0000FF"/>
                  <w:sz w:val="20"/>
                  <w:u w:val="single"/>
                </w:rPr>
                <w:t>Form of NMI Holdings, Inc. 2012 Stock Incentive Plan Nonqualified Stock Option Award Agreement (For Employees)</w:t>
              </w:r>
            </w:hyperlink>
            <w:r>
              <w:rPr>
                <w:color w:val="000000"/>
              </w:rPr>
              <w:t xml:space="preserve"> </w:t>
            </w:r>
            <w:r>
              <w:rPr>
                <w:rFonts w:ascii="Times New Roman;sans-serif" w:hAnsi="Times New Roman;sans-serif"/>
                <w:b w:val="false"/>
                <w:color w:val="000000"/>
                <w:sz w:val="20"/>
              </w:rPr>
              <w:t>(incorporated herein by reference to Exhibit 10.9 to our Form 10-K, filed on February 17, 2017)</w:t>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ans-serif" w:hAnsi="Times New Roman;sans-serif"/>
                  <w:b w:val="false"/>
                  <w:color w:val="0000FF"/>
                  <w:sz w:val="20"/>
                  <w:u w:val="single"/>
                </w:rPr>
                <w:t xml:space="preserve">Form of NMI Holdings, Inc. 2012 Stock Incentive Plan Nonqualified Stock Option Agreement (For Employees) </w:t>
              </w:r>
            </w:hyperlink>
            <w:r>
              <w:rPr>
                <w:rFonts w:ascii="Times New Roman;sans-serif" w:hAnsi="Times New Roman;sans-serif"/>
                <w:b w:val="false"/>
                <w:color w:val="000000"/>
                <w:sz w:val="20"/>
              </w:rPr>
              <w:t>(incorporated herein by reference to Exhibit 10.32 to our Form 10-Q, filed on May 2, 2019)</w:t>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5">
              <w:r>
                <w:rPr>
                  <w:rStyle w:val="InternetLink"/>
                  <w:rFonts w:ascii="Times New Roman;sans-serif" w:hAnsi="Times New Roman;sans-serif"/>
                  <w:b w:val="false"/>
                  <w:color w:val="0000FF"/>
                  <w:sz w:val="20"/>
                  <w:u w:val="single"/>
                </w:rPr>
                <w:t>NMI Holdings, Inc. Amended and Restated 2014 Omnibus Incentive Plan</w:t>
              </w:r>
            </w:hyperlink>
            <w:r>
              <w:rPr>
                <w:color w:val="000000"/>
              </w:rPr>
              <w:t xml:space="preserve"> </w:t>
            </w:r>
            <w:r>
              <w:rPr>
                <w:rFonts w:ascii="Times New Roman;sans-serif" w:hAnsi="Times New Roman;sans-serif"/>
                <w:b w:val="false"/>
                <w:color w:val="000000"/>
                <w:sz w:val="20"/>
              </w:rPr>
              <w:t>(incorporated herein by reference to Appendix A to our 2022 Annual Proxy Statement, filed on March 29, 2022)</w:t>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6">
              <w:r>
                <w:rPr>
                  <w:rStyle w:val="InternetLink"/>
                  <w:rFonts w:ascii="Times New Roman;sans-serif" w:hAnsi="Times New Roman;sans-serif"/>
                  <w:b w:val="false"/>
                  <w:color w:val="0000FF"/>
                  <w:sz w:val="20"/>
                  <w:u w:val="single"/>
                </w:rPr>
                <w:t>Form of NMI Holdings, Inc. Amended and Restated 2014 Omnibus Incentive Plan Nonqualified Stock Option Award Agreement (For CEO)</w:t>
              </w:r>
            </w:hyperlink>
            <w:r>
              <w:rPr>
                <w:color w:val="000000"/>
              </w:rPr>
              <w:t xml:space="preserve"> </w:t>
            </w:r>
            <w:r>
              <w:rPr>
                <w:rFonts w:ascii="Times New Roman;sans-serif" w:hAnsi="Times New Roman;sans-serif"/>
                <w:b w:val="false"/>
                <w:color w:val="000000"/>
                <w:sz w:val="20"/>
              </w:rPr>
              <w:t>(incorporated herein by reference to Exhibit 10.23 to our Form 10-Q filed on August 1, 2017)</w:t>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7">
              <w:r>
                <w:rPr>
                  <w:rStyle w:val="InternetLink"/>
                  <w:rFonts w:ascii="Times New Roman;sans-serif" w:hAnsi="Times New Roman;sans-serif"/>
                  <w:b w:val="false"/>
                  <w:color w:val="0000FF"/>
                  <w:sz w:val="20"/>
                  <w:u w:val="single"/>
                </w:rPr>
                <w:t>Form of NMI Holdings, Inc. Amended and Restated 2014 Omnibus Incentive Plan Nonqualified Stock Option Award Agreement (For Executive Officers and Employees</w:t>
              </w:r>
            </w:hyperlink>
            <w:r>
              <w:rPr>
                <w:rFonts w:ascii="Times New Roman;sans-serif" w:hAnsi="Times New Roman;sans-serif"/>
                <w:b w:val="false"/>
                <w:color w:val="000000"/>
                <w:sz w:val="20"/>
              </w:rPr>
              <w:t>) (incorporated herein by reference to Exhibit 10.24 to our Form 10-Q filed on August 1, 2017)</w:t>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8">
              <w:r>
                <w:rPr>
                  <w:rStyle w:val="InternetLink"/>
                  <w:rFonts w:ascii="Times New Roman;sans-serif" w:hAnsi="Times New Roman;sans-serif"/>
                  <w:b w:val="false"/>
                  <w:color w:val="0000FF"/>
                  <w:sz w:val="20"/>
                  <w:u w:val="single"/>
                </w:rPr>
                <w:t>Form of NMI Holdings, Inc. Amended and Restated 2014 Omnibus Incentive Plan Restricted Stock Unit Award Agreement (Performance Based)</w:t>
              </w:r>
            </w:hyperlink>
            <w:r>
              <w:rPr>
                <w:color w:val="000000"/>
              </w:rPr>
              <w:t xml:space="preserve"> </w:t>
            </w:r>
            <w:r>
              <w:rPr>
                <w:rFonts w:ascii="Times New Roman;sans-serif" w:hAnsi="Times New Roman;sans-serif"/>
                <w:b w:val="false"/>
                <w:color w:val="000000"/>
                <w:sz w:val="20"/>
              </w:rPr>
              <w:t>(incorporated herein by reference to Exhibit 10.38 to our Form 10-Q, filed on May 7, 2020)</w:t>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9">
              <w:r>
                <w:rPr>
                  <w:rStyle w:val="InternetLink"/>
                  <w:rFonts w:ascii="Times New Roman;sans-serif" w:hAnsi="Times New Roman;sans-serif"/>
                  <w:b w:val="false"/>
                  <w:color w:val="0000FF"/>
                  <w:sz w:val="20"/>
                  <w:u w:val="single"/>
                </w:rPr>
                <w:t>Form of NMI Holdings, Inc. Amended and Restated 2014 Omnibus Incentive Plan Restricted Stock Unit Award Agreement (For Independent Directors)</w:t>
              </w:r>
            </w:hyperlink>
            <w:r>
              <w:rPr>
                <w:color w:val="000000"/>
              </w:rPr>
              <w:t xml:space="preserve"> </w:t>
            </w:r>
            <w:r>
              <w:rPr>
                <w:rFonts w:ascii="Times New Roman;sans-serif" w:hAnsi="Times New Roman;sans-serif"/>
                <w:b w:val="false"/>
                <w:color w:val="000000"/>
                <w:sz w:val="20"/>
              </w:rPr>
              <w:t>(incorporated herein by reference to Exhibit 10.20 to our Form 10-K, filed on February 15, 2024)</w:t>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10.13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0">
              <w:r>
                <w:rPr>
                  <w:rStyle w:val="InternetLink"/>
                  <w:rFonts w:ascii="Times New Roman;sans-serif" w:hAnsi="Times New Roman;sans-serif"/>
                  <w:b w:val="false"/>
                  <w:color w:val="0000FF"/>
                  <w:sz w:val="20"/>
                  <w:u w:val="single"/>
                </w:rPr>
                <w:t>Form of NMI Holdings, Inc. Amended and Restated 2014 Omnibus Incentive Plan Restricted Stock Unit Award Agreement (For Employees</w:t>
              </w:r>
            </w:hyperlink>
            <w:r>
              <w:rPr>
                <w:rFonts w:ascii="Times New Roman;sans-serif" w:hAnsi="Times New Roman;sans-serif"/>
                <w:b w:val="false"/>
                <w:color w:val="000000"/>
                <w:sz w:val="20"/>
              </w:rPr>
              <w:t>) (incorporated herein by reference to Exhibit 10.12 to our Form 10-K, filed on February 14, 2025)</w:t>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10.14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1">
              <w:r>
                <w:rPr>
                  <w:rStyle w:val="InternetLink"/>
                  <w:rFonts w:ascii="Times New Roman;sans-serif" w:hAnsi="Times New Roman;sans-serif"/>
                  <w:b w:val="false"/>
                  <w:color w:val="0000FF"/>
                  <w:sz w:val="20"/>
                  <w:u w:val="single"/>
                </w:rPr>
                <w:t>Form of NMI Holdings, Inc. Amended and Restated 2014 Omnibus Incentive Plan Restricted Stock Unit Award Agreement (For Executives)</w:t>
              </w:r>
            </w:hyperlink>
            <w:r>
              <w:rPr>
                <w:color w:val="000000"/>
              </w:rPr>
              <w:t xml:space="preserve"> </w:t>
            </w:r>
            <w:r>
              <w:rPr>
                <w:rFonts w:ascii="Times New Roman;sans-serif" w:hAnsi="Times New Roman;sans-serif"/>
                <w:b w:val="false"/>
                <w:color w:val="000000"/>
                <w:sz w:val="20"/>
              </w:rPr>
              <w:t>(incorporated herein by reference to Exhibit 10.22 to our Form 10-K, filed on February 15, 2024)</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24"/>
        <w:gridCol w:w="197"/>
        <w:gridCol w:w="199"/>
        <w:gridCol w:w="109"/>
        <w:gridCol w:w="109"/>
        <w:gridCol w:w="109"/>
        <w:gridCol w:w="2825"/>
        <w:gridCol w:w="2664"/>
        <w:gridCol w:w="3769"/>
      </w:tblGrid>
      <w:tr>
        <w:trPr/>
        <w:tc>
          <w:tcPr>
            <w:tcW w:w="22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5" w:type="dxa"/>
            <w:tcBorders/>
            <w:vAlign w:val="center"/>
          </w:tcPr>
          <w:p>
            <w:pPr>
              <w:pStyle w:val="TableContents"/>
              <w:bidi w:val="0"/>
              <w:spacing w:before="0" w:after="283"/>
              <w:jc w:val="left"/>
              <w:rPr>
                <w:sz w:val="4"/>
                <w:szCs w:val="4"/>
              </w:rPr>
            </w:pPr>
            <w:r>
              <w:rPr>
                <w:sz w:val="4"/>
                <w:szCs w:val="4"/>
              </w:rPr>
            </w:r>
          </w:p>
        </w:tc>
        <w:tc>
          <w:tcPr>
            <w:tcW w:w="2664" w:type="dxa"/>
            <w:tcBorders/>
            <w:vAlign w:val="center"/>
          </w:tcPr>
          <w:p>
            <w:pPr>
              <w:pStyle w:val="TableContents"/>
              <w:bidi w:val="0"/>
              <w:spacing w:before="0" w:after="283"/>
              <w:jc w:val="left"/>
              <w:rPr>
                <w:sz w:val="4"/>
                <w:szCs w:val="4"/>
              </w:rPr>
            </w:pPr>
            <w:r>
              <w:rPr>
                <w:sz w:val="4"/>
                <w:szCs w:val="4"/>
              </w:rPr>
            </w:r>
          </w:p>
        </w:tc>
        <w:tc>
          <w:tcPr>
            <w:tcW w:w="3769" w:type="dxa"/>
            <w:tcBorders/>
            <w:vAlign w:val="center"/>
          </w:tcPr>
          <w:p>
            <w:pPr>
              <w:pStyle w:val="TableContents"/>
              <w:bidi w:val="0"/>
              <w:spacing w:before="0" w:after="283"/>
              <w:jc w:val="left"/>
              <w:rPr>
                <w:sz w:val="4"/>
                <w:szCs w:val="4"/>
              </w:rPr>
            </w:pPr>
            <w:r>
              <w:rPr>
                <w:sz w:val="4"/>
                <w:szCs w:val="4"/>
              </w:rPr>
            </w:r>
          </w:p>
        </w:tc>
      </w:tr>
      <w:tr>
        <w:trPr/>
        <w:tc>
          <w:tcPr>
            <w:tcW w:w="6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10.15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2">
              <w:r>
                <w:rPr>
                  <w:rStyle w:val="InternetLink"/>
                  <w:rFonts w:ascii="Times New Roman;sans-serif" w:hAnsi="Times New Roman;sans-serif"/>
                  <w:b w:val="false"/>
                  <w:color w:val="0000FF"/>
                  <w:sz w:val="20"/>
                  <w:u w:val="single"/>
                </w:rPr>
                <w:t>Form of NMI Holdings, Inc. Amended and Restated 2014 Omnibus Incentive Plan Restricted Stock Unit Award Agreement (For Employees)</w:t>
              </w:r>
            </w:hyperlink>
            <w:r>
              <w:rPr>
                <w:color w:val="000000"/>
              </w:rPr>
              <w:t xml:space="preserve"> </w:t>
            </w:r>
            <w:r>
              <w:rPr>
                <w:rFonts w:ascii="Times New Roman;sans-serif" w:hAnsi="Times New Roman;sans-serif"/>
                <w:b w:val="false"/>
                <w:color w:val="000000"/>
                <w:sz w:val="20"/>
              </w:rPr>
              <w:t>(incorporated herein by reference to Exhibit 10.23 to our Form 10-K, filed on February 15, 2024)</w:t>
            </w:r>
          </w:p>
        </w:tc>
      </w:tr>
      <w:tr>
        <w:trPr/>
        <w:tc>
          <w:tcPr>
            <w:tcW w:w="6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10.16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3">
              <w:r>
                <w:rPr>
                  <w:rStyle w:val="InternetLink"/>
                  <w:rFonts w:ascii="Times New Roman;sans-serif" w:hAnsi="Times New Roman;sans-serif"/>
                  <w:b w:val="false"/>
                  <w:color w:val="0000FF"/>
                  <w:sz w:val="20"/>
                  <w:u w:val="single"/>
                </w:rPr>
                <w:t>Form of NMI Holdings, Inc. Amended and Restated 2014 Omnibus Incentive Plan Restricted Stock Unit Award Agreement (Performance Based)</w:t>
              </w:r>
            </w:hyperlink>
            <w:r>
              <w:rPr>
                <w:color w:val="000000"/>
              </w:rPr>
              <w:t xml:space="preserve"> </w:t>
            </w:r>
            <w:r>
              <w:rPr>
                <w:rFonts w:ascii="Times New Roman;sans-serif" w:hAnsi="Times New Roman;sans-serif"/>
                <w:b w:val="false"/>
                <w:color w:val="000000"/>
                <w:sz w:val="20"/>
              </w:rPr>
              <w:t>(incorporated herein by reference to Exhibit 10.24 to our Form 10-K, filed on February 15, 2024)</w:t>
            </w:r>
          </w:p>
        </w:tc>
      </w:tr>
      <w:tr>
        <w:trPr/>
        <w:tc>
          <w:tcPr>
            <w:tcW w:w="6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10.17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4">
              <w:r>
                <w:rPr>
                  <w:rStyle w:val="InternetLink"/>
                  <w:rFonts w:ascii="Times New Roman;sans-serif" w:hAnsi="Times New Roman;sans-serif"/>
                  <w:b w:val="false"/>
                  <w:color w:val="0000FF"/>
                  <w:sz w:val="20"/>
                  <w:u w:val="single"/>
                </w:rPr>
                <w:t>Form of NMI Holdings, Inc. Amended and Restated 2014 Omnibus Incentive Plan Nonqualified Stock Option Agreement (For Employees</w:t>
              </w:r>
            </w:hyperlink>
            <w:r>
              <w:rPr>
                <w:rFonts w:ascii="Times New Roman;sans-serif" w:hAnsi="Times New Roman;sans-serif"/>
                <w:b w:val="false"/>
                <w:color w:val="000000"/>
                <w:sz w:val="20"/>
              </w:rPr>
              <w:t>) (incorporated herein by reference to Exhibit 10.35 to our Form 10-Q, filed on May 2, 2019)</w:t>
            </w:r>
          </w:p>
        </w:tc>
      </w:tr>
      <w:tr>
        <w:trPr/>
        <w:tc>
          <w:tcPr>
            <w:tcW w:w="6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10.18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5">
              <w:r>
                <w:rPr>
                  <w:rStyle w:val="InternetLink"/>
                  <w:rFonts w:ascii="Times New Roman;sans-serif" w:hAnsi="Times New Roman;sans-serif"/>
                  <w:b w:val="false"/>
                  <w:color w:val="0000FF"/>
                  <w:sz w:val="20"/>
                  <w:u w:val="single"/>
                </w:rPr>
                <w:t>Form of NMI Holdings, Inc. Amended and Restated 2014 Omnibus Incentive Plan Restricted Stock Unit Award Agreement (For Executives)</w:t>
              </w:r>
            </w:hyperlink>
            <w:r>
              <w:rPr>
                <w:color w:val="000000"/>
              </w:rPr>
              <w:t xml:space="preserve"> </w:t>
            </w:r>
            <w:r>
              <w:rPr>
                <w:rFonts w:ascii="Times New Roman;sans-serif" w:hAnsi="Times New Roman;sans-serif"/>
                <w:b w:val="false"/>
                <w:color w:val="000000"/>
                <w:sz w:val="20"/>
              </w:rPr>
              <w:t>(incorporated herein by reference to Exhibit 10.18 to our Form 10-K, filed on February 14, 2025)</w:t>
            </w:r>
          </w:p>
        </w:tc>
      </w:tr>
      <w:tr>
        <w:trPr/>
        <w:tc>
          <w:tcPr>
            <w:tcW w:w="6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10.19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6">
              <w:r>
                <w:rPr>
                  <w:rStyle w:val="InternetLink"/>
                  <w:rFonts w:ascii="Times New Roman;sans-serif" w:hAnsi="Times New Roman;sans-serif"/>
                  <w:b w:val="false"/>
                  <w:color w:val="0000FF"/>
                  <w:sz w:val="20"/>
                  <w:u w:val="single"/>
                </w:rPr>
                <w:t>Form of NMI Holdings, Inc. Amended and Restated 2014 Omnibus Incentive Plan Restricted Stock Unit Award Agreement (For Employees)</w:t>
              </w:r>
            </w:hyperlink>
            <w:r>
              <w:rPr>
                <w:color w:val="000000"/>
              </w:rPr>
              <w:t xml:space="preserve"> </w:t>
            </w:r>
            <w:r>
              <w:rPr>
                <w:rFonts w:ascii="Times New Roman;sans-serif" w:hAnsi="Times New Roman;sans-serif"/>
                <w:b w:val="false"/>
                <w:color w:val="000000"/>
                <w:sz w:val="20"/>
              </w:rPr>
              <w:t>(incorporated herein by reference to Exhibit 10.18 to our Form 10-K, filed on February 14, 2025)</w:t>
            </w:r>
          </w:p>
        </w:tc>
      </w:tr>
      <w:tr>
        <w:trPr/>
        <w:tc>
          <w:tcPr>
            <w:tcW w:w="6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7">
              <w:r>
                <w:rPr>
                  <w:rStyle w:val="InternetLink"/>
                  <w:rFonts w:ascii="Times New Roman;sans-serif" w:hAnsi="Times New Roman;sans-serif"/>
                  <w:b w:val="false"/>
                  <w:color w:val="0000FF"/>
                  <w:sz w:val="20"/>
                  <w:u w:val="single"/>
                </w:rPr>
                <w:t>Form of NMI Holdings, Inc. Amended and Restated 2014 Omnibus Incentive Plan Restricted Stock Unit Award Agreement (Performance Based)</w:t>
              </w:r>
            </w:hyperlink>
            <w:r>
              <w:rPr>
                <w:color w:val="000000"/>
              </w:rPr>
              <w:t xml:space="preserve"> </w:t>
            </w:r>
            <w:r>
              <w:rPr>
                <w:rFonts w:ascii="Times New Roman;sans-serif" w:hAnsi="Times New Roman;sans-serif"/>
                <w:b w:val="false"/>
                <w:color w:val="000000"/>
                <w:sz w:val="20"/>
              </w:rPr>
              <w:t>(incorporated herein by reference to Exhibit 10.18 to our Form 10-K, filed on February 14, 2025)</w:t>
            </w:r>
          </w:p>
        </w:tc>
      </w:tr>
      <w:tr>
        <w:trPr/>
        <w:tc>
          <w:tcPr>
            <w:tcW w:w="6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8">
              <w:r>
                <w:rPr>
                  <w:rStyle w:val="InternetLink"/>
                  <w:rFonts w:ascii="Times New Roman;sans-serif" w:hAnsi="Times New Roman;sans-serif"/>
                  <w:b w:val="false"/>
                  <w:color w:val="0000FF"/>
                  <w:sz w:val="20"/>
                  <w:u w:val="single"/>
                </w:rPr>
                <w:t>Form of Indemnification Agreement between NMI Holdings, Inc. and its directors and certain executive officers</w:t>
              </w:r>
            </w:hyperlink>
            <w:r>
              <w:rPr>
                <w:color w:val="000000"/>
              </w:rPr>
              <w:t xml:space="preserve"> </w:t>
            </w:r>
            <w:r>
              <w:rPr>
                <w:rFonts w:ascii="Times New Roman;sans-serif" w:hAnsi="Times New Roman;sans-serif"/>
                <w:b w:val="false"/>
                <w:color w:val="000000"/>
                <w:sz w:val="20"/>
              </w:rPr>
              <w:t xml:space="preserve">(incorporated herein by reference to Exhibit 10.1 to our Form 8-K, filed on November 25, 2014) </w:t>
            </w:r>
          </w:p>
        </w:tc>
      </w:tr>
      <w:tr>
        <w:trPr/>
        <w:tc>
          <w:tcPr>
            <w:tcW w:w="6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9">
              <w:r>
                <w:rPr>
                  <w:rStyle w:val="InternetLink"/>
                  <w:rFonts w:ascii="Times New Roman;sans-serif" w:hAnsi="Times New Roman;sans-serif"/>
                  <w:b w:val="false"/>
                  <w:color w:val="0000FF"/>
                  <w:sz w:val="20"/>
                  <w:u w:val="single"/>
                </w:rPr>
                <w:t>NMI Holdings, Inc. Severance Benefit Plan</w:t>
              </w:r>
            </w:hyperlink>
            <w:r>
              <w:rPr>
                <w:color w:val="000000"/>
              </w:rPr>
              <w:t xml:space="preserve"> </w:t>
            </w:r>
            <w:r>
              <w:rPr>
                <w:rFonts w:ascii="Times New Roman;sans-serif" w:hAnsi="Times New Roman;sans-serif"/>
                <w:b w:val="false"/>
                <w:color w:val="000000"/>
                <w:sz w:val="20"/>
              </w:rPr>
              <w:t>(incorporated herein by reference to Exhibit 10.1 to our Form 8-K, filed on February 17, 2016)</w:t>
            </w:r>
          </w:p>
        </w:tc>
      </w:tr>
      <w:tr>
        <w:trPr/>
        <w:tc>
          <w:tcPr>
            <w:tcW w:w="6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10.23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0">
              <w:r>
                <w:rPr>
                  <w:rStyle w:val="InternetLink"/>
                  <w:rFonts w:ascii="Times New Roman;sans-serif" w:hAnsi="Times New Roman;sans-serif"/>
                  <w:b w:val="false"/>
                  <w:color w:val="0000FF"/>
                  <w:sz w:val="20"/>
                  <w:u w:val="single"/>
                </w:rPr>
                <w:t>NMI Holdings, Inc. Amended and Restated Change in Control Severance Benefit Plan</w:t>
              </w:r>
            </w:hyperlink>
            <w:r>
              <w:rPr>
                <w:color w:val="000000"/>
              </w:rPr>
              <w:t xml:space="preserve"> </w:t>
            </w:r>
            <w:r>
              <w:rPr>
                <w:rFonts w:ascii="Times New Roman;sans-serif" w:hAnsi="Times New Roman;sans-serif"/>
                <w:b w:val="false"/>
                <w:color w:val="000000"/>
                <w:sz w:val="20"/>
              </w:rPr>
              <w:t>(incorporated herein by reference to Exhibit 10.30 to our Form 10-Q, filed on October 30, 2018)</w:t>
            </w:r>
          </w:p>
        </w:tc>
      </w:tr>
      <w:tr>
        <w:trPr/>
        <w:tc>
          <w:tcPr>
            <w:tcW w:w="6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10.24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1">
              <w:r>
                <w:rPr>
                  <w:rStyle w:val="InternetLink"/>
                  <w:rFonts w:ascii="Times New Roman;sans-serif" w:hAnsi="Times New Roman;sans-serif"/>
                  <w:b w:val="false"/>
                  <w:color w:val="0000FF"/>
                  <w:sz w:val="20"/>
                  <w:u w:val="single"/>
                </w:rPr>
                <w:t>NMI Holdings, Inc. Clawback Policy</w:t>
              </w:r>
            </w:hyperlink>
            <w:r>
              <w:rPr>
                <w:color w:val="000000"/>
              </w:rPr>
              <w:t xml:space="preserve"> </w:t>
            </w:r>
            <w:r>
              <w:rPr>
                <w:rFonts w:ascii="Times New Roman;sans-serif" w:hAnsi="Times New Roman;sans-serif"/>
                <w:b w:val="false"/>
                <w:color w:val="000000"/>
                <w:sz w:val="20"/>
              </w:rPr>
              <w:t>(incorporated herein by reference to Exhibit 10.2 to our Form 8-K, filed on February 23, 2017)</w:t>
            </w:r>
          </w:p>
        </w:tc>
      </w:tr>
      <w:tr>
        <w:trPr/>
        <w:tc>
          <w:tcPr>
            <w:tcW w:w="6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10.25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2">
              <w:r>
                <w:rPr>
                  <w:rStyle w:val="InternetLink"/>
                  <w:rFonts w:ascii="Times New Roman;sans-serif" w:hAnsi="Times New Roman;sans-serif"/>
                  <w:b w:val="false"/>
                  <w:color w:val="0000FF"/>
                  <w:sz w:val="20"/>
                  <w:u w:val="single"/>
                </w:rPr>
                <w:t>Offer Letter by and between NMI Holdings, Inc. and William Leatherberry, dated July 11, 2014</w:t>
              </w:r>
            </w:hyperlink>
            <w:r>
              <w:rPr>
                <w:color w:val="000000"/>
              </w:rPr>
              <w:t xml:space="preserve"> </w:t>
            </w:r>
            <w:r>
              <w:rPr>
                <w:rFonts w:ascii="Times New Roman;sans-serif" w:hAnsi="Times New Roman;sans-serif"/>
                <w:b w:val="false"/>
                <w:color w:val="000000"/>
                <w:sz w:val="20"/>
              </w:rPr>
              <w:t>(incorporated herein by reference to Exhibit 10.10 to our Form 10-Q, filed on April 28, 2016)</w:t>
            </w:r>
          </w:p>
        </w:tc>
      </w:tr>
      <w:tr>
        <w:trPr/>
        <w:tc>
          <w:tcPr>
            <w:tcW w:w="6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10.26 ~</w:t>
            </w:r>
          </w:p>
          <w:p>
            <w:pPr>
              <w:pStyle w:val="TableContents"/>
              <w:bidi w:val="0"/>
              <w:spacing w:before="0" w:after="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3">
              <w:r>
                <w:rPr>
                  <w:rStyle w:val="InternetLink"/>
                  <w:rFonts w:ascii="Times New Roman;sans-serif" w:hAnsi="Times New Roman;sans-serif"/>
                  <w:b w:val="false"/>
                  <w:color w:val="0000FF"/>
                  <w:sz w:val="20"/>
                  <w:u w:val="single"/>
                </w:rPr>
                <w:t>Employment Letter by and between NMI Holdings, Inc. and Bradley M. Shuster, effective as of January 1, 2019</w:t>
              </w:r>
            </w:hyperlink>
            <w:r>
              <w:rPr>
                <w:color w:val="000000"/>
              </w:rPr>
              <w:t xml:space="preserve"> </w:t>
            </w:r>
            <w:r>
              <w:rPr>
                <w:rFonts w:ascii="Times New Roman;sans-serif" w:hAnsi="Times New Roman;sans-serif"/>
                <w:b w:val="false"/>
                <w:color w:val="000000"/>
                <w:sz w:val="20"/>
              </w:rPr>
              <w:t>(incorporated herein by reference to Exhibit 10.1 to our Form 8-K, filed on December 28, 2018)</w:t>
            </w:r>
          </w:p>
        </w:tc>
      </w:tr>
      <w:tr>
        <w:trPr/>
        <w:tc>
          <w:tcPr>
            <w:tcW w:w="6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10.27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4">
              <w:r>
                <w:rPr>
                  <w:rStyle w:val="InternetLink"/>
                  <w:rFonts w:ascii="Times New Roman;sans-serif" w:hAnsi="Times New Roman;sans-serif"/>
                  <w:b w:val="false"/>
                  <w:color w:val="0000FF"/>
                  <w:sz w:val="20"/>
                  <w:u w:val="single"/>
                </w:rPr>
                <w:t xml:space="preserve">Offer Letter by and between NMI Holdings, Inc. and Adam Pollitzer, dated September 9, 2021 </w:t>
              </w:r>
            </w:hyperlink>
            <w:r>
              <w:rPr>
                <w:rFonts w:ascii="Times New Roman;sans-serif" w:hAnsi="Times New Roman;sans-serif"/>
                <w:b w:val="false"/>
                <w:color w:val="000000"/>
                <w:sz w:val="20"/>
              </w:rPr>
              <w:t>(incorporated herein by reference to Exhibit 10.1 to our Form 8-K, filed on September 9, 2021)</w:t>
            </w:r>
          </w:p>
        </w:tc>
      </w:tr>
      <w:tr>
        <w:trPr/>
        <w:tc>
          <w:tcPr>
            <w:tcW w:w="6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10.28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5">
              <w:r>
                <w:rPr>
                  <w:rStyle w:val="InternetLink"/>
                  <w:rFonts w:ascii="Times New Roman;sans-serif" w:hAnsi="Times New Roman;sans-serif"/>
                  <w:b w:val="false"/>
                  <w:color w:val="0000FF"/>
                  <w:sz w:val="20"/>
                  <w:u w:val="single"/>
                </w:rPr>
                <w:t>Offer Letter by and between NMI Holdings, Inc. and Aurora Swithenbank, dated March 1, 2024</w:t>
              </w:r>
            </w:hyperlink>
            <w:r>
              <w:rPr>
                <w:color w:val="000000"/>
              </w:rPr>
              <w:t xml:space="preserve"> </w:t>
            </w:r>
            <w:r>
              <w:rPr>
                <w:rFonts w:ascii="Times New Roman;sans-serif" w:hAnsi="Times New Roman;sans-serif"/>
                <w:b w:val="false"/>
                <w:color w:val="000000"/>
                <w:sz w:val="20"/>
              </w:rPr>
              <w:t>(incorporated herein by reference to Exhibit 10.1 to our Form 8-K, filed on March 4, 2024)</w:t>
            </w:r>
          </w:p>
        </w:tc>
      </w:tr>
      <w:tr>
        <w:trPr/>
        <w:tc>
          <w:tcPr>
            <w:tcW w:w="6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10.29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6">
              <w:r>
                <w:rPr>
                  <w:rStyle w:val="InternetLink"/>
                  <w:rFonts w:ascii="Times New Roman;sans-serif" w:hAnsi="Times New Roman;sans-serif"/>
                  <w:b w:val="false"/>
                  <w:color w:val="0000FF"/>
                  <w:sz w:val="20"/>
                  <w:u w:val="single"/>
                </w:rPr>
                <w:t>Offer letter by and between NMI Holdings, Inc. and Ravi Mallela, dated December 20, 2021</w:t>
              </w:r>
            </w:hyperlink>
            <w:r>
              <w:rPr>
                <w:color w:val="000000"/>
              </w:rPr>
              <w:t xml:space="preserve"> </w:t>
            </w:r>
            <w:r>
              <w:rPr>
                <w:rFonts w:ascii="Times New Roman;sans-serif" w:hAnsi="Times New Roman;sans-serif"/>
                <w:b w:val="false"/>
                <w:color w:val="000000"/>
                <w:sz w:val="20"/>
              </w:rPr>
              <w:t>(incorporated herein by reference to Exhibit 10.1 to our Form 8-K, filed on December 21, 2021)</w:t>
            </w:r>
          </w:p>
        </w:tc>
      </w:tr>
      <w:tr>
        <w:trPr/>
        <w:tc>
          <w:tcPr>
            <w:tcW w:w="6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7">
              <w:r>
                <w:rPr>
                  <w:rStyle w:val="InternetLink"/>
                  <w:rFonts w:ascii="Times New Roman;sans-serif" w:hAnsi="Times New Roman;sans-serif"/>
                  <w:b w:val="false"/>
                  <w:color w:val="0000FF"/>
                  <w:sz w:val="20"/>
                  <w:u w:val="single"/>
                </w:rPr>
                <w:t>Offer Letter by and between NMI Holdings, Inc. and Aurora Swithenbank, dated March 1, 202</w:t>
              </w:r>
            </w:hyperlink>
            <w:r>
              <w:rPr>
                <w:rFonts w:ascii="Times New Roman;sans-serif" w:hAnsi="Times New Roman;sans-serif"/>
                <w:b w:val="false"/>
                <w:color w:val="000000"/>
                <w:sz w:val="20"/>
              </w:rPr>
              <w:t>4 (incorporated herein by reference to Exhibit 10.1 to our Form 8-K, filed on March 4, 2024)</w:t>
            </w:r>
          </w:p>
        </w:tc>
      </w:tr>
      <w:tr>
        <w:trPr/>
        <w:tc>
          <w:tcPr>
            <w:tcW w:w="6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8">
              <w:r>
                <w:rPr>
                  <w:rStyle w:val="InternetLink"/>
                  <w:rFonts w:ascii="Times New Roman;sans-serif" w:hAnsi="Times New Roman;sans-serif"/>
                  <w:b w:val="false"/>
                  <w:color w:val="0000FF"/>
                  <w:sz w:val="20"/>
                  <w:u w:val="single"/>
                </w:rPr>
                <w:t>Separation Agreement by and between NMI Holdings, Inc. and Ravi Mallela, dated March 1, 2024</w:t>
              </w:r>
            </w:hyperlink>
            <w:r>
              <w:rPr>
                <w:color w:val="000000"/>
              </w:rPr>
              <w:t xml:space="preserve"> </w:t>
            </w:r>
            <w:r>
              <w:rPr>
                <w:rFonts w:ascii="Times New Roman;sans-serif" w:hAnsi="Times New Roman;sans-serif"/>
                <w:b w:val="false"/>
                <w:color w:val="000000"/>
                <w:sz w:val="20"/>
              </w:rPr>
              <w:t>(incorporated herein by reference to Exhibit 10.2 to our Form 8-K, filed on March 4, 2024)</w:t>
            </w:r>
          </w:p>
        </w:tc>
      </w:tr>
      <w:tr>
        <w:trPr/>
        <w:tc>
          <w:tcPr>
            <w:tcW w:w="6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9">
              <w:r>
                <w:rPr>
                  <w:rStyle w:val="InternetLink"/>
                  <w:rFonts w:ascii="Times New Roman;sans-serif" w:hAnsi="Times New Roman;sans-serif"/>
                  <w:b w:val="false"/>
                  <w:color w:val="0000FF"/>
                  <w:sz w:val="20"/>
                  <w:u w:val="single"/>
                </w:rPr>
                <w:t>Commitment Letter dated July 12, 2013 for Bulk Fannie Mae-Paid Loss-on-Sale Mortgage Insurance on the Portfolio of approximately $5.46 billion Purchased by Fannie Mae and Identified by Fannie Mae as Deal No. 2013 MIRT 01 and by the Company as Policy No. P-0001-01</w:t>
              </w:r>
            </w:hyperlink>
            <w:r>
              <w:rPr>
                <w:color w:val="000000"/>
              </w:rPr>
              <w:t xml:space="preserve"> </w:t>
            </w:r>
            <w:r>
              <w:rPr>
                <w:rFonts w:ascii="Times New Roman;sans-serif" w:hAnsi="Times New Roman;sans-serif"/>
                <w:b w:val="false"/>
                <w:color w:val="000000"/>
                <w:sz w:val="20"/>
              </w:rPr>
              <w:t>(incorporated herein by reference to Exhibit 10.14 to our Form S-1 Registration Statement (Registration No. 333-191635), filed on October 9, 2013)</w:t>
            </w:r>
          </w:p>
        </w:tc>
      </w:tr>
      <w:tr>
        <w:trPr/>
        <w:tc>
          <w:tcPr>
            <w:tcW w:w="6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0">
              <w:r>
                <w:rPr>
                  <w:rStyle w:val="InternetLink"/>
                  <w:rFonts w:ascii="Times New Roman;sans-serif" w:hAnsi="Times New Roman;sans-serif"/>
                  <w:b w:val="false"/>
                  <w:color w:val="0000FF"/>
                  <w:sz w:val="20"/>
                  <w:u w:val="single"/>
                </w:rPr>
                <w:t>Insider Trading and Information Policy</w:t>
              </w:r>
            </w:hyperlink>
            <w:r>
              <w:rPr>
                <w:color w:val="000000"/>
              </w:rPr>
              <w:t xml:space="preserve"> </w:t>
            </w:r>
            <w:r>
              <w:rPr>
                <w:rFonts w:ascii="Times New Roman;sans-serif" w:hAnsi="Times New Roman;sans-serif"/>
                <w:b w:val="false"/>
                <w:color w:val="000000"/>
                <w:sz w:val="20"/>
              </w:rPr>
              <w:t>(incorporated herein by reference to Exhibit 19.1 to our Form 10-K, filed on February 14, 2025)</w:t>
            </w:r>
          </w:p>
        </w:tc>
      </w:tr>
      <w:tr>
        <w:trPr/>
        <w:tc>
          <w:tcPr>
            <w:tcW w:w="6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1">
              <w:r>
                <w:rPr>
                  <w:rStyle w:val="InternetLink"/>
                  <w:rFonts w:ascii="Times New Roman;sans-serif" w:hAnsi="Times New Roman;sans-serif"/>
                  <w:b w:val="false"/>
                  <w:color w:val="0000FF"/>
                  <w:sz w:val="20"/>
                  <w:u w:val="single"/>
                </w:rPr>
                <w:t>Credit Agreement, dated as of April 29, 2024, by and among the Company, the lenders party hereto, and Royal Bank of Canada, as the Agent</w:t>
              </w:r>
            </w:hyperlink>
            <w:r>
              <w:rPr>
                <w:color w:val="000000"/>
              </w:rPr>
              <w:t xml:space="preserve"> </w:t>
            </w:r>
            <w:r>
              <w:rPr>
                <w:rFonts w:ascii="Times New Roman;sans-serif" w:hAnsi="Times New Roman;sans-serif"/>
                <w:b w:val="false"/>
                <w:color w:val="000000"/>
                <w:sz w:val="20"/>
              </w:rPr>
              <w:t>(incorporated herein by reference to Exhibit 10.31 to our Form 10-Q, filed on May 1, 2024)</w:t>
            </w:r>
          </w:p>
        </w:tc>
      </w:tr>
      <w:tr>
        <w:trPr/>
        <w:tc>
          <w:tcPr>
            <w:tcW w:w="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2">
              <w:r>
                <w:rPr>
                  <w:rStyle w:val="InternetLink"/>
                  <w:rFonts w:ascii="Times New Roman;sans-serif" w:hAnsi="Times New Roman;sans-serif"/>
                  <w:b w:val="false"/>
                  <w:color w:val="0000FF"/>
                  <w:sz w:val="20"/>
                  <w:u w:val="single"/>
                </w:rPr>
                <w:t>Subsidiaries of NMI Holdings, Inc.</w:t>
              </w:r>
            </w:hyperlink>
            <w:r>
              <w:rPr>
                <w:color w:val="000000"/>
              </w:rPr>
              <w:t xml:space="preserve"> </w:t>
            </w:r>
            <w:r>
              <w:rPr>
                <w:rFonts w:ascii="Times New Roman;sans-serif" w:hAnsi="Times New Roman;sans-serif"/>
                <w:b w:val="false"/>
                <w:color w:val="000000"/>
                <w:sz w:val="20"/>
              </w:rPr>
              <w:t>(incorporated herein by reference to Exhibit 21.1 to our Form 10-Q, filed on October 30, 2015)</w:t>
            </w:r>
          </w:p>
        </w:tc>
      </w:tr>
      <w:tr>
        <w:trPr/>
        <w:tc>
          <w:tcPr>
            <w:tcW w:w="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311q12025.htm">
              <w:r>
                <w:rPr>
                  <w:rStyle w:val="InternetLink"/>
                  <w:rFonts w:ascii="Times New Roman;sans-serif" w:hAnsi="Times New Roman;sans-serif"/>
                  <w:b w:val="false"/>
                  <w:color w:val="0000FF"/>
                  <w:sz w:val="20"/>
                  <w:u w:val="single"/>
                </w:rPr>
                <w:t>Principal Executive Officer's Certification Pursuant to Section 302 of the Sarbanes-Oxley Act of 2002</w:t>
              </w:r>
            </w:hyperlink>
          </w:p>
        </w:tc>
      </w:tr>
      <w:tr>
        <w:trPr/>
        <w:tc>
          <w:tcPr>
            <w:tcW w:w="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312q12025.htm">
              <w:r>
                <w:rPr>
                  <w:rStyle w:val="InternetLink"/>
                  <w:rFonts w:ascii="Times New Roman;sans-serif" w:hAnsi="Times New Roman;sans-serif"/>
                  <w:b w:val="false"/>
                  <w:color w:val="0000FF"/>
                  <w:sz w:val="20"/>
                  <w:u w:val="single"/>
                </w:rPr>
                <w:t>Principal Financial Officer's Certification Pursuant to Section 302 of the Sarbanes-Oxley Act of 2002</w:t>
              </w:r>
            </w:hyperlink>
          </w:p>
        </w:tc>
      </w:tr>
      <w:tr>
        <w:trPr/>
        <w:tc>
          <w:tcPr>
            <w:tcW w:w="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321q12025.htm">
              <w:r>
                <w:rPr>
                  <w:rStyle w:val="InternetLink"/>
                  <w:rFonts w:ascii="Times New Roman;sans-serif" w:hAnsi="Times New Roman;sans-serif"/>
                  <w:b w:val="false"/>
                  <w:color w:val="0000FF"/>
                  <w:sz w:val="20"/>
                  <w:u w:val="single"/>
                </w:rPr>
                <w:t>Certifications of CEO and CFO Pursuant to 18 U.S.C. Section 1350, as Adopted Pursuant to Section 906 of the Sarbanes-Oxley Act of 2002</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74"/>
        <w:gridCol w:w="153"/>
        <w:gridCol w:w="154"/>
        <w:gridCol w:w="109"/>
        <w:gridCol w:w="109"/>
        <w:gridCol w:w="109"/>
        <w:gridCol w:w="2781"/>
        <w:gridCol w:w="2737"/>
        <w:gridCol w:w="3879"/>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1" w:type="dxa"/>
            <w:tcBorders/>
            <w:vAlign w:val="center"/>
          </w:tcPr>
          <w:p>
            <w:pPr>
              <w:pStyle w:val="TableContents"/>
              <w:bidi w:val="0"/>
              <w:spacing w:before="0" w:after="283"/>
              <w:jc w:val="left"/>
              <w:rPr>
                <w:sz w:val="4"/>
                <w:szCs w:val="4"/>
              </w:rPr>
            </w:pPr>
            <w:r>
              <w:rPr>
                <w:sz w:val="4"/>
                <w:szCs w:val="4"/>
              </w:rPr>
            </w:r>
          </w:p>
        </w:tc>
        <w:tc>
          <w:tcPr>
            <w:tcW w:w="2737" w:type="dxa"/>
            <w:tcBorders/>
            <w:vAlign w:val="center"/>
          </w:tcPr>
          <w:p>
            <w:pPr>
              <w:pStyle w:val="TableContents"/>
              <w:bidi w:val="0"/>
              <w:spacing w:before="0" w:after="283"/>
              <w:jc w:val="left"/>
              <w:rPr>
                <w:sz w:val="4"/>
                <w:szCs w:val="4"/>
              </w:rPr>
            </w:pPr>
            <w:r>
              <w:rPr>
                <w:sz w:val="4"/>
                <w:szCs w:val="4"/>
              </w:rPr>
            </w:r>
          </w:p>
        </w:tc>
        <w:tc>
          <w:tcPr>
            <w:tcW w:w="387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3">
              <w:r>
                <w:rPr>
                  <w:rStyle w:val="InternetLink"/>
                  <w:rFonts w:ascii="Times New Roman;sans-serif" w:hAnsi="Times New Roman;sans-serif"/>
                  <w:b w:val="false"/>
                  <w:color w:val="0000FF"/>
                  <w:sz w:val="20"/>
                  <w:u w:val="single"/>
                </w:rPr>
                <w:t>NMI Holdings, Inc. Compensation Recovery Policy, Effective September 13, 2023</w:t>
              </w:r>
            </w:hyperlink>
            <w:r>
              <w:rPr>
                <w:color w:val="000000"/>
              </w:rPr>
              <w:t xml:space="preserve"> </w:t>
            </w:r>
            <w:r>
              <w:rPr>
                <w:rFonts w:ascii="Times New Roman;sans-serif" w:hAnsi="Times New Roman;sans-serif"/>
                <w:b w:val="false"/>
                <w:color w:val="000000"/>
                <w:sz w:val="20"/>
              </w:rPr>
              <w:t xml:space="preserve">(incorporated herein by reference to Exhibit 97.1 to our Form 10-K, filed on February 15, 2024) </w:t>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financial information from NMI Holdings, Inc.'s Quarterly Report on Form 10-Q for the quarter ended March 31, 2025 (Unaudited) formatted in XBRL (eXtensible Business Reporting Language):</w:t>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Condensed Consolidated Balance Sheets as of March 31, 2025 (Unaudited) and December 31, 2024; </w:t>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(ii) Condensed Consolidated Statements of Operations and Comprehensive Income for the three months ended March 31, 2025 and 2024 (Unaudited);</w:t>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(iii) Condensed Consolidated Statements of Changes in Shareholders' Equity for the three months ended March 31, 2025 and 2024 (Unaudited);</w:t>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(iv) Condensed Consolidated Statements of Cash Flows for the three months ended March 31, 2025 and 2024 (Unaudited); and</w:t>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 Notes to Condensed Consolidated Financial Statements (Unaudited). The instance document does not appear in the Interactive Data File because XBRL tags are embedded within the Inline XBRL document.</w:t>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cover page from NMI Holdings, Inc.'s Quarterly Report on Form 10-Q for the quarter ended March 31, 2025 (formatted as Inline XBRL and contained in Exhibit 101).</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889"/>
        <w:gridCol w:w="2889"/>
        <w:gridCol w:w="40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40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Filed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Indicates a management contract or compensatory plan or contract.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Confidential treatment granted as to certain portions, which portions have been filed separately with the SEC.</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 accordance with Item 601(b)(32)(ii) of Regulation S-K and SEC Release No. 34-47986, the certifications furnished in Exhibit 32.1 hereto are deemed to accompany this Form 10-Q and will not be deemed "filed" for purposes of Section 18 of the Exchange Act or deemed to be incorporated by reference into any filing under the Exchange Act or the Securities Act except to the extent that the registrant specifically incorporates it by reference.</w:t>
            </w:r>
          </w:p>
        </w:tc>
      </w:tr>
    </w:tbl>
    <w:p>
      <w:pPr>
        <w:pStyle w:val="TextBody"/>
        <w:bidi w:val="0"/>
        <w:spacing w:before="0" w:after="0"/>
        <w:ind w:left="0" w:right="0" w:hanging="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lineRule="auto" w:line="417" w:before="0" w:after="24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180"/>
        <w:ind w:left="0" w:right="0" w:firstLine="720"/>
        <w:jc w:val="both"/>
        <w:rPr/>
      </w:pPr>
      <w:r>
        <w:rPr/>
      </w:r>
    </w:p>
    <w:tbl>
      <w:tblPr>
        <w:tblW w:w="6883" w:type="dxa"/>
        <w:jc w:val="left"/>
        <w:tblInd w:w="0" w:type="dxa"/>
        <w:tblLayout w:type="fixed"/>
        <w:tblCellMar>
          <w:top w:w="28" w:type="dxa"/>
          <w:left w:w="28" w:type="dxa"/>
          <w:bottom w:w="28" w:type="dxa"/>
          <w:right w:w="28" w:type="dxa"/>
        </w:tblCellMar>
      </w:tblPr>
      <w:tblGrid>
        <w:gridCol w:w="645"/>
        <w:gridCol w:w="568"/>
        <w:gridCol w:w="571"/>
        <w:gridCol w:w="1491"/>
        <w:gridCol w:w="1491"/>
        <w:gridCol w:w="2117"/>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2117"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NMI HOLDINGS, INC.</w:t>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April 29, 2025</w:t>
            </w:r>
          </w:p>
        </w:tc>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lineRule="auto" w:line="240" w:before="40" w:after="40"/>
              <w:jc w:val="left"/>
              <w:rPr/>
            </w:pPr>
            <w:r>
              <w:rPr>
                <w:rFonts w:ascii="Times New Roman;sans-serif" w:hAnsi="Times New Roman;sans-serif"/>
                <w:b w:val="false"/>
                <w:color w:val="000000"/>
                <w:sz w:val="20"/>
              </w:rPr>
              <w:t>By:</w:t>
            </w:r>
            <w:r>
              <w:rPr>
                <w:color w:val="000000"/>
                <w:u w:val="single"/>
              </w:rPr>
              <w:t> </w:t>
            </w:r>
            <w:r>
              <w:rPr>
                <w:rFonts w:ascii="Times New Roman;sans-serif" w:hAnsi="Times New Roman;sans-serif"/>
                <w:b w:val="false"/>
                <w:color w:val="000000"/>
                <w:sz w:val="20"/>
                <w:u w:val="single"/>
              </w:rPr>
              <w:t>/s/ Aurora Swithenbank                 </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Name: Aurora Swithenbank </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Chief Financial Officer and Duly Authorized Signatory</w:t>
            </w:r>
          </w:p>
        </w:tc>
      </w:tr>
    </w:tbl>
    <w:p>
      <w:pPr>
        <w:pStyle w:val="TextBody"/>
        <w:bidi w:val="0"/>
        <w:spacing w:before="60" w:after="283"/>
        <w:ind w:left="0" w:right="0" w:firstLine="720"/>
        <w:jc w:val="left"/>
        <w:rPr/>
      </w:pPr>
      <w:r>
        <w:rPr/>
      </w:r>
    </w:p>
    <w:p>
      <w:pPr>
        <w:pStyle w:val="TextBody"/>
        <w:bidi w:val="0"/>
        <w:spacing w:before="0" w:after="18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417" w:before="0" w:after="0"/>
        <w:jc w:val="left"/>
        <w:rPr>
          <w:rFonts w:ascii="Times New Roman;sans-serif" w:hAnsi="Times New Roman;sans-serif"/>
          <w:b/>
          <w:color w:val="000000"/>
          <w:sz w:val="20"/>
        </w:rPr>
      </w:pPr>
      <w:r>
        <w:rPr>
          <w:rFonts w:ascii="Times New Roman;sans-serif" w:hAnsi="Times New Roman;sans-serif"/>
          <w:b/>
          <w:color w:val="000000"/>
          <w:sz w:val="20"/>
        </w:rPr>
        <w:t>EXHIBIT 31.1</w:t>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PRINCIPAL EXECUTIVE OFFICER’S CERTIFICATION PURSUANT TO</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SECTION 302 OF THE SARBANES-OXLEY ACT OF 2002</w:t>
      </w:r>
    </w:p>
    <w:p>
      <w:pPr>
        <w:pStyle w:val="TextBody"/>
        <w:bidi w:val="0"/>
        <w:spacing w:before="0" w:after="120"/>
        <w:jc w:val="center"/>
        <w:rPr/>
      </w:pPr>
      <w:r>
        <w:rPr/>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 Adam S. Pollitzer, certify that:</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NMI Holdings, Inc.;</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3779" w:type="dxa"/>
        <w:jc w:val="center"/>
        <w:tblInd w:w="0" w:type="dxa"/>
        <w:tblLayout w:type="fixed"/>
        <w:tblCellMar>
          <w:top w:w="28" w:type="dxa"/>
          <w:left w:w="28" w:type="dxa"/>
          <w:bottom w:w="28" w:type="dxa"/>
          <w:right w:w="28" w:type="dxa"/>
        </w:tblCellMar>
      </w:tblPr>
      <w:tblGrid>
        <w:gridCol w:w="473"/>
        <w:gridCol w:w="415"/>
        <w:gridCol w:w="417"/>
        <w:gridCol w:w="723"/>
        <w:gridCol w:w="723"/>
        <w:gridCol w:w="1028"/>
      </w:tblGrid>
      <w:tr>
        <w:trPr/>
        <w:tc>
          <w:tcPr>
            <w:tcW w:w="47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29, 2025</w:t>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 xml:space="preserve">/s/ Adam S. Pollitzer </w:t>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Adam S. Pollitzer</w:t>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417"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center"/>
        <w:rPr>
          <w:rFonts w:ascii="Times New Roman;sans-serif" w:hAnsi="Times New Roman;sans-serif"/>
          <w:b/>
          <w:color w:val="000000"/>
          <w:sz w:val="20"/>
        </w:rPr>
      </w:pPr>
      <w:r>
        <w:rPr>
          <w:rFonts w:ascii="Times New Roman;sans-serif" w:hAnsi="Times New Roman;sans-serif"/>
          <w:b/>
          <w:color w:val="000000"/>
          <w:sz w:val="20"/>
        </w:rPr>
        <w:t>PRINCIPAL FINANCIAL OFFICER’S CERTIFICATION PURSUANT TO</w:t>
      </w:r>
    </w:p>
    <w:p>
      <w:pPr>
        <w:pStyle w:val="TextBody"/>
        <w:bidi w:val="0"/>
        <w:spacing w:lineRule="auto" w:line="417" w:before="0" w:after="0"/>
        <w:jc w:val="center"/>
        <w:rPr>
          <w:rFonts w:ascii="Times New Roman;sans-serif" w:hAnsi="Times New Roman;sans-serif"/>
          <w:b/>
          <w:color w:val="000000"/>
          <w:sz w:val="20"/>
        </w:rPr>
      </w:pPr>
      <w:r>
        <w:rPr>
          <w:rFonts w:ascii="Times New Roman;sans-serif" w:hAnsi="Times New Roman;sans-serif"/>
          <w:b/>
          <w:color w:val="000000"/>
          <w:sz w:val="20"/>
        </w:rPr>
        <w:t>SECTION 302 OF THE SARBANES-OXLEY ACT OF 2002</w:t>
      </w:r>
    </w:p>
    <w:p>
      <w:pPr>
        <w:pStyle w:val="TextBody"/>
        <w:bidi w:val="0"/>
        <w:spacing w:lineRule="auto" w:line="417"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 Aurora Swithenbank, certify that:</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NMI Holdings, Inc.;</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for the registrant and have:</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3719" w:type="dxa"/>
        <w:jc w:val="left"/>
        <w:tblInd w:w="0" w:type="dxa"/>
        <w:tblLayout w:type="fixed"/>
        <w:tblCellMar>
          <w:top w:w="28" w:type="dxa"/>
          <w:left w:w="28" w:type="dxa"/>
          <w:bottom w:w="28" w:type="dxa"/>
          <w:right w:w="28" w:type="dxa"/>
        </w:tblCellMar>
      </w:tblPr>
      <w:tblGrid>
        <w:gridCol w:w="473"/>
        <w:gridCol w:w="415"/>
        <w:gridCol w:w="417"/>
        <w:gridCol w:w="707"/>
        <w:gridCol w:w="707"/>
        <w:gridCol w:w="1000"/>
      </w:tblGrid>
      <w:tr>
        <w:trPr/>
        <w:tc>
          <w:tcPr>
            <w:tcW w:w="47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29, 2025</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 xml:space="preserve">/s/ Aurora Swithenbank </w:t>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Aurora Swithenbank</w:t>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417" w:before="0" w:after="0"/>
        <w:jc w:val="left"/>
        <w:rPr>
          <w:rFonts w:ascii="Times New Roman;sans-serif" w:hAnsi="Times New Roman;sans-serif"/>
          <w:b/>
          <w:color w:val="000000"/>
          <w:sz w:val="20"/>
        </w:rPr>
      </w:pPr>
      <w:r>
        <w:rPr>
          <w:rFonts w:ascii="Times New Roman;sans-serif" w:hAnsi="Times New Roman;sans-serif"/>
          <w:b/>
          <w:color w:val="000000"/>
          <w:sz w:val="20"/>
        </w:rPr>
        <w:t>EXHIBIT 32.1</w:t>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417" w:before="0" w:after="0"/>
        <w:jc w:val="left"/>
        <w:rPr>
          <w:rFonts w:ascii="Times New Roman;sans-serif" w:hAnsi="Times New Roman;sans-serif"/>
          <w:b/>
          <w:color w:val="000000"/>
          <w:sz w:val="20"/>
        </w:rPr>
      </w:pPr>
      <w:r>
        <w:rPr>
          <w:rFonts w:ascii="Times New Roman;sans-serif" w:hAnsi="Times New Roman;sans-serif"/>
          <w:b/>
          <w:color w:val="000000"/>
          <w:sz w:val="20"/>
        </w:rPr>
        <w:t>CERTIFICATION OF CEO AND CFO PURSUANT TO</w:t>
      </w:r>
    </w:p>
    <w:p>
      <w:pPr>
        <w:pStyle w:val="TextBody"/>
        <w:bidi w:val="0"/>
        <w:spacing w:lineRule="auto" w:line="417"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417"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417"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before="0" w:after="120"/>
        <w:jc w:val="left"/>
        <w:rPr/>
      </w:pPr>
      <w:r>
        <w:rPr/>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NMI Holdings, Inc. (the "Company") on Form 10-Q for the quarter ended March 31, 2025, as filed with the Securities and Exchange Commission on the date hereof (the "Report"), each of the undersigned officers of the Company certifies pursuant to 18 U.S.C. Section 1350, as adopted pursuant to Section 906 of the Sarbanes-Oxley Act of 2002, that, to the best of such officer's knowledge: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Report fully complies with the requirements of Section 13(a) or 15(d) of the Securities Exchange Act of 1934; and</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contained in the Report fairly presents, in all material respects, the financial condition and results of operations of the Company.</w:t>
      </w:r>
    </w:p>
    <w:tbl>
      <w:tblPr>
        <w:tblW w:w="3779" w:type="dxa"/>
        <w:jc w:val="left"/>
        <w:tblInd w:w="0" w:type="dxa"/>
        <w:tblLayout w:type="fixed"/>
        <w:tblCellMar>
          <w:top w:w="28" w:type="dxa"/>
          <w:left w:w="28" w:type="dxa"/>
          <w:bottom w:w="28" w:type="dxa"/>
          <w:right w:w="28" w:type="dxa"/>
        </w:tblCellMar>
      </w:tblPr>
      <w:tblGrid>
        <w:gridCol w:w="473"/>
        <w:gridCol w:w="415"/>
        <w:gridCol w:w="417"/>
        <w:gridCol w:w="723"/>
        <w:gridCol w:w="723"/>
        <w:gridCol w:w="1028"/>
      </w:tblGrid>
      <w:tr>
        <w:trPr/>
        <w:tc>
          <w:tcPr>
            <w:tcW w:w="47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29, 2025</w:t>
            </w:r>
          </w:p>
        </w:tc>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 xml:space="preserve">/s/ Adam S. Pollitzer              </w:t>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Adam S. Pollitzer</w:t>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tbl>
      <w:tblPr>
        <w:tblW w:w="3719" w:type="dxa"/>
        <w:jc w:val="center"/>
        <w:tblInd w:w="0" w:type="dxa"/>
        <w:tblLayout w:type="fixed"/>
        <w:tblCellMar>
          <w:top w:w="28" w:type="dxa"/>
          <w:left w:w="28" w:type="dxa"/>
          <w:bottom w:w="28" w:type="dxa"/>
          <w:right w:w="28" w:type="dxa"/>
        </w:tblCellMar>
      </w:tblPr>
      <w:tblGrid>
        <w:gridCol w:w="473"/>
        <w:gridCol w:w="415"/>
        <w:gridCol w:w="417"/>
        <w:gridCol w:w="707"/>
        <w:gridCol w:w="707"/>
        <w:gridCol w:w="1000"/>
      </w:tblGrid>
      <w:tr>
        <w:trPr/>
        <w:tc>
          <w:tcPr>
            <w:tcW w:w="47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29, 2025</w:t>
            </w:r>
          </w:p>
        </w:tc>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 xml:space="preserve">/s/ Aurora Swithenbank </w:t>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Aurora Swithenbank</w:t>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spacing w:lineRule="auto" w:line="288"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required by Section 906, or other document authenticating, acknowledging, or otherwise adopting the signatures that appear in typed form within the electronic version of this written statement required by Section 906, has been provided to NMI Holdings, Inc. and will be retained by NMI Holdings, Inc. and furnished to the Securities and Exchange Commission or its staff upon request.</w:t>
      </w:r>
    </w:p>
    <w:p>
      <w:pPr>
        <w:pStyle w:val="TextBody"/>
        <w:bidi w:val="0"/>
        <w:spacing w:before="180" w:after="18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47903/000119312524134340/d816160dex11.htm" TargetMode="External"/><Relationship Id="rId3" Type="http://schemas.openxmlformats.org/officeDocument/2006/relationships/hyperlink" Target="https://www.sec.gov/Archives/edgar/data/1547903/000154790324000111/nmih-certificateofincorpor.htm" TargetMode="External"/><Relationship Id="rId4" Type="http://schemas.openxmlformats.org/officeDocument/2006/relationships/hyperlink" Target="https://www.sec.gov/Archives/edgar/data/1547903/000154790324000111/fifthamendedandrestatedbyl.htm" TargetMode="External"/><Relationship Id="rId5" Type="http://schemas.openxmlformats.org/officeDocument/2006/relationships/hyperlink" Target="https://www.sec.gov/Archives/edgar/data/1547903/000119312524144008/d768666dex41.htm" TargetMode="External"/><Relationship Id="rId6" Type="http://schemas.openxmlformats.org/officeDocument/2006/relationships/hyperlink" Target="https://www.sec.gov/Archives/edgar/data/1547903/000119312524144008/d768666dex42.htm" TargetMode="External"/><Relationship Id="rId7" Type="http://schemas.openxmlformats.org/officeDocument/2006/relationships/hyperlink" Target="https://www.sec.gov/Archives/edgar/data/1547903/000154790324000139/exhibit44nmihdescriptionof.htm" TargetMode="External"/><Relationship Id="rId8" Type="http://schemas.openxmlformats.org/officeDocument/2006/relationships/hyperlink" Target="https://www.sec.gov/Archives/edgar/data/1547903/000154790313000020/a101nmiholdingsinc2012stoc.htm" TargetMode="External"/><Relationship Id="rId9" Type="http://schemas.openxmlformats.org/officeDocument/2006/relationships/hyperlink" Target="https://www.sec.gov/Archives/edgar/data/1547903/000154790313000020/a105formofnonqualifiedstoc.htm" TargetMode="External"/><Relationship Id="rId10" Type="http://schemas.openxmlformats.org/officeDocument/2006/relationships/hyperlink" Target="https://www.sec.gov/Archives/edgar/data/1547903/000154790313000020/a106formofnonqualifiedstoc.htm" TargetMode="External"/><Relationship Id="rId11" Type="http://schemas.openxmlformats.org/officeDocument/2006/relationships/hyperlink" Target="https://www.sec.gov/Archives/edgar/data/1547903/000154790313000020/a107formofnonqualifiedstoc.htm" TargetMode="External"/><Relationship Id="rId12" Type="http://schemas.openxmlformats.org/officeDocument/2006/relationships/hyperlink" Target="https://www.sec.gov/Archives/edgar/data/1547903/000154790317000032/exhibit108-2012stockincent.htm" TargetMode="External"/><Relationship Id="rId13" Type="http://schemas.openxmlformats.org/officeDocument/2006/relationships/hyperlink" Target="https://www.sec.gov/Archives/edgar/data/1547903/000154790317000032/exhibit109-2012stockincent.htm" TargetMode="External"/><Relationship Id="rId14" Type="http://schemas.openxmlformats.org/officeDocument/2006/relationships/hyperlink" Target="https://www.sec.gov/Archives/edgar/data/1547903/000154790319000064/exhibit1032.htm" TargetMode="External"/><Relationship Id="rId15" Type="http://schemas.openxmlformats.org/officeDocument/2006/relationships/hyperlink" Target="https://www.sec.gov/ix?doc=/Archives/edgar/data/1547903/000154790324000103/nmih-20240331.htm" TargetMode="External"/><Relationship Id="rId16" Type="http://schemas.openxmlformats.org/officeDocument/2006/relationships/hyperlink" Target="https://www.sec.gov/Archives/edgar/data/1547903/000154790317000100/ex1023nqsceo.htm" TargetMode="External"/><Relationship Id="rId17" Type="http://schemas.openxmlformats.org/officeDocument/2006/relationships/hyperlink" Target="https://www.sec.gov/Archives/edgar/data/1547903/000154790317000100/ex1024nqseoee.htm" TargetMode="External"/><Relationship Id="rId18" Type="http://schemas.openxmlformats.org/officeDocument/2006/relationships/hyperlink" Target="https://www.sec.gov/Archives/edgar/data/1547903/000154790320000045/ex1038202010q.htm" TargetMode="External"/><Relationship Id="rId19" Type="http://schemas.openxmlformats.org/officeDocument/2006/relationships/hyperlink" Target="https://www.sec.gov/Archives/edgar/data/1547903/000154790325000026/ex1012rsuagreementforindep.htm" TargetMode="External"/><Relationship Id="rId20" Type="http://schemas.openxmlformats.org/officeDocument/2006/relationships/hyperlink" Target="https://www.sec.gov/Archives/edgar/data/1547903/000154790319000064/exhibit1034.htm" TargetMode="External"/><Relationship Id="rId21" Type="http://schemas.openxmlformats.org/officeDocument/2006/relationships/hyperlink" Target="https://www.sec.gov/Archives/edgar/data/1547903/000154790324000035/ex1022ye2023rsuawardagreem.htm" TargetMode="External"/><Relationship Id="rId22" Type="http://schemas.openxmlformats.org/officeDocument/2006/relationships/hyperlink" Target="https://www.sec.gov/Archives/edgar/data/1547903/000154790324000035/ex1023ye2023rsuawardagreem.htm" TargetMode="External"/><Relationship Id="rId23" Type="http://schemas.openxmlformats.org/officeDocument/2006/relationships/hyperlink" Target="https://www.sec.gov/Archives/edgar/data/1547903/000154790324000035/ex1024ye2023rsuawardagreem.htm" TargetMode="External"/><Relationship Id="rId24" Type="http://schemas.openxmlformats.org/officeDocument/2006/relationships/hyperlink" Target="https://www.sec.gov/Archives/edgar/data/1547903/000154790319000064/exhibit1035.htm" TargetMode="External"/><Relationship Id="rId25" Type="http://schemas.openxmlformats.org/officeDocument/2006/relationships/hyperlink" Target="https://www.sec.gov/Archives/edgar/data/1547903/000154790325000026/ex1018rsuagreementforexecu.htm" TargetMode="External"/><Relationship Id="rId26" Type="http://schemas.openxmlformats.org/officeDocument/2006/relationships/hyperlink" Target="https://www.sec.gov/Archives/edgar/data/1547903/000154790325000026/ex1019rsuagreementforemplo.htm" TargetMode="External"/><Relationship Id="rId27" Type="http://schemas.openxmlformats.org/officeDocument/2006/relationships/hyperlink" Target="https://www.sec.gov/Archives/edgar/data/1547903/000154790325000026/ex1020rsuagreementperforma.htm" TargetMode="External"/><Relationship Id="rId28" Type="http://schemas.openxmlformats.org/officeDocument/2006/relationships/hyperlink" Target="https://www.sec.gov/Archives/edgar/data/1547903/000154790314000146/exhibit101november252014.htm" TargetMode="External"/><Relationship Id="rId29" Type="http://schemas.openxmlformats.org/officeDocument/2006/relationships/hyperlink" Target="https://www.sec.gov/Archives/edgar/data/1547903/000154790316000185/ex101severancebenefitplan.htm" TargetMode="External"/><Relationship Id="rId30" Type="http://schemas.openxmlformats.org/officeDocument/2006/relationships/hyperlink" Target="https://www.sec.gov/Archives/edgar/data/1547903/000154790318000133/exhibit1030arcicsbp.htm" TargetMode="External"/><Relationship Id="rId31" Type="http://schemas.openxmlformats.org/officeDocument/2006/relationships/hyperlink" Target="https://www.sec.gov/Archives/edgar/data/1547903/000154790317000035/exhibit102.htm" TargetMode="External"/><Relationship Id="rId32" Type="http://schemas.openxmlformats.org/officeDocument/2006/relationships/hyperlink" Target="https://www.sec.gov/Archives/edgar/data/1547903/000154790316000230/exhibit1010leatherberrybil.htm" TargetMode="External"/><Relationship Id="rId33" Type="http://schemas.openxmlformats.org/officeDocument/2006/relationships/hyperlink" Target="https://www.sec.gov/Archives/edgar/data/1547903/000154790318000137/exhibit101shuster.htm" TargetMode="External"/><Relationship Id="rId34" Type="http://schemas.openxmlformats.org/officeDocument/2006/relationships/hyperlink" Target="https://www.sec.gov/Archives/edgar/data/0001547903/000154790321000153/exhibit101-nmihxapollitz.htm" TargetMode="External"/><Relationship Id="rId35" Type="http://schemas.openxmlformats.org/officeDocument/2006/relationships/hyperlink" Target="https://www.sec.gov/Archives/edgar/data/1547903/000154790324000041/nmih-aswithenbankofferlett.htm" TargetMode="External"/><Relationship Id="rId36" Type="http://schemas.openxmlformats.org/officeDocument/2006/relationships/hyperlink" Target="https://www.sec.gov/Archives/edgar/data/0001547903/000154790321000188/rmallelaofferletter.htm" TargetMode="External"/><Relationship Id="rId37" Type="http://schemas.openxmlformats.org/officeDocument/2006/relationships/hyperlink" Target="https://www.sec.gov/Archives/edgar/data/1547903/000154790324000041/nmih-aswithenbankofferlett.htm" TargetMode="External"/><Relationship Id="rId38" Type="http://schemas.openxmlformats.org/officeDocument/2006/relationships/hyperlink" Target="https://www.sec.gov/Archives/edgar/data/1547903/000154790324000041/nmih-rmallelaseparationagr.htm" TargetMode="External"/><Relationship Id="rId39" Type="http://schemas.openxmlformats.org/officeDocument/2006/relationships/hyperlink" Target="https://www.sec.gov/Archives/edgar/data/1547903/000154790313000020/a1014commitmentletterforbu.htm" TargetMode="External"/><Relationship Id="rId40" Type="http://schemas.openxmlformats.org/officeDocument/2006/relationships/hyperlink" Target="https://www.sec.gov/Archives/edgar/data/1547903/000154790325000026/ex191insidertradingandinfo.htm" TargetMode="External"/><Relationship Id="rId41" Type="http://schemas.openxmlformats.org/officeDocument/2006/relationships/hyperlink" Target="https://www.sec.gov/Archives/edgar/data/1547903/000154790324000103/ex1031q12024.htm" TargetMode="External"/><Relationship Id="rId42" Type="http://schemas.openxmlformats.org/officeDocument/2006/relationships/hyperlink" Target="https://www.sec.gov/Archives/edgar/data/1547903/000154790315000133/exhibit211subsidiariesofnm.htm" TargetMode="External"/><Relationship Id="rId43" Type="http://schemas.openxmlformats.org/officeDocument/2006/relationships/hyperlink" Target="https://www.sec.gov/Archives/edgar/data/1547903/000154790324000035/ex971ye2023compensationrec.htm" TargetMode="External"/><Relationship Id="rId44" Type="http://schemas.openxmlformats.org/officeDocument/2006/relationships/fontTable" Target="fontTable.xml"/><Relationship Id="rId4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31628</Words>
  <Characters>171922</Characters>
  <CharactersWithSpaces>201799</CharactersWithSpaces>
  <Paragraphs>3406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