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2014</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94"/>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9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November 6, 2014 was 58,363,334 shares.</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3"/>
            <w:shd w:val="clear" w:color="auto" w:fill="CCEEFF"/>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21</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46</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w:t>
            </w:r>
          </w:p>
        </w:tc>
        <w:tc>
          <w:tcPr>
            <w:tcW w:w="10140" w:type="dxa"/>
            <w:vAlign w:val="bottom"/>
            <w:gridSpan w:val="10"/>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47">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3"/>
          </w:tcPr>
          <w:p>
            <w:pPr>
              <w:ind w:left="40"/>
              <w:spacing w:after="0" w:line="20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(the “Securities Act”), Section 21E of the Securities Exchange Act of 1934, as amended (the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“believes,” “can,” “could,” “may,” “predicts,” “potential,” “should,” “will,” “estimate,” “plans,” “projects,” “continuing,” “ongoing,” “expects,” “intends”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largely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4"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Washington D.C. and our ability to remain a mortgage insurer in good standing in each state and Washington D.C.;</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the GSEs, including adoption and implementation of their proposed new mortgage insurer eligibility requirements or decisions to decrease or discontinue the use of mortgage insurance;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 qualified mortgage insurer under the requirements imposed by the GSEs;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and potential market entry by new competitors;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laws and regulations, including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investment strategy;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claims exceeding our reserves or amounts we had expected to experience;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recruit, train and retain key personnel;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emergence of claim and coverage issues.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more information regarding these risks and uncertainties as well as certain additional risks that we face, you should refer to the Risk Factors detailed in Item 1A of Part I of our Annual Report on Form 10-K for the year ended December 31, 2013 and in our subsequent quarterly and other reports, including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filed from time to time with the with the U.S. Securities and Exchange Commission (the "SEC").</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September 30, 2014 and December 31, 2013</w:t>
            </w: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4">
              <w:r>
                <w:rPr>
                  <w:rFonts w:ascii="Arial" w:cs="Arial" w:eastAsia="Arial" w:hAnsi="Arial"/>
                  <w:sz w:val="18"/>
                  <w:szCs w:val="18"/>
                  <w:color w:val="0000EE"/>
                  <w:w w:val="79"/>
                  <w:shd w:val="clear" w:color="auto" w:fill="CCEEFF"/>
                </w:rPr>
                <w:t>5</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30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Condensed Consolidated Statements of Comprehensive Loss for the three and nine months ended September 30, 2014 and 2013</w:t>
            </w:r>
          </w:p>
        </w:tc>
        <w:tc>
          <w:tcPr>
            <w:tcW w:w="120" w:type="dxa"/>
            <w:vAlign w:val="bottom"/>
            <w:tcBorders>
              <w:top w:val="single" w:sz="8" w:color="CCEEFF"/>
            </w:tcBorders>
            <w:gridSpan w:val="2"/>
          </w:tcPr>
          <w:p>
            <w:pPr>
              <w:jc w:val="right"/>
              <w:ind w:right="2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48"/>
        </w:trPr>
        <w:tc>
          <w:tcPr>
            <w:tcW w:w="113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Condensed Consolidated Statements of Changes in Shareholders' Equity for the nine months ended September 30, 2014 and the year ended</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8"/>
        </w:trPr>
        <w:tc>
          <w:tcPr>
            <w:tcW w:w="1130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December 31, 2013</w:t>
            </w: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7</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30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nine months ended September 30, 2014 and 2013</w:t>
            </w:r>
          </w:p>
        </w:tc>
        <w:tc>
          <w:tcPr>
            <w:tcW w:w="120" w:type="dxa"/>
            <w:vAlign w:val="bottom"/>
            <w:tcBorders>
              <w:top w:val="single" w:sz="8" w:color="CCEEFF"/>
            </w:tcBorders>
            <w:gridSpan w:val="2"/>
          </w:tcPr>
          <w:p>
            <w:pPr>
              <w:jc w:val="right"/>
              <w:ind w:right="2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r>
      <w:tr>
        <w:trPr>
          <w:trHeight w:val="48"/>
        </w:trPr>
        <w:tc>
          <w:tcPr>
            <w:tcW w:w="113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3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30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2013</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33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available-for-sale, at fair value:</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29"/>
        </w:trPr>
        <w:tc>
          <w:tcPr>
            <w:tcW w:w="7900" w:type="dxa"/>
            <w:vAlign w:val="bottom"/>
          </w:tcPr>
          <w:p>
            <w:pPr>
              <w:ind w:left="500"/>
              <w:spacing w:after="0"/>
              <w:rPr>
                <w:sz w:val="20"/>
                <w:szCs w:val="20"/>
                <w:color w:val="auto"/>
              </w:rPr>
            </w:pPr>
            <w:r>
              <w:rPr>
                <w:rFonts w:ascii="Arial" w:cs="Arial" w:eastAsia="Arial" w:hAnsi="Arial"/>
                <w:sz w:val="18"/>
                <w:szCs w:val="18"/>
                <w:color w:val="auto"/>
                <w:w w:val="91"/>
              </w:rPr>
              <w:t>Fixed maturities (amortized cost of $310,270 and $416,135 as of September 30, 2014 and December</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500"/>
              <w:spacing w:after="0"/>
              <w:rPr>
                <w:sz w:val="20"/>
                <w:szCs w:val="20"/>
                <w:color w:val="auto"/>
              </w:rPr>
            </w:pPr>
            <w:r>
              <w:rPr>
                <w:rFonts w:ascii="Arial" w:cs="Arial" w:eastAsia="Arial" w:hAnsi="Arial"/>
                <w:sz w:val="18"/>
                <w:szCs w:val="18"/>
                <w:color w:val="auto"/>
              </w:rPr>
              <w:t>31, 2013,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308,564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409,088</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308,564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409,088</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137,485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55,929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Premiums receivable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and other indefinite lived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8,876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465,578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481,219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13,440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10,052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Current tax payable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18,002</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1"/>
              </w:rPr>
              <w:t>58,363,334 and 58,052,480 shares issued and outstanding as of September 30, 2014 and December 31,</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2013, respectively (250,000,000 shares authorized)</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553,707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(7,047)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434,398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463,217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465,578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481,219</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Pr>
          <w:p>
            <w:pPr>
              <w:spacing w:after="0"/>
              <w:rPr>
                <w:sz w:val="16"/>
                <w:szCs w:val="16"/>
                <w:color w:val="auto"/>
              </w:rPr>
            </w:pPr>
          </w:p>
        </w:tc>
        <w:tc>
          <w:tcPr>
            <w:tcW w:w="30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6"/>
              </w:rPr>
              <w:t>For the Nine Months Ended September 30,</w:t>
            </w:r>
          </w:p>
        </w:tc>
      </w:tr>
      <w:tr>
        <w:trPr>
          <w:trHeight w:val="263"/>
        </w:trPr>
        <w:tc>
          <w:tcPr>
            <w:tcW w:w="44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1"/>
        </w:trPr>
        <w:tc>
          <w:tcPr>
            <w:tcW w:w="44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5"/>
          </w:tcPr>
          <w:p>
            <w:pPr>
              <w:ind w:left="220"/>
              <w:spacing w:after="0"/>
              <w:rPr>
                <w:sz w:val="20"/>
                <w:szCs w:val="20"/>
                <w:color w:val="auto"/>
              </w:rPr>
            </w:pPr>
            <w:r>
              <w:rPr>
                <w:rFonts w:ascii="Arial" w:cs="Arial" w:eastAsia="Arial" w:hAnsi="Arial"/>
                <w:sz w:val="14"/>
                <w:szCs w:val="14"/>
                <w:i w:val="1"/>
                <w:iCs w:val="1"/>
                <w:color w:val="auto"/>
              </w:rPr>
              <w:t>(In Thousands, except for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written</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9,661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19,890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483</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3,336</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 (losses)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w w:val="96"/>
              </w:rPr>
              <w:t>Gain (loss) from change in fair value of warrant liability</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15,376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3,381</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policy acquisition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Other underwriting and operating expenses</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17,848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55,725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45,480</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45,480</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(40,459)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(42,099)</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(42,099)</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unrealized holding (losses) gains for the period included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 accumulated other comprehensive loss, net of tax benefit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of ($488) and $0 for the three months ended September 30,</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2014 and 2013, respectively, and tax expense of $2,176 and</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$0 for the nine months ended September 30, 2014 and 2013,</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(7,040)</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(49,139)</w:t>
            </w: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58,363,334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55,637,480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58,239,251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55,589,674</w:t>
            </w:r>
          </w:p>
        </w:tc>
      </w:tr>
      <w:tr>
        <w:trPr>
          <w:trHeight w:val="27"/>
        </w:trPr>
        <w:tc>
          <w:tcPr>
            <w:tcW w:w="4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CHANGES IN SHAREHOLDERS' EQUITY (UNAUDITED)</w:t>
      </w:r>
    </w:p>
    <w:p>
      <w:pPr>
        <w:sectPr>
          <w:pgSz w:w="11900" w:h="16838" w:orient="portrait"/>
          <w:cols w:equalWidth="0" w:num="1">
            <w:col w:w="11380"/>
          </w:cols>
          <w:pgMar w:left="28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2013</w:t>
      </w:r>
    </w:p>
    <w:p>
      <w:pPr>
        <w:spacing w:after="0" w:line="6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Common stock Class A shares issued related to initial public offering (net of expenses of $3,483)</w:t>
      </w:r>
    </w:p>
    <w:p>
      <w:pPr>
        <w:spacing w:after="0" w:line="3"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Conversion of Class B shares of common stock into Class A shares of common stock</w:t>
      </w:r>
    </w:p>
    <w:p>
      <w:pPr>
        <w:spacing w:after="0"/>
        <w:rPr>
          <w:sz w:val="20"/>
          <w:szCs w:val="20"/>
          <w:color w:val="auto"/>
        </w:rPr>
      </w:pPr>
      <w:r>
        <w:rPr>
          <w:rFonts w:ascii="Arial" w:cs="Arial" w:eastAsia="Arial" w:hAnsi="Arial"/>
          <w:sz w:val="18"/>
          <w:szCs w:val="18"/>
          <w:color w:val="auto"/>
        </w:rPr>
        <w:t>Share-based compensation expense</w:t>
      </w:r>
    </w:p>
    <w:p>
      <w:pPr>
        <w:spacing w:after="0" w:line="63" w:lineRule="exact"/>
        <w:rPr>
          <w:sz w:val="20"/>
          <w:szCs w:val="20"/>
          <w:color w:val="auto"/>
        </w:rPr>
      </w:pPr>
    </w:p>
    <w:p>
      <w:pPr>
        <w:ind w:right="740"/>
        <w:spacing w:after="0" w:line="317" w:lineRule="auto"/>
        <w:rPr>
          <w:sz w:val="20"/>
          <w:szCs w:val="20"/>
          <w:color w:val="auto"/>
        </w:rPr>
      </w:pPr>
      <w:r>
        <w:rPr>
          <w:rFonts w:ascii="Arial" w:cs="Arial" w:eastAsia="Arial" w:hAnsi="Arial"/>
          <w:sz w:val="16"/>
          <w:szCs w:val="16"/>
          <w:color w:val="auto"/>
        </w:rPr>
        <w:t>Change in unrealized investment gains/losses, net of tax of $0</w:t>
      </w:r>
    </w:p>
    <w:p>
      <w:pPr>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Accumulated Other</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Accumulated Deficit</w:t>
            </w:r>
          </w:p>
        </w:tc>
        <w:tc>
          <w:tcPr>
            <w:tcW w:w="340" w:type="dxa"/>
            <w:vAlign w:val="bottom"/>
          </w:tcPr>
          <w:p>
            <w:pPr>
              <w:spacing w:after="0"/>
              <w:rPr>
                <w:sz w:val="5"/>
                <w:szCs w:val="5"/>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Paid-in Capital</w:t>
            </w: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Comprehensive Loss</w:t>
            </w: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78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553</w:t>
            </w:r>
          </w:p>
        </w:tc>
        <w:tc>
          <w:tcPr>
            <w:tcW w:w="104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517,032</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(28,840)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488,748</w:t>
            </w:r>
          </w:p>
        </w:tc>
        <w:tc>
          <w:tcPr>
            <w:tcW w:w="0" w:type="dxa"/>
            <w:vAlign w:val="bottom"/>
          </w:tcPr>
          <w:p>
            <w:pPr>
              <w:spacing w:after="0"/>
              <w:rPr>
                <w:sz w:val="1"/>
                <w:szCs w:val="1"/>
                <w:color w:val="auto"/>
              </w:rPr>
            </w:pPr>
          </w:p>
        </w:tc>
      </w:tr>
      <w:tr>
        <w:trPr>
          <w:trHeight w:val="702"/>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(1,579)</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702"/>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27,887</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27,912</w:t>
            </w: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10,367</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(7,048)</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(55,184)</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(55,184)</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581</w:t>
            </w:r>
          </w:p>
        </w:tc>
        <w:tc>
          <w:tcPr>
            <w:tcW w:w="104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553,707</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(7,047)</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(84,024)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463,217</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-2228850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-1611630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-857250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-16510</wp:posOffset>
            </wp:positionV>
            <wp:extent cx="724662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60"/>
            <w:col w:w="8220"/>
          </w:cols>
          <w:pgMar w:left="280" w:top="125" w:right="2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2014</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Common stock Class A shares issued related to warrants</w:t>
      </w:r>
    </w:p>
    <w:p>
      <w:pPr>
        <w:spacing w:after="0" w:line="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Common stock Class A shares issued under stock plans, net of shares withheld from employee taxes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Change in unrealized investment gains/losses, net of tax of $2,176</w:t>
      </w:r>
    </w:p>
    <w:p>
      <w:pPr>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 September 30, 2014</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581</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553,707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(84,024)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463,217</w:t>
            </w:r>
          </w:p>
        </w:tc>
      </w:tr>
      <w:tr>
        <w:trPr>
          <w:trHeight w:val="486"/>
        </w:trPr>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702"/>
        </w:trPr>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6,874</w:t>
            </w:r>
          </w:p>
        </w:tc>
        <w:tc>
          <w:tcPr>
            <w:tcW w:w="5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6,874</w:t>
            </w:r>
          </w:p>
        </w:tc>
      </w:tr>
      <w:tr>
        <w:trPr>
          <w:trHeight w:val="486"/>
        </w:trPr>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3,165</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3,165</w:t>
            </w:r>
          </w:p>
        </w:tc>
      </w:tr>
      <w:tr>
        <w:trPr>
          <w:trHeight w:val="270"/>
        </w:trPr>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(38,885)</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(38,885)</w:t>
            </w:r>
          </w:p>
        </w:tc>
      </w:tr>
      <w:tr>
        <w:trPr>
          <w:trHeight w:val="27"/>
        </w:trPr>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560,605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(3,882)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(122,909)</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434,398</w:t>
            </w:r>
          </w:p>
        </w:tc>
      </w:tr>
      <w:tr>
        <w:trPr>
          <w:trHeight w:val="27"/>
        </w:trPr>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-1611630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-857250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240"/>
            <w:col w:w="8220"/>
          </w:cols>
          <w:pgMar w:left="280" w:top="125" w:right="239" w:bottom="1440" w:gutter="0" w:footer="0" w:header="0"/>
          <w:type w:val="continuous"/>
        </w:sectPr>
      </w:pPr>
    </w:p>
    <w:p>
      <w:pPr>
        <w:spacing w:after="0" w:line="6" w:lineRule="exact"/>
        <w:rPr>
          <w:sz w:val="20"/>
          <w:szCs w:val="20"/>
          <w:color w:val="auto"/>
        </w:rPr>
      </w:pPr>
    </w:p>
    <w:p>
      <w:pPr>
        <w:ind w:left="780" w:hanging="488"/>
        <w:spacing w:after="0" w:line="27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first nine months of 2014, we issued 1,115 common shares with a par value of $0.01 related to the exercise of warrants, which is not identifiable in this schedule due to rounding.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80" w:top="125"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3"/>
        </w:trPr>
        <w:tc>
          <w:tcPr>
            <w:tcW w:w="79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Pr>
          <w:p>
            <w:pPr>
              <w:spacing w:after="0"/>
              <w:rPr>
                <w:sz w:val="21"/>
                <w:szCs w:val="21"/>
                <w:color w:val="auto"/>
              </w:rPr>
            </w:pPr>
          </w:p>
        </w:tc>
        <w:tc>
          <w:tcPr>
            <w:tcW w:w="1360" w:type="dxa"/>
            <w:vAlign w:val="bottom"/>
            <w:gridSpan w:val="3"/>
          </w:tcPr>
          <w:p>
            <w:pPr>
              <w:jc w:val="center"/>
              <w:ind w:left="91"/>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(38,885)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Depreciation and other amortization</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6,603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5,410</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Benefit for taxes on current year unrealized gains</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investment income</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Premiums receivable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policy acquisition costs, net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premiums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Reserve for insurance claims and claims expenses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(19,590)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(29,281)</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10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fixed-maturity investments, available-for-sale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(559,752)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10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5,375</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redemptions, maturities and sale of fixed-maturity investments, available-for-sale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112,132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 of software and equipment</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(5,396)</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101,132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(420,899)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0"/>
        </w:trPr>
        <w:tc>
          <w:tcPr>
            <w:tcW w:w="7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0" w:lineRule="exact"/>
        <w:rPr>
          <w:sz w:val="20"/>
          <w:szCs w:val="20"/>
          <w:color w:val="auto"/>
        </w:rPr>
      </w:pPr>
    </w:p>
    <w:p>
      <w:pPr>
        <w:ind w:left="40" w:right="980"/>
        <w:spacing w:after="0" w:line="394" w:lineRule="auto"/>
        <w:rPr>
          <w:sz w:val="20"/>
          <w:szCs w:val="20"/>
          <w:color w:val="auto"/>
        </w:rPr>
      </w:pPr>
      <w:r>
        <w:rPr>
          <w:rFonts w:ascii="Arial" w:cs="Arial" w:eastAsia="Arial" w:hAnsi="Arial"/>
          <w:sz w:val="15"/>
          <w:szCs w:val="15"/>
          <w:color w:val="auto"/>
        </w:rPr>
        <w:t>Net Increase (Decrease) in Cash and Cash Equivalents Cash and Cash Equivalents, beginning of period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22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81,556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(451,758)</w:t>
            </w:r>
          </w:p>
        </w:tc>
      </w:tr>
      <w:tr>
        <w:trPr>
          <w:trHeight w:val="270"/>
        </w:trPr>
        <w:tc>
          <w:tcPr>
            <w:tcW w:w="5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55,929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485,855</w:t>
            </w:r>
          </w:p>
        </w:tc>
      </w:tr>
      <w:tr>
        <w:trPr>
          <w:trHeight w:val="27"/>
        </w:trPr>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137,485</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34,097</w:t>
            </w:r>
          </w:p>
        </w:tc>
      </w:tr>
      <w:tr>
        <w:trPr>
          <w:trHeight w:val="27"/>
        </w:trPr>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-205105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940" w:space="720"/>
            <w:col w:w="5760"/>
          </w:cols>
          <w:pgMar w:left="24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a Delaware corporation, was formed in May 2011 with the intention of providing private mortgage guaranty insurance through a wholly owned insurance subsidiary. From May 2011 through March 2013, our activities were limited to raising capital, seeking to acquire the assets and approvals necessary to become a private mortgage guaranty insurance provider and hiring personnel. We are licensed in all 50 states and Washington D.C. In April 2013, we, through our primary insurance subsidiary, National Mortgage Insurance Corporation ("NMIC"), wrote our first mortgage guaranty insurance policy. As of September 30, 2014, we had $1.8 billion of primary insurance in force ("IIF") and $4.8 billion of pool IIF, with $435.7 million of primary risk-in-force ("RIF") and $93.1 million of pool RIF.</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30, 2011, we entered into an agreement with MAC Financial Ltd. to acquire MAC Financial Holding Corporation and its subsidiaries, which were renamed NMIC, National Mortgage Reinsurance Inc One ("Re One") and National Mortgage Reinsurance Inc Two ("Re Two"), for $8.5 million in cash, common stock and warrants plus the assumption of $1.3 million in liabilities ("MAC Acquisition"). In addition, we incurred $0.1 million in deferred tax liabilities as a result of the acquisition of certain indefinite-lived intangibles. The MAC Acquisition was completed in April 2012. On September 30, 2013, we merged MAC Financial Holding Corporation into NMIH, with NMIH surviving the merger. Also on September 30, 2013, we merged Re Two into NMIC with NMIC surviving the merger.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accompanying consolidated financial statements include the accounts of NMIH and its wholly owned subsidiaries, NMIC and Re One.</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2012, we offered and sold 55.0 million shares of common stock at an issue price of $10.00 per share in a private placement ("Private Placement"). Gross proceeds from the Private Placement were $550.0 million. Net proceeds from the Private Placement, after an approximate 7% underwriting fee and other offering expenses, were approximately $510 million.</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was approved as an eligible mortgage guaranty insurer by Freddie Mac and Fannie Mae (collectively the "GSEs") on January 15, 2013 and January 16, 2013, respectively, which approvals require NMIC to continue meeting certain conditions, which include an agreement to maintain minimum capital of $150 million at NMIC and that NMIC not exceed a risk-to-capital ratio of 15:1 for its first three years. NMIC is currently in compliance with these requirements.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2013, we completed an initial public offering of 2.4 million shares of our common stock (the "IPO") and our common stock began trading on the NASDAQ Global Market ("NASDAQ") on November 8, 2013, under the symbol “NMIH.” For a further discussion see "</w:t>
      </w:r>
      <w:r>
        <w:rPr>
          <w:rFonts w:ascii="Arial" w:cs="Arial" w:eastAsia="Arial" w:hAnsi="Arial"/>
          <w:sz w:val="18"/>
          <w:szCs w:val="18"/>
          <w:i w:val="1"/>
          <w:iCs w:val="1"/>
          <w:color w:val="auto"/>
        </w:rPr>
        <w:t>Note 2,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Offerings</w:t>
      </w:r>
      <w:r>
        <w:rPr>
          <w:rFonts w:ascii="Arial" w:cs="Arial" w:eastAsia="Arial" w:hAnsi="Arial"/>
          <w:sz w:val="18"/>
          <w:szCs w:val="18"/>
          <w:color w:val="auto"/>
        </w:rPr>
        <w:t>."</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26, 2014, NMIH contributed $20 million in cash to NMIC to support its minimum surplus requirement as part of GSE Approval. On September 18, 2014, NMIH contributed an additional $70 million in cash to NMIC.</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all of the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2013 included in our Annual Report on Form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2014.</w:t>
      </w:r>
    </w:p>
    <w:p>
      <w:pPr>
        <w:spacing w:after="0" w:line="1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stock-based compensation arrangements, and the dilutive effect of outstanding warrants. As a result of our net losses for the three months ended September 30, 2014 and September 30, 2013, 5.9 million and 5.3 million shares of our common stock equivalents that we issued as of each respective period under stock-based compensation arrangements and warrants were not included in the calculation of diluted net loss per share as of such dates because they were anti-dilutive.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directly associated with the successful acquisition of mortgage guaranty insurance policies, consisting of certain selling expenses and other policy issuance and underwriting expenses, are initially deferred and reported as deferred policy acquisition costs ("DAC"). For each book year of business, these costs are amortized to expense in proportion to estimated gross profits over the estimated life of the policies. We recorded net DAC of $1.7 million at September 30, 2014 and $90.2 thousand at December 31, 2013.</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whether a premium deficiency exists at each fiscal quarter using best estimate assumptions as of the testing date. Per Financial Accounting Standards Board Accounting Standards Codification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three months ended September 30, 2014 or for the year ended December 31, 2013.</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financial statements as of December 31, 2013 and for the three months ended September 30, 2013 have been reclassified to conform to the current period's presentation. There was no effect on net income or shareholders' equity previously reported.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considered subsequent events through the date of this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Common Stock Offerings</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entered into a purchase/placement agreement that closed in April 2012, pursuant to which we offered and sold an aggregate of 55,000,000 of our Class A common shares, resulting in gross proceeds of $550.0 million and net proceeds of approximately $510 million after an approximate 7% underwriting fee and other offering expenses. On November 8, 2013, we completed an initial public offering of 2.4 million shares of common stock, and our common stock began trading on the NASDAQ under the symbol "NMIH". Net proceeds from the offering were approximately $28 million, after an approximate 6% underwriting fee and other offering expenses and reimbursements pursuant to the underwriting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 shareholders' equity. Net realized investment gains and losses are reported in income based upon specific identification of securities sold. Prior to the third quarter of 2014, our investment portfolio consisted of A rated securities or better. During the third quarter, we made the decision to invest 10-15% of the investment portfolio in BBB securities. As of September 30, 2014 approximately 1% of the investment portfolio was invested in BBB securities, and we will invest additional amounts of the portfolio in the future as we believe appropriate.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83,674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12,011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156,875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156,072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56,939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310,270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308,564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74,152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at September 30, 2014 and December 31, 2013,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center"/>
              <w:ind w:left="676"/>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206,384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205,054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28,795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14,038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14,087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56,939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310,270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308,564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center"/>
              <w:ind w:left="676"/>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260,855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257,501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15,441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416,135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660"/>
              <w:spacing w:after="0"/>
              <w:rPr>
                <w:sz w:val="20"/>
                <w:szCs w:val="20"/>
                <w:color w:val="auto"/>
              </w:rPr>
            </w:pPr>
            <w:r>
              <w:rPr>
                <w:rFonts w:ascii="Arial" w:cs="Arial" w:eastAsia="Arial" w:hAnsi="Arial"/>
                <w:sz w:val="18"/>
                <w:szCs w:val="18"/>
                <w:i w:val="1"/>
                <w:iCs w:val="1"/>
                <w:color w:val="auto"/>
              </w:rPr>
              <w:t>Net Realized Investment Gains (Losses) on Investments</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3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40" w:type="dxa"/>
            <w:vAlign w:val="bottom"/>
          </w:tcPr>
          <w:p>
            <w:pPr>
              <w:spacing w:after="0"/>
              <w:rPr>
                <w:sz w:val="24"/>
                <w:szCs w:val="24"/>
                <w:color w:val="auto"/>
              </w:rPr>
            </w:pPr>
          </w:p>
        </w:tc>
        <w:tc>
          <w:tcPr>
            <w:tcW w:w="3660" w:type="dxa"/>
            <w:vAlign w:val="bottom"/>
            <w:gridSpan w:val="6"/>
          </w:tcPr>
          <w:p>
            <w:pPr>
              <w:ind w:left="440"/>
              <w:spacing w:after="0"/>
              <w:rPr>
                <w:sz w:val="20"/>
                <w:szCs w:val="20"/>
                <w:color w:val="auto"/>
              </w:rPr>
            </w:pPr>
            <w:r>
              <w:rPr>
                <w:rFonts w:ascii="Arial" w:cs="Arial" w:eastAsia="Arial" w:hAnsi="Arial"/>
                <w:sz w:val="14"/>
                <w:szCs w:val="14"/>
                <w:b w:val="1"/>
                <w:bCs w:val="1"/>
                <w:color w:val="auto"/>
              </w:rPr>
              <w:t>For the Three Months Ended September 30,</w:t>
            </w:r>
          </w:p>
        </w:tc>
        <w:tc>
          <w:tcPr>
            <w:tcW w:w="420" w:type="dxa"/>
            <w:vAlign w:val="bottom"/>
          </w:tcPr>
          <w:p>
            <w:pPr>
              <w:spacing w:after="0"/>
              <w:rPr>
                <w:sz w:val="24"/>
                <w:szCs w:val="24"/>
                <w:color w:val="auto"/>
              </w:rPr>
            </w:pPr>
          </w:p>
        </w:tc>
        <w:tc>
          <w:tcPr>
            <w:tcW w:w="3100" w:type="dxa"/>
            <w:vAlign w:val="bottom"/>
            <w:gridSpan w:val="4"/>
          </w:tcPr>
          <w:p>
            <w:pPr>
              <w:jc w:val="center"/>
              <w:ind w:right="294"/>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government agencies</w:t>
            </w: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Net Realized Investment Gains</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September 30, 2014, the investment portfolio had gross unrealized losses of $2.4 million, $2.2 million of which has been in an unrealized loss position for a period of 12 months or greater. We did not consider these securities to be other-than-temporarily impaired as of September 30, 2014. We based our conclusion that these investments were not other-than-temporarily impaired at September 30, 2014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3,234</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71,059</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108,156</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20,865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37,628</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187,714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187,714</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58,225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58,225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is comprised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For the Three Months Ended September 30,</w:t>
            </w: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Investment expenses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3,336</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2014 and December 31, 2013, there were approximately $7.0 million of cash and investments in the form of U.S. Treasury securities on deposit with various state insurance departments to satisfy regulatory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the valuation techniques used by us to determine the fair value of financial instruments held at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measurements) and the lowest priority to unobservable inputs (Level 3 measurements). The three levels of the fair value hierarchy under this standard are described below:</w:t>
      </w:r>
    </w:p>
    <w:p>
      <w:pPr>
        <w:spacing w:after="0" w:line="11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 Prices or valuations based on observable inputs other than quoted prices in active markets for identical assets and liabilities; and</w:t>
      </w:r>
    </w:p>
    <w:p>
      <w:pPr>
        <w:spacing w:after="0" w:line="18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outstanding are valued using a Black-Scholes option-pricing model in combination with a binomial model and Monte Carlo simulation used to value the pricing protection features within the warrants. Variables in the model include the risk-free rate of return, dividend yield, expected life and expected volatility of our stock price.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list of those assets and liabilities that are measured at fair value by hierarchy level as of September 30, 2014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Assets and Liabilities at Fair Value</w:t>
            </w: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September 30, 2014</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38,747</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83,674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11,979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156,072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156,072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56,839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137,485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176,232</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269,817</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446,049</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Assets and Liabilities at Fair Value</w:t>
            </w: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2013</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57,122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11,933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217,257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73,292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359,604</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465,017</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roll-forward of Level 3 liabilities measured at fair value for the nine months ended September 30, 2014 and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60" w:type="dxa"/>
            <w:vAlign w:val="bottom"/>
          </w:tcPr>
          <w:p>
            <w:pPr>
              <w:ind w:left="40"/>
              <w:spacing w:after="0"/>
              <w:rPr>
                <w:sz w:val="20"/>
                <w:szCs w:val="20"/>
                <w:color w:val="auto"/>
              </w:rPr>
            </w:pPr>
            <w:r>
              <w:rPr>
                <w:rFonts w:ascii="Arial" w:cs="Arial" w:eastAsia="Arial" w:hAnsi="Arial"/>
                <w:sz w:val="18"/>
                <w:szCs w:val="18"/>
                <w:color w:val="auto"/>
              </w:rPr>
              <w:t>Level 3 Instruments Only</w:t>
            </w: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97"/>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Nine Months Ended September 30, 2014</w:t>
            </w:r>
          </w:p>
        </w:tc>
        <w:tc>
          <w:tcPr>
            <w:tcW w:w="320" w:type="dxa"/>
            <w:vAlign w:val="bottom"/>
          </w:tcPr>
          <w:p>
            <w:pPr>
              <w:spacing w:after="0"/>
              <w:rPr>
                <w:sz w:val="17"/>
                <w:szCs w:val="17"/>
                <w:color w:val="auto"/>
              </w:rPr>
            </w:pPr>
          </w:p>
        </w:tc>
        <w:tc>
          <w:tcPr>
            <w:tcW w:w="1840" w:type="dxa"/>
            <w:vAlign w:val="bottom"/>
          </w:tcPr>
          <w:p>
            <w:pPr>
              <w:jc w:val="center"/>
              <w:ind w:right="236"/>
              <w:spacing w:after="0"/>
              <w:rPr>
                <w:sz w:val="20"/>
                <w:szCs w:val="20"/>
                <w:color w:val="auto"/>
              </w:rPr>
            </w:pPr>
            <w:r>
              <w:rPr>
                <w:rFonts w:ascii="Arial" w:cs="Arial" w:eastAsia="Arial" w:hAnsi="Arial"/>
                <w:sz w:val="14"/>
                <w:szCs w:val="14"/>
                <w:i w:val="1"/>
                <w:iCs w:val="1"/>
                <w:color w:val="auto"/>
                <w:w w:val="93"/>
              </w:rPr>
              <w:t>(In Thousands)</w:t>
            </w:r>
          </w:p>
        </w:tc>
        <w:tc>
          <w:tcPr>
            <w:tcW w:w="0" w:type="dxa"/>
            <w:vAlign w:val="bottom"/>
          </w:tcPr>
          <w:p>
            <w:pPr>
              <w:spacing w:after="0"/>
              <w:rPr>
                <w:sz w:val="1"/>
                <w:szCs w:val="1"/>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settlement of warrants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Arial" w:cs="Arial" w:eastAsia="Arial" w:hAnsi="Arial"/>
                <w:sz w:val="18"/>
                <w:szCs w:val="18"/>
                <w:color w:val="auto"/>
              </w:rPr>
              <w:t>Level 3 Instruments Only</w:t>
            </w: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60" w:type="dxa"/>
            <w:vAlign w:val="bottom"/>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97"/>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 2013</w:t>
            </w:r>
          </w:p>
        </w:tc>
        <w:tc>
          <w:tcPr>
            <w:tcW w:w="320" w:type="dxa"/>
            <w:vAlign w:val="bottom"/>
          </w:tcPr>
          <w:p>
            <w:pPr>
              <w:spacing w:after="0"/>
              <w:rPr>
                <w:sz w:val="17"/>
                <w:szCs w:val="17"/>
                <w:color w:val="auto"/>
              </w:rPr>
            </w:pPr>
          </w:p>
        </w:tc>
        <w:tc>
          <w:tcPr>
            <w:tcW w:w="1840" w:type="dxa"/>
            <w:vAlign w:val="bottom"/>
          </w:tcPr>
          <w:p>
            <w:pPr>
              <w:jc w:val="center"/>
              <w:ind w:right="236"/>
              <w:spacing w:after="0"/>
              <w:rPr>
                <w:sz w:val="20"/>
                <w:szCs w:val="20"/>
                <w:color w:val="auto"/>
              </w:rPr>
            </w:pPr>
            <w:r>
              <w:rPr>
                <w:rFonts w:ascii="Arial" w:cs="Arial" w:eastAsia="Arial" w:hAnsi="Arial"/>
                <w:sz w:val="14"/>
                <w:szCs w:val="14"/>
                <w:i w:val="1"/>
                <w:iCs w:val="1"/>
                <w:color w:val="auto"/>
                <w:w w:val="93"/>
              </w:rPr>
              <w:t>(In Thousands)</w:t>
            </w:r>
          </w:p>
        </w:tc>
        <w:tc>
          <w:tcPr>
            <w:tcW w:w="0" w:type="dxa"/>
            <w:vAlign w:val="bottom"/>
          </w:tcPr>
          <w:p>
            <w:pPr>
              <w:spacing w:after="0"/>
              <w:rPr>
                <w:sz w:val="1"/>
                <w:szCs w:val="1"/>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320" w:type="dxa"/>
            <w:vAlign w:val="bottom"/>
          </w:tcPr>
          <w:p>
            <w:pPr>
              <w:spacing w:after="0"/>
              <w:rPr>
                <w:sz w:val="21"/>
                <w:szCs w:val="21"/>
                <w:color w:val="auto"/>
              </w:rPr>
            </w:pP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a Monte-Carlo simulation model, which is used to value the pricing protection features within the warrant. As of September 30, 2014 the assumptions used in the option pricing model were as follows: a common stock price as of September 30, 2014 of $8.65, risk free interest rate of 2.16%, expected life of 6.74 years, expected volatility of 39.0%, and a dividend yield of 0%. The change in fair value is primarily attributable to a decline in the price of our common stock from December 31, 2013 to September 30, 2014.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of other selected assets on our consolidated balance sheet approximates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Reserves for Insurance Claims and Claims Expenses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establish claim reserves to recognize the estimated liability for insurance claims and claim expenses related to defaults on insured mortgage loans. Our method, consistent with industry practice, is to establish claim reserves only for loans in default. Our claim reserves also include amounts we expect to incur for claims and claim adjustment expenses from defaults that we estimate to have occurred, but which have not yet been reported to us ("IBNR"). We received our first notice of default ("NOD") within our primary insurance book in the second quarter of 2014, which subsequently cured during the third quarter of 2014. Therefore, we currently do not have any reserves related to reported NODs. We have, however, established a small IBNR reserve for the three and nine months ended September 30, 2014. For the year ended December 31, 2013 we had no claim or IBNR reserves. Additionally, we entered into a pool insurance transaction with Fannie Mae, effective September 1, 2013. We would only establish claim or IBNR reserves for this pool transaction, if we expect claims to exceed the transaction's deductible, which represents the amount of claims absorbed by Fannie Mae before we are obligated to pay any claims under the policy. At September 30, 2014, nine loans in the pool were past due by 60 days or more. These nine loans represent approximately $766 thousand in RIF. Due to the size of the deductible ($10.3 million), the low level of NODs reported through September 30, 2014 and the high quality of the loans (all loans are less than 80% LTV), we have not established any pool reserves for claims or IBNR for the three and nine months ended September 30, 2014 or for the year ended December 31, 2013.</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insurance claims and claims expenses for the nine months ended September 30, 2014 and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00" w:type="dxa"/>
            <w:vAlign w:val="bottom"/>
          </w:tcPr>
          <w:p>
            <w:pPr>
              <w:spacing w:after="0"/>
              <w:rPr>
                <w:sz w:val="22"/>
                <w:szCs w:val="22"/>
                <w:color w:val="auto"/>
              </w:rPr>
            </w:pPr>
          </w:p>
        </w:tc>
        <w:tc>
          <w:tcPr>
            <w:tcW w:w="4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876"/>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beginning of period</w:t>
            </w:r>
          </w:p>
        </w:tc>
        <w:tc>
          <w:tcPr>
            <w:tcW w:w="47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incurred:</w:t>
            </w:r>
          </w:p>
        </w:tc>
        <w:tc>
          <w:tcPr>
            <w:tcW w:w="3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3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3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3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incurred</w:t>
            </w:r>
          </w:p>
        </w:tc>
        <w:tc>
          <w:tcPr>
            <w:tcW w:w="36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4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3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3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3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3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paid</w:t>
            </w:r>
          </w:p>
        </w:tc>
        <w:tc>
          <w:tcPr>
            <w:tcW w:w="36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4300" w:type="dxa"/>
            <w:vAlign w:val="bottom"/>
            <w:tcBorders>
              <w:bottom w:val="single" w:sz="8" w:color="CCEEFF"/>
            </w:tcBorders>
          </w:tcPr>
          <w:p>
            <w:pPr>
              <w:spacing w:after="0"/>
              <w:rPr>
                <w:sz w:val="24"/>
                <w:szCs w:val="24"/>
                <w:color w:val="auto"/>
              </w:rPr>
            </w:pPr>
          </w:p>
        </w:tc>
        <w:tc>
          <w:tcPr>
            <w:tcW w:w="36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at end of period</w:t>
            </w:r>
          </w:p>
        </w:tc>
        <w:tc>
          <w:tcPr>
            <w:tcW w:w="4760" w:type="dxa"/>
            <w:vAlign w:val="bottom"/>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014"/>
              <w:spacing w:after="0"/>
              <w:rPr>
                <w:sz w:val="20"/>
                <w:szCs w:val="20"/>
                <w:color w:val="auto"/>
              </w:rPr>
            </w:pPr>
            <w:r>
              <w:rPr>
                <w:rFonts w:ascii="Arial" w:cs="Arial" w:eastAsia="Arial" w:hAnsi="Arial"/>
                <w:sz w:val="18"/>
                <w:szCs w:val="18"/>
                <w:color w:val="auto"/>
              </w:rPr>
              <w:t>15</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3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Software and Equipment</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Software and equipment includes capitalized software purchased in connection with the MAC Acquisition which had a fair value of $5.0 million at the date of acquisition, as well as software we have developed. Software and equipment, net of accumulated amortization and depreciation, as of September 30, 2014 and December 31, 2013 consist of the following: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As of December 31,</w:t>
            </w:r>
          </w:p>
        </w:tc>
      </w:tr>
      <w:tr>
        <w:trPr>
          <w:trHeight w:val="276"/>
        </w:trPr>
        <w:tc>
          <w:tcPr>
            <w:tcW w:w="7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542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21,465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14,823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 and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Software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8,876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and depreciation expense for the three and nine months ended September 30, 2014 and 2013 was $1.8 million, $4.7 million, $2.0 million and $3.9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Intangible assets and goodwill consist of identifiable intangible assets and goodwill purchased in connection with the MAC Acquisition. Intangible assets and goodwill, net, as of September 30, 2014 and December 31, 2013, consist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 of September 30, 2014 and December 31, 2013</w:t>
            </w:r>
          </w:p>
        </w:tc>
        <w:tc>
          <w:tcPr>
            <w:tcW w:w="260" w:type="dxa"/>
            <w:vAlign w:val="bottom"/>
          </w:tcPr>
          <w:p>
            <w:pPr>
              <w:spacing w:after="0"/>
              <w:rPr>
                <w:sz w:val="21"/>
                <w:szCs w:val="21"/>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tcPr>
          <w:p>
            <w:pPr>
              <w:jc w:val="center"/>
              <w:ind w:left="14"/>
              <w:spacing w:after="0"/>
              <w:rPr>
                <w:sz w:val="20"/>
                <w:szCs w:val="20"/>
                <w:color w:val="auto"/>
              </w:rPr>
            </w:pPr>
            <w:r>
              <w:rPr>
                <w:rFonts w:ascii="Arial" w:cs="Arial" w:eastAsia="Arial" w:hAnsi="Arial"/>
                <w:sz w:val="14"/>
                <w:szCs w:val="14"/>
                <w:b w:val="1"/>
                <w:bCs w:val="1"/>
                <w:color w:val="auto"/>
                <w:w w:val="92"/>
              </w:rPr>
              <w:t>Expected Lives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3,244</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State licenses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260</w:t>
            </w:r>
          </w:p>
        </w:tc>
        <w:tc>
          <w:tcPr>
            <w:tcW w:w="1800" w:type="dxa"/>
            <w:vAlign w:val="bottom"/>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GSE applications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Intangible Assets and Goodwill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3,634</w:t>
            </w:r>
          </w:p>
        </w:tc>
        <w:tc>
          <w:tcPr>
            <w:tcW w:w="1800" w:type="dxa"/>
            <w:vAlign w:val="bottom"/>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test goodwill and intangibles for impairment in the third and fourth quarter, respectively, of every year, or more frequently if we believe indicators of impairment exist. We have not identified any impairments of goodwill or impairments of indefinite-lived intangibles as of September 30, 2014.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2.5% for the three months ended September 30, 2014, compared to 0.0% for the comparable 2013 period. Our effective income tax rate on our pre-tax loss was 3.9% for the nine months ended September 30, 2014, compared to 0.0% for the comparable 2013 period.</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income tax benefit of $1.6 million for the nine months ended September 30, 2014 is related to the tax effects of unrealized gains credited to other comprehensive income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in the current year. The intra-period tax allocation rules related to items charged or credited directly to OCI can result in disproportionate tax effects that remain in OCI until certain events occur. As a result of a reduction in unrealized losses credited directly to OCI during the nine months ended September 30, 2014, approximately $2.2 million of tax provision expense has been netted with current year unrealized gains in OCI, and $1.6 million of tax provision benefit was allocated to the income tax provision for continuing operations. Other benefits from income taxes were eliminated or reduced by the recognition of a full valuation allowance which was recorded to reflect the amount of the deferred taxes that may not be realized.</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2014 and December 31, 2013, we have a net deferred tax liability of $0.1 million as a result of the acquisition of indefinite-lived intangibles in the MAC Acquisition for which no benefit has been reflected in the acquired net operating loss carry forwards. The tax liability incurred at the acquisition is recorded as an increase in goodwill.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 Based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option activity under our 2012 Stock Incentive Plan during the nine months ended September 30, 2014 and September 30, 2013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4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98"/>
              </w:rPr>
              <w:t>Shares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2013</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3,062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Options forfeited</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2014</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3,646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Pr>
          <w:p>
            <w:pPr>
              <w:spacing w:after="0"/>
              <w:rPr>
                <w:sz w:val="23"/>
                <w:szCs w:val="23"/>
                <w:color w:val="auto"/>
              </w:rPr>
            </w:pPr>
          </w:p>
        </w:tc>
        <w:tc>
          <w:tcPr>
            <w:tcW w:w="114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98"/>
              </w:rPr>
              <w:t>Shares</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2012</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Options outstanding at September 30, 2013</w:t>
            </w:r>
          </w:p>
        </w:tc>
        <w:tc>
          <w:tcPr>
            <w:tcW w:w="1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3,064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2014, there were 109 thousand options exercised and 1.6 million options were fully vested and exercisable. The weighted average exercise price for the fully vested and exercisable options was $10.22. The remaining weighted average contractual life of options fully vested and exercisable as of September 30, 2014 was 7.5 years. The aggregate intrinsic value for fully vested and exercisable options was $0 as of September 30, 2014. The fair value of option grants to employees is determined based on a Black-Scholes simulation model at the date of grant.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restricted stock unit ("RSU") activity in the plan during the nine months ended September 30, 2014 and September 30, 2013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2013</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granted</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September 30, 2014</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900" w:type="dxa"/>
            <w:vAlign w:val="bottom"/>
          </w:tcPr>
          <w:p>
            <w:pPr>
              <w:spacing w:after="0"/>
              <w:rPr>
                <w:sz w:val="24"/>
                <w:szCs w:val="24"/>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2012</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granted</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90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forfeited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September 30, 2013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9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September 30, 2014, the 1.3 million shares of non-vested RSUs consisted of 0.6 million shares that are subject to both a market and service condition and 0.7 million shares that are subject only to service conditions. The non-vested RSUs subject to both a market and service condition vest in one-half increments upon the achievement of certain market price goals and continued service. Non-vested RSUs subject only to a service condition vest over a service period ranging from 1 to 3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 which is $0.</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May 8, 2014 we held our annual shareholder meeting. Our shareholders voted to approve our 2014 Omnibus Incentive Plan, which authorizes us to make 4 million shares of our class A common stock available for grant. These shares may be either authorized but unissued shares or treasury shares. On September 19, 2014, we filed a registration statement on SEC Form S-8 to register the shares authorized under the 2014 Omnibus Incentive 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issued 992,000 warrants to FBR Capital Markets and Co. ("FBR") and the former stockholders of MAC Financial Ltd., upon the completion of our Private Placement and in conjunction with the MAC Acquisition, respectively. Each warrant gave the holder thereof the right to purchase one share of common stock at an exercise price equal to $10.00. The warrants were issued with an aggregate fair value of $5.1 million.</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exercise of these warrants, the amounts will be reclassified from warrant liability to additional paid-in capital. During the first quarter of 2014, 7,790 warrants were exercised and we issued 1,115 Class A common shares via a cashless exercise. Upon exercise we reclassified the fair value of the warrants from warrant liability to additional paid in capital and recognized a gain of approximately $37 thousand. No warrants were exercised during the second or third quarters of 2014.</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Litigation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July 1, 2014, we entered into a settlement agreement (the "Settlement Agreement") with Arch U.S. MI Services, Inc. ("Arch"), Germaine J. Marks and Truitte D. Todd, in their capacities as, respectively, Receiver and Special Deputy Receiver of PMI Mortgage Insurance Co., in Rehabilitation (collectively, the "Receiver") and PMI Mortgage Insurance Co., in Rehabilitation ("PMI"), to settle the complaint filed on August 8, 2012 by the Receiver against NMIH, NMIC and certain employees of the Company (collectively the "Defendants"), in California Superior Court, Alameda County (the “PMI Complaint”). Pursuant to the terms of an Asset Purchase Agreement, dated February 7, 2013, between Arch and PMI, PMI transferred and assigned to Arch all causes of action pursued in the PMI Complaint. Pursuant to the terms of the Settlement Agreement, the Company and its insurance carriers made a settlement payment in favor of Arch, and Arch released the Defendants from all claims alleged in the PMI Complaint. On July 28, 2014, the Court dismissed the PMI Complaint with prejudice. The Company's portion of the settlement payment was recorded in the Company's financial statements in the second quarter of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Statutory Information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NMIC and Re One, file financial statements in conformity with statutory basis accounting principles ("SAP") prescribed or permitted by the Wisconsin Office of the Commissioner of Insurance ("Wisconsin OCI"). NMIC's principal regulator is the Wisconsin OCI.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 and Re One's combined statutory net loss, statutory surplus and contingency reserve as of and for the nine months ended September 30, 2014 and for the year ended December 31, 2013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6"/>
              </w:rPr>
              <w:t>September 30, 2014</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35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4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(33,307)</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77"/>
              <w:spacing w:after="0"/>
              <w:rPr>
                <w:sz w:val="20"/>
                <w:szCs w:val="20"/>
                <w:color w:val="auto"/>
              </w:rPr>
            </w:pPr>
            <w:r>
              <w:rPr>
                <w:rFonts w:ascii="Arial" w:cs="Arial" w:eastAsia="Arial" w:hAnsi="Arial"/>
                <w:sz w:val="18"/>
                <w:szCs w:val="18"/>
                <w:color w:val="auto"/>
              </w:rPr>
              <w:t>243,481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189,698</w:t>
            </w:r>
          </w:p>
        </w:tc>
      </w:tr>
      <w:tr>
        <w:trPr>
          <w:trHeight w:val="27"/>
        </w:trPr>
        <w:tc>
          <w:tcPr>
            <w:tcW w:w="35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4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6,262</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r>
      <w:tr>
        <w:trPr>
          <w:trHeight w:val="621"/>
        </w:trPr>
        <w:tc>
          <w:tcPr>
            <w:tcW w:w="3580" w:type="dxa"/>
            <w:vAlign w:val="bottom"/>
          </w:tcPr>
          <w:p>
            <w:pPr>
              <w:spacing w:after="0"/>
              <w:rPr>
                <w:sz w:val="24"/>
                <w:szCs w:val="24"/>
                <w:color w:val="auto"/>
              </w:rPr>
            </w:pPr>
          </w:p>
        </w:tc>
        <w:tc>
          <w:tcPr>
            <w:tcW w:w="4320" w:type="dxa"/>
            <w:vAlign w:val="bottom"/>
          </w:tcPr>
          <w:p>
            <w:pPr>
              <w:jc w:val="right"/>
              <w:ind w:right="201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applicable Wisconsin law, as well as that of 15 other states, a mortgage guaranty insurer must maintain a minimum amount of statutory capital relative to the risk-in-force (risk-to-capital ratio or “RTC ratio”) in order for the mortgage guaranty insurer to continue to write new business.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Our operation plan filed with the Wisconsin OCI and other state insurance departments in connection with NMIC's applications for licensure includes the expectation that NMIH will downstream additional capital if needed so that NMIC does not exceed risk-to-capital ratios agreed to with those states. NMIC may in the future seek state insurance department approvals, as needed, of an amendment to our business plan to increase this ratio to the Wisconsin regulatory minimum of 25 to 1. In addition, under the terms of our conditional approvals from the GSEs we are required to operate at a risk-to-capital ratio not to exceed 15:1 for our first three years of operations.</w:t>
      </w:r>
    </w:p>
    <w:p>
      <w:pPr>
        <w:spacing w:after="0" w:line="12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states limit the amount of risk a mortgage guaranty insurer may retain on a single loan to 25% of the indebtedness to the insured and, as a result, the portion of such insurance in excess of 25% must be reinsured. NMIC and Re One have entered into a primary excess share reinsurance agreement, effective August 1, 2012, and a facultative pool reinsurance agreement, effective September 1, 2013, under which NMIC cedes premiums, loss reserves and claims to Re One on an excess share basis for any primary or pool policy which offers coverage greater than 25% on any loan insured thereunder. NMIC will use reinsurance provided by Re One solely for purposes of compliance with these state statutory coverage limits. Currently, NMIC has no other reinsurance agreements. During April 2013, NMIC began writing its first mortgage insurance policies and ceding premium and risk to Re One the following month.</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2013, NMIC had 22 policies in force totaling approximately $1.2 million of RIF, resulting in a RTC ratio of 0.5:1. As of September 30, 2014, NMIC had $467 million in total RIF with a RTC ratio of 1.9:1, significantly below the GSE and state imposed financial requirements. The risk-to-capital calculation for each of our insurance subsidiaries, as well as our combined risk-to-capital calculation, as of September 30, 2014, is presented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gridSpan w:val="3"/>
          </w:tcPr>
          <w:p>
            <w:pPr>
              <w:ind w:left="40"/>
              <w:spacing w:after="0"/>
              <w:rPr>
                <w:sz w:val="20"/>
                <w:szCs w:val="20"/>
                <w:color w:val="auto"/>
              </w:rPr>
            </w:pPr>
            <w:r>
              <w:rPr>
                <w:rFonts w:ascii="Arial" w:cs="Arial" w:eastAsia="Arial" w:hAnsi="Arial"/>
                <w:sz w:val="16"/>
                <w:szCs w:val="16"/>
                <w:b w:val="1"/>
                <w:bCs w:val="1"/>
                <w:color w:val="auto"/>
              </w:rPr>
              <w:t>As of September 30, 2014</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NMIC</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Re One</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Primary risk-in-force</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435,722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Assumed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37,258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(37,258)</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primary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398,464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37,258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435,722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Pool risk-in-force</w:t>
            </w:r>
          </w:p>
        </w:tc>
        <w:tc>
          <w:tcPr>
            <w:tcW w:w="4700" w:type="dxa"/>
            <w:vAlign w:val="bottom"/>
            <w:shd w:val="clear" w:color="auto" w:fill="CCEEFF"/>
          </w:tcPr>
          <w:p>
            <w:pPr>
              <w:jc w:val="right"/>
              <w:ind w:right="4497"/>
              <w:spacing w:after="0"/>
              <w:rPr>
                <w:sz w:val="20"/>
                <w:szCs w:val="20"/>
                <w:color w:val="auto"/>
              </w:rPr>
            </w:pPr>
            <w:r>
              <w:rPr>
                <w:rFonts w:ascii="Arial" w:cs="Arial" w:eastAsia="Arial" w:hAnsi="Arial"/>
                <w:sz w:val="13"/>
                <w:szCs w:val="13"/>
                <w:color w:val="auto"/>
                <w:w w:val="75"/>
                <w:shd w:val="clear" w:color="auto" w:fill="CCEEFF"/>
              </w:rPr>
              <w:t>(1)</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47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3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Direct</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Ceded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pool risk-in-force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466,849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61,963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528,812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Statutory policyholders' surplus</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234,261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243,481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Statutory contingency reserve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statutory policyholders' position</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239,670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10,073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249,743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 xml:space="preserve">Risk-to-Capital </w:t>
            </w:r>
            <w:r>
              <w:rPr>
                <w:rFonts w:ascii="Arial" w:cs="Arial" w:eastAsia="Arial" w:hAnsi="Arial"/>
                <w:sz w:val="25"/>
                <w:szCs w:val="25"/>
                <w:color w:val="auto"/>
                <w:vertAlign w:val="superscript"/>
              </w:rPr>
              <w:t>(2)</w:t>
            </w:r>
          </w:p>
        </w:tc>
        <w:tc>
          <w:tcPr>
            <w:tcW w:w="400" w:type="dxa"/>
            <w:vAlign w:val="bottom"/>
          </w:tcPr>
          <w:p>
            <w:pPr>
              <w:spacing w:after="0"/>
              <w:rPr>
                <w:sz w:val="24"/>
                <w:szCs w:val="24"/>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820" w:hanging="488"/>
        <w:spacing w:after="0"/>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Pool risk-in-force as shown in the table above is equal to the aggregate stop loss less a deductible.</w:t>
      </w:r>
    </w:p>
    <w:p>
      <w:pPr>
        <w:spacing w:after="0" w:line="90" w:lineRule="exact"/>
        <w:rPr>
          <w:rFonts w:ascii="Arial" w:cs="Arial" w:eastAsia="Arial" w:hAnsi="Arial"/>
          <w:sz w:val="22"/>
          <w:szCs w:val="22"/>
          <w:color w:val="auto"/>
          <w:vertAlign w:val="superscript"/>
        </w:rPr>
      </w:pPr>
    </w:p>
    <w:p>
      <w:pPr>
        <w:jc w:val="both"/>
        <w:ind w:left="820" w:hanging="488"/>
        <w:spacing w:after="0" w:line="230" w:lineRule="auto"/>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Represents total risk-in-force divided by statutory policyholders' position which is the metric by which the majority of state insurance regulators will assess our capital adequacy. Additionally, pursuant to the 2013 Fannie Mae pool agreement, we are required to maintain the greater of (a) the risk-to-capital requirements outlined in Fannie Mae's January 2013 approval letter or (b) a risk-to-capital ratio of 18:1 on primary business plus statutory capital equal to the amount of net risk-in-force of the pool.</w:t>
      </w:r>
    </w:p>
    <w:p>
      <w:pPr>
        <w:spacing w:after="0" w:line="1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such as NMIH. Delaware corporation law provides that dividends are only payable out of a corporation's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capital surplus or (subject to certain limitations) recent net profits. As of December 31, 2013, NMIH's capital surplus was approximately $463 million. NMIH assets, excluding investment in NMIC and Re One, were approximately $276 million at December 31, 2013 and were unencumbered by any debt or other subsidiary commitments or obligations. The insurance subsidiaries are both mono-line mortgage guaranty insurance companies, and the assets of each are dedicated only to the support of direct risk and obligations of each mortgage insurance entity. NMIC only writes direct mortgage guaranty insurance business and assumes no business from any other entity. Re One only assumes business from NMIC to allow NMIC to comply with statutory risk requirements. Neither NMIC nor Re One have subsidiaries, and therefore do not have subsidiary risks and obligations that compete for its resources.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GSEs and state insurance regulators may restrict our insurance subsidiaries' ability to pay dividends to NMIH. In addition to the restrictions imposed during the GSE Approval and state licensing processes, the ability of our insurance subsidiaries to pay dividends to NMIH is limited by insurance laws of the State of Wisconsin and certain other states. Wisconsin law provides that an insurance company may pay out dividends without the prior approval of the Wisconsin OCI (“ordinary dividends”) in an amount, when added to other shareholder distributions made in the prior 12 months, not to exceed the lesser of (a) 10% of the insurer's surplus as regards to policyholders as of the prior December 31, or (b) its net income (excluding realized capital gains) for the twelve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Wisconsin OCI. As of December 31, 2013, the amount of restricted net assets held by our consolidated insurance subsidiaries totaled approximately $193 million of NMIH's consolidated net assets of $463 million. The amount of restricted assets used to determine any dividend to NMIH, once all restrictions expire, would be computed under SAP which may differ from the amount of restricted assets computed under GAAP. Since inception, NMIC has not paid any dividends to NMIH. As NMIC had a statutory net loss for the year ended December 31, 2013, NMIC cannot pay any dividends to NMIH through December 31, 2014, without the prior approval of the Wisconsin OCI. Additionally, NMIC will not be permitted to pay dividends to NMIH until after December 31, 2015 as a condition of GSE Approval or until January 2016 under agreements with various state insurance regulators.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Annual Report on Form 10-K for the year ended December 31, 2013, for a more complete understanding of our financial position and results of operations. In addition, investors should review the “Cautionary Note Regarding Forward-Looking Statements” above and the “Risk Factors” detailed in Item 1A of Part I of our Annual Report on Form 10-K for the year ended December 31, 2013, as subsequently updated in Item 1A of Part II of our Quarterly Reports on Form 10-Q filed in 2014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the full year or for any other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were incorporated in May 2011 and, through our subsidiaries, provide private mortgage guaranty insurance (which we refer to as "mortgage insurance" or "MI"). Our primary insurance subsidiary, National Mortgage Insurance Corporation ("NMIC"), is a qualified MI provider on loans purchased by Fannie Mae and Freddie Mac (collectively the “GSEs”) and is currently licensed in all 50 states and D.C. to issue mortgage guaranty insurance. Our reinsurance subsidiary, National Mortgage Reinsurance Inc One (“Re One”), solely provides reinsurance to NMIC on certain loans insured by NMIC, as described in </w:t>
      </w:r>
      <w:r>
        <w:rPr>
          <w:rFonts w:ascii="Arial" w:cs="Arial" w:eastAsia="Arial" w:hAnsi="Arial"/>
          <w:sz w:val="16"/>
          <w:szCs w:val="16"/>
          <w:i w:val="1"/>
          <w:iCs w:val="1"/>
          <w:color w:val="auto"/>
        </w:rPr>
        <w:t>Note 12, Statutory Information</w:t>
      </w:r>
      <w:r>
        <w:rPr>
          <w:rFonts w:ascii="Arial" w:cs="Arial" w:eastAsia="Arial" w:hAnsi="Arial"/>
          <w:sz w:val="16"/>
          <w:szCs w:val="16"/>
          <w:color w:val="auto"/>
        </w:rPr>
        <w:t>, above. On November 8, 2013, we filed a final prospectus announcing the sale of 2.1 million shares of common stock through our IPO. Following our IPO, and to meet our obligations under certain Registration Rights Agreements to which we are a party, we filed a final prospectus on December 9, 2013 registering 51,101,434 Class A common shares that had previously been issued during our Private Placement.</w:t>
      </w:r>
    </w:p>
    <w:p>
      <w:pPr>
        <w:spacing w:after="0" w:line="1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Fannie Mae and Freddie Mac. We are one of seven companies in the U.S. who offer MI. Our business strategy is to become a leading national MI company with our principal focus on writing insurance on high quality, low down payment residential mortgages in the United States.</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MI industry is a highly regulated, capital intensive industry. Other challenges to entry include the need for a customer-integrated operating platform capable of issuing and servicing mortgage insurance policies, the competitive positions and established customer relationships of existing mortgage insurance providers, and in order to conduct MI business nationwide, the need to obtain and maintain insurance licenses in all 50 states and D.C. Additionally, the resource commitment required by mortgage originators, and larger lenders in particular, to connect to a new mortgage insurance platform, such as ours, is significant, and absent a critical need, such as the capital constraints in the MI industry during the financial crisis, they have historically, in our view, been reluctant to make such an investment. We were formed at a time when the severe dislocation in the MI industry caused by the financial crisis created a need for newly capitalized mortgage insurers and this has facilitated our efforts to establish relationships with lenders.</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our formation, we focused our efforts on organizational development, capital raising and other start-up related activities. Our efforts to build our MI business have included, among other things, securing GSE approval, obtaining insurance licenses in all 50 states and D.C., building an executive management team and hiring other key officers and directors and staff, building our operating processes, and designing and developing our business and technology applications and environment and infrastructure. In 2014, we continue to make progress achieving our goals, through the addition of new customers and the attainment of our goal of becoming licensed nationwide by obtaining a certificate of authority in Wyoming in April 2014. Since we began writing MI in April 2013, we have become a fully operational MI company, with $1.8 billion of primary IIF and $4.8 billion of pool IIF as of September 30, 2014 compared to $161.7 million of primary IIF and $5.1 billion of pool IIF as of December 31, 2013. As of September 30, 2014, the Company had primary RIF of $435.7 million compared to primary RIF of $36.5 million as of December 31, 2013. Pool RIF as of September 30, 2014 and December 31, 2013 was $93.1 million.</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NMIC primarily differentiates itself from its competitors by underwriting all loans it insures either prior to or post close, which permits us to provide loan originators and aggregators with 12-month rescission relief protection, thereby giving our customers consistent confidence of coverage. We have established risk management controls throughout our organization that we believe will support our continued financial strength. As a newly capitalized mortgage insurer, we have the ability to write new business without the burden of risky legacy exposures and believe our current capital supports our current business writing strategy, while staying within the regulatory guidelines imposed by state insurance departments and the GSEs.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both"/>
        <w:ind w:firstLine="648"/>
        <w:spacing w:after="0" w:line="290" w:lineRule="auto"/>
        <w:rPr>
          <w:sz w:val="20"/>
          <w:szCs w:val="20"/>
          <w:color w:val="auto"/>
        </w:rPr>
      </w:pPr>
      <w:r>
        <w:rPr>
          <w:rFonts w:ascii="Arial" w:cs="Arial" w:eastAsia="Arial" w:hAnsi="Arial"/>
          <w:sz w:val="16"/>
          <w:szCs w:val="16"/>
          <w:color w:val="auto"/>
        </w:rPr>
        <w:t>On July 10, 2014, the Federal Housing Finance Agency ("FHFA") released for public comment the proposed private mortgage insurer eligibility requirements ("PMIERs"). The draft PMIERs represent the standards by which private mortgage insurers are eligible to provide mortgage insurance on loans owned or guaranteed by the GSEs. We believe that the proposed eligibility requirements for private mortgage insurers will help restore confidence in an industry affected by the recent housing crisis. We also believe a strong and financially sustainable private mortgage insurance industry is a key component of a healthy residential mortgage market and that NMIC is well positioned under the PMIERs to continue to serve the growing demand for private MI. The public comment period for the PMIER's closed on September 8, 2014, and we, along with other industry participants, provided comments to the FHFA, which are publicly available on the FHFA's website. Our comments, the FHFA's website and information contained on or accessible through the FHFA's website are not incorporated by reference into this report. We believe NMIC will fully comply with the new financial requirements within the transition time period.</w:t>
      </w:r>
    </w:p>
    <w:p>
      <w:pPr>
        <w:spacing w:after="0" w:line="1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headquarters are located in Emeryville, California and our website is www.nationalmi.com. Our website and the information contained on or accessible through our website are not incorporated by reference into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discuss below the following conditions and trends that have impacted or are expected to impact our business.</w:t>
      </w:r>
    </w:p>
    <w:p>
      <w:pPr>
        <w:spacing w:after="0" w:line="144" w:lineRule="exact"/>
        <w:rPr>
          <w:sz w:val="20"/>
          <w:szCs w:val="20"/>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Development</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Insurance Written ("NIW"), Insurance in Force and Risk in Force</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 Company Liquidity and Capital Resources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Position of Our Insurance Subsidiaries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Investment Portfolio and Other Factors that Impact Our Consolidated Results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PMIERs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GSE Approval Conditions and GSE Reform</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Development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organize our sales and marketing efforts based on our national and regional customer segmentation. Our sales strategy is focused on attracting as customers mortgage originators in the United States that fall into two distinct categories, which we refer to as "National Accounts" and "Regional Accounts," discussed below. Since April 2013, we have increased our customer base to include some of the largest loan originators in the U.S., and we expect to continue to acquire new national and regional account customers. In addition to adding new customers, we believe our existing customers will allocate more of their business to us for placement of our MI.</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define National Accounts as the most significant residential mortgage originators as determined by volume of their own originations as well as volume of insured business they may acquire from other originators through their correspondent channels. These National Accounts generally originate loans through their retail channels as well as purchase loans originated by other entities, primarily mortgage originators who we would classify as Regional Accounts, as described below. National Accounts may sell their loans to the GSEs or private label secondary markets or securitize the loans themselves. We currently classify approximately 40 mortgage originators and/or aggregators as National Accounts.</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Regional Accounts originate mortgage loans on a local or regional level throughout the country. Some of these Regional Accounts have origination platforms across multiple regions; however, their primary lending focus is local. They sell the majority of their originations to National Accounts, but Regional Accounts may also retain loans in their portfolios or sell portions of their production directly to the GSEs.</w:t>
      </w:r>
    </w:p>
    <w:p>
      <w:pPr>
        <w:spacing w:after="0" w:line="1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nine months ended September 30, 2014, we received NIW from 189 National and Regional Accounts. The table below shows the number of our customers generating NIW within each of the last six completed fiscal quarters and during the nine months ended September 30, 2014.</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1975485</wp:posOffset>
            </wp:positionH>
            <wp:positionV relativeFrom="page">
              <wp:posOffset>380365</wp:posOffset>
            </wp:positionV>
            <wp:extent cx="3610610" cy="4098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610610"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Insurance Written, Insurance in Force and Risk in Force</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NMIC began writing MI in April 2013. Primary insurance may be written on a flow basis, in which loans are insured in individual, loan-by-loan transactions, or may be written on a bulk basis, in which each loan in a portfolio of loans is individually insured in a single, bulk transaction. MI may also be written in a pool policy, where a group of loans (or pool) are insured under a single contract. Pool insurance may have a stated aggregate loss limit for a pool of loans and may also have a deductible under which no losses are paid by the insurer until losses on the pool of loans exceed the deductible.</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 months ended September 30, 2014, we had primary NIW of $974.9 million, compared to primary NIW of $429.9 million during the three months ended June 30, 2014. We have not written any new pool insurance in 2014. Our total NIW of $5.3 billion for the year ended December 31, 2013 consisted almost entirely of pool insurance written under our Fannie Mae pool agreement, which comprised $5.2 billion of the total NIW.</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2014, NMIC had primary IIF of $1.8 billion and pool IIF of $4.8 billion and total RIF of $528.8 million, consisting of $435.7 million of primary RIF, representing insurance on 7,628 loans, and pool RIF of $93.1 million, representing insurance on approximately 21,000 loans. As of December 31, 2013, NMIC had primary IIF of $161.7 million and pool IIF of $5.1 billion and total RIF of $129.6 million, consisting of primary RIF of $36.5 million and pool RIF of $93.1 million. We expect NMIC's primary IIF and RIF to significantly increase over the coming months.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Fannie Mae Pool Transaction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September 1, 2013, NMIC entered into an agreement with Fannie Mae, pursuant to which NMIC initially insured approximately 22,000 loans with IIF of $5.2 billion (as of September 1, 2013). We receive monthly premiums from Fannie Mae for this transaction, which are recorded as written and earned in the month received. The agreement has a term of 10 years from September 1, 2013, the coverage effective date.</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RIF to NMIC is $93.1 million, which represents the difference between a deductible payable by Fannie Mae on initial losses and a stop loss above which losses are borne by Fannie Mae. NMIC provides this same level of risk coverage over the term</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40"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of the agreement. We are bound to counter-party requirements contained in the agreement that specify the amount of capital NMIC will need to maintain to support the agreement until the new PMIERs are effective, discussed below in "</w:t>
      </w:r>
      <w:r>
        <w:rPr>
          <w:rFonts w:ascii="Arial" w:cs="Arial" w:eastAsia="Arial" w:hAnsi="Arial"/>
          <w:sz w:val="18"/>
          <w:szCs w:val="18"/>
          <w:i w:val="1"/>
          <w:iCs w:val="1"/>
          <w:color w:val="auto"/>
        </w:rPr>
        <w:t>Proposed PMIERs</w:t>
      </w:r>
      <w:r>
        <w:rPr>
          <w:rFonts w:ascii="Arial" w:cs="Arial" w:eastAsia="Arial" w:hAnsi="Arial"/>
          <w:sz w:val="18"/>
          <w:szCs w:val="18"/>
          <w:color w:val="auto"/>
        </w:rPr>
        <w:t>." The capital we are required to maintain under the pool agreement is specified as the greater of the following:</w:t>
      </w:r>
    </w:p>
    <w:p>
      <w:pPr>
        <w:spacing w:after="0" w:line="1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capital required in our January 2013 approval letter from Fannie Mae ($150 million);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5.6% of net primary RIF, plus;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pool insurance, the lesser of</w:t>
      </w:r>
    </w:p>
    <w:p>
      <w:pPr>
        <w:spacing w:after="0" w:line="63" w:lineRule="exact"/>
        <w:rPr>
          <w:rFonts w:ascii="Arial" w:cs="Arial" w:eastAsia="Arial" w:hAnsi="Arial"/>
          <w:sz w:val="18"/>
          <w:szCs w:val="18"/>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5.6% of the RIF under the pool transaction, based upon loan level coverage, before application of the aggregate stop loss and deductible, or;</w:t>
      </w:r>
    </w:p>
    <w:p>
      <w:pPr>
        <w:spacing w:after="0" w:line="8" w:lineRule="exact"/>
        <w:rPr>
          <w:rFonts w:ascii="Arial" w:cs="Arial" w:eastAsia="Arial" w:hAnsi="Arial"/>
          <w:sz w:val="18"/>
          <w:szCs w:val="18"/>
          <w:color w:val="auto"/>
        </w:rPr>
      </w:pPr>
    </w:p>
    <w:p>
      <w:pPr>
        <w:ind w:left="1960" w:hanging="331"/>
        <w:spacing w:after="0"/>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aggregate stop loss amount, net of any deductible, for the pool transaction.</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our GSE approval letters require that NMIC hold at least $150 million of capital in total to support both pool and primary risk, the capital we are required to maintain under this pool agreement just to support the pool risk (under b.ii.) will decline over the 10-year term of the agreement as the loans in the pool amortize or as loans pay off. The amount calculated under ii.2. is equivalent to $93.1 million and remains the same over the term of the transaction. The current loan level RIF of the pool, as of September 30, 2014, is $1.64 billion, which, when multiplied by 5.6% per the calculation under b.ii.1, produces a capital requirement of $91.9 million. We expect that as the loans in the pool amortize or as loans pay off, the capital required in b.ii.1 will continue to decline below the $93.1 million, which is constant and set at the effective date of the transaction, and as a result the amount of capital required under b.ii. will continue to decline. If the draft PMIERs (discussed below) were put into place today, we expect that the amount of capital we would have to hold to support this particular pool transaction would be $44.1 million, a significant reduction from the current capital requirement of $91.9 million under b.ii above.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Portfolio</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underwrite every loan we insure, including loans submitted through our delegated channel. We believe the prevailing standard of other companies in the MI industry has been to conduct partial quality assurance testing of delegated underwritten loans. We believe the industry's practice has exacerbated the negative impact of the recent mortgage crisis on legacy mortgage insurers because their partial quality control reviews did not adequately prevent the issuance of mortgage insurance through their delegated channels on ineligible, poor quality loans. Our pricing policies also help mitigate credit risk in the form of higher premium rates for loan features or borrower characteristics associated with historically higher default rates.</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this underwriting, we utilize certain risk principles that form the basis of how we originate primary NIW. First, we manage our portfolio credit risk by using several loan eligibility matrices which prescribe the maximum loan-to-value ("LTV") ratio,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monitor the concentrations of the various risk attributes in our insurance portfolio. Our primary IIF and RIF as of September 30, 2014 were made up of approximately 66% and 65%, respectively, of credit scores at or above 740. Generally, insuring loans made to borrowers with higher credit scores tends to result in a lower frequency of claims. Additionally, as of September 30, 2014, we believe our insurance portfolio is comprised of loans that are full documentation loans, and less than 1% of our RIF is above 95% LTV. As we continue to increase our insurance writings, we expect to continue to seek out and insure high credit quality mortgages. Since we recently began writing MI in April 2013, our portfolio does not yet reflect our expected distribution of LTVs, borrower credit scores, loan sizes, property types and occupancy statuses of loans that we expect to insure, as well as the concentrations within states and metropolitan statistical areas. We believe we will move toward our expected distribution of these risk attributes in our insurance portfolio as we continue to write more business.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i w:val="1"/>
          <w:iCs w:val="1"/>
          <w:color w:val="auto"/>
        </w:rPr>
        <w:t>Overview of NIW, IIF and RIF</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significant portion of our NIW in the first nine months of 2014 was comprised of single premium policies. Our single premium polices are currently written in two ways: single premium policies written on a loan by loan basis (“Single”) and single premium policies written on individual loans that are aggregated and delivered by the lender in a single transaction (“Aggregated Single”). Prior to writing Aggregated Single policies, the lender solicits single premium bids from us and other private MI companies. Because of the lower acquisition cost, the competitive bidding process and traditionally higher FICO scores associated with these policies, Aggregated Single policies have lower premiums than our Single premium policies.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our single premium policies (including Single and Aggregated Single) currently represent the majority of our NIW and IIF, we expect the mix of our policy types could change meaningfully in future quarters. Our current long term expectation is for our total single premium polices (including Single and Aggregated Single) to collectively represent ten to twenty percent of our NIW and IIF as we expand our customer base and our business develops. Lender-paid single premiums are non-refundable and fully earned upon cancellation.</w:t>
      </w:r>
    </w:p>
    <w:p>
      <w:pPr>
        <w:spacing w:after="0" w:line="1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tables on the following pages provide information on our current IIF by different metrics for the periods presented, including weighted average premiums (in basis points), FICO distributions, LTVs, premiums written and earned, average loan sizes and geographic distribution.</w:t>
      </w:r>
    </w:p>
    <w:p>
      <w:pPr>
        <w:spacing w:after="0" w:line="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shows NIW, IIF, RIF, policies in force, the weighted-average coverage and loans in default, by quarter, for the last five quarters, for our primary book.</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255"/>
        </w:trPr>
        <w:tc>
          <w:tcPr>
            <w:tcW w:w="2260" w:type="dxa"/>
            <w:vAlign w:val="bottom"/>
            <w:gridSpan w:val="3"/>
          </w:tcPr>
          <w:p>
            <w:pPr>
              <w:ind w:left="20"/>
              <w:spacing w:after="0"/>
              <w:rPr>
                <w:sz w:val="20"/>
                <w:szCs w:val="20"/>
                <w:color w:val="auto"/>
              </w:rPr>
            </w:pPr>
            <w:r>
              <w:rPr>
                <w:rFonts w:ascii="Arial" w:cs="Arial" w:eastAsia="Arial" w:hAnsi="Arial"/>
                <w:sz w:val="18"/>
                <w:szCs w:val="18"/>
                <w:b w:val="1"/>
                <w:bCs w:val="1"/>
                <w:color w:val="auto"/>
              </w:rPr>
              <w:t>Primary</w:t>
            </w: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4"/>
              </w:rPr>
              <w:t>September 30, 2014</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June 30, 2014</w:t>
            </w: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March 31, 2014</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December 31, 2013</w:t>
            </w: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September 30, 2013</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center"/>
              <w:ind w:right="154"/>
              <w:spacing w:after="0"/>
              <w:rPr>
                <w:sz w:val="20"/>
                <w:szCs w:val="20"/>
                <w:color w:val="auto"/>
              </w:rPr>
            </w:pPr>
            <w:r>
              <w:rPr>
                <w:rFonts w:ascii="Arial" w:cs="Arial" w:eastAsia="Arial" w:hAnsi="Arial"/>
                <w:sz w:val="14"/>
                <w:szCs w:val="14"/>
                <w:i w:val="1"/>
                <w:iCs w:val="1"/>
                <w:color w:val="auto"/>
                <w:w w:val="95"/>
              </w:rPr>
              <w:t>(Dollars in Thousands)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New insurance written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974,910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429,944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354,313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157,568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70"/>
        </w:trPr>
        <w:tc>
          <w:tcPr>
            <w:tcW w:w="2260" w:type="dxa"/>
            <w:vAlign w:val="bottom"/>
            <w:gridSpan w:val="3"/>
          </w:tcPr>
          <w:p>
            <w:pPr>
              <w:ind w:left="26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1,812,956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939,753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94"/>
              <w:spacing w:after="0"/>
              <w:rPr>
                <w:sz w:val="20"/>
                <w:szCs w:val="20"/>
                <w:color w:val="auto"/>
              </w:rPr>
            </w:pPr>
            <w:r>
              <w:rPr>
                <w:rFonts w:ascii="Arial" w:cs="Arial" w:eastAsia="Arial" w:hAnsi="Arial"/>
                <w:sz w:val="18"/>
                <w:szCs w:val="18"/>
                <w:color w:val="auto"/>
              </w:rPr>
              <w:t>514,796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161,731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70"/>
        </w:trPr>
        <w:tc>
          <w:tcPr>
            <w:tcW w:w="2260" w:type="dxa"/>
            <w:vAlign w:val="bottom"/>
            <w:gridSpan w:val="3"/>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435,722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220,949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115,467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36,516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0"/>
        </w:trPr>
        <w:tc>
          <w:tcPr>
            <w:tcW w:w="2260" w:type="dxa"/>
            <w:vAlign w:val="bottom"/>
            <w:gridSpan w:val="3"/>
          </w:tcPr>
          <w:p>
            <w:pPr>
              <w:ind w:left="260"/>
              <w:spacing w:after="0" w:line="270" w:lineRule="exact"/>
              <w:rPr>
                <w:sz w:val="20"/>
                <w:szCs w:val="20"/>
                <w:color w:val="auto"/>
              </w:rPr>
            </w:pPr>
            <w:r>
              <w:rPr>
                <w:rFonts w:ascii="Arial" w:cs="Arial" w:eastAsia="Arial" w:hAnsi="Arial"/>
                <w:sz w:val="18"/>
                <w:szCs w:val="18"/>
                <w:color w:val="auto"/>
              </w:rPr>
              <w:t xml:space="preserve">Policies in force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7,628</w:t>
            </w:r>
          </w:p>
        </w:tc>
        <w:tc>
          <w:tcPr>
            <w:tcW w:w="340" w:type="dxa"/>
            <w:vAlign w:val="bottom"/>
          </w:tcPr>
          <w:p>
            <w:pPr>
              <w:spacing w:after="0"/>
              <w:rPr>
                <w:sz w:val="23"/>
                <w:szCs w:val="23"/>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3,865</w:t>
            </w:r>
          </w:p>
        </w:tc>
        <w:tc>
          <w:tcPr>
            <w:tcW w:w="240" w:type="dxa"/>
            <w:vAlign w:val="bottom"/>
          </w:tcPr>
          <w:p>
            <w:pPr>
              <w:spacing w:after="0"/>
              <w:rPr>
                <w:sz w:val="23"/>
                <w:szCs w:val="23"/>
                <w:color w:val="auto"/>
              </w:rPr>
            </w:pPr>
          </w:p>
        </w:tc>
        <w:tc>
          <w:tcPr>
            <w:tcW w:w="1660" w:type="dxa"/>
            <w:vAlign w:val="bottom"/>
          </w:tcPr>
          <w:p>
            <w:pPr>
              <w:jc w:val="right"/>
              <w:ind w:right="194"/>
              <w:spacing w:after="0"/>
              <w:rPr>
                <w:sz w:val="20"/>
                <w:szCs w:val="20"/>
                <w:color w:val="auto"/>
              </w:rPr>
            </w:pPr>
            <w:r>
              <w:rPr>
                <w:rFonts w:ascii="Arial" w:cs="Arial" w:eastAsia="Arial" w:hAnsi="Arial"/>
                <w:sz w:val="18"/>
                <w:szCs w:val="18"/>
                <w:color w:val="auto"/>
              </w:rPr>
              <w:t>2,072</w:t>
            </w:r>
          </w:p>
        </w:tc>
        <w:tc>
          <w:tcPr>
            <w:tcW w:w="200" w:type="dxa"/>
            <w:vAlign w:val="bottom"/>
          </w:tcPr>
          <w:p>
            <w:pPr>
              <w:spacing w:after="0"/>
              <w:rPr>
                <w:sz w:val="23"/>
                <w:szCs w:val="23"/>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Weighted-average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coverage</w:t>
            </w:r>
          </w:p>
        </w:tc>
        <w:tc>
          <w:tcPr>
            <w:tcW w:w="1300" w:type="dxa"/>
            <w:vAlign w:val="bottom"/>
            <w:shd w:val="clear" w:color="auto" w:fill="CCEEFF"/>
          </w:tcPr>
          <w:p>
            <w:pPr>
              <w:jc w:val="right"/>
              <w:ind w:right="1097"/>
              <w:spacing w:after="0"/>
              <w:rPr>
                <w:sz w:val="20"/>
                <w:szCs w:val="20"/>
                <w:color w:val="auto"/>
              </w:rPr>
            </w:pPr>
            <w:r>
              <w:rPr>
                <w:rFonts w:ascii="Arial" w:cs="Arial" w:eastAsia="Arial" w:hAnsi="Arial"/>
                <w:sz w:val="13"/>
                <w:szCs w:val="13"/>
                <w:color w:val="auto"/>
                <w:w w:val="75"/>
                <w:shd w:val="clear" w:color="auto" w:fill="CCEEFF"/>
              </w:rPr>
              <w:t>(2)</w:t>
            </w: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76"/>
        </w:trPr>
        <w:tc>
          <w:tcPr>
            <w:tcW w:w="26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3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58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660" w:type="dxa"/>
            <w:vAlign w:val="bottom"/>
            <w:tcBorders>
              <w:bottom w:val="single" w:sz="8" w:color="CCEEFF"/>
            </w:tcBorders>
            <w:vMerge w:val="continue"/>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158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5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3"/>
          </w:tcPr>
          <w:p>
            <w:pPr>
              <w:ind w:left="260"/>
              <w:spacing w:after="0"/>
              <w:rPr>
                <w:sz w:val="20"/>
                <w:szCs w:val="20"/>
                <w:color w:val="auto"/>
              </w:rPr>
            </w:pPr>
            <w:r>
              <w:rPr>
                <w:rFonts w:ascii="Arial" w:cs="Arial" w:eastAsia="Arial" w:hAnsi="Arial"/>
                <w:sz w:val="18"/>
                <w:szCs w:val="18"/>
                <w:color w:val="auto"/>
              </w:rPr>
              <w:t>Loans in default (count)</w:t>
            </w:r>
          </w:p>
        </w:tc>
        <w:tc>
          <w:tcPr>
            <w:tcW w:w="18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6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7"/>
              </w:rPr>
              <w:t>Risk in force on defaulted</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820" w:hanging="488"/>
        <w:spacing w:after="0"/>
        <w:tabs>
          <w:tab w:leader="none" w:pos="820" w:val="left"/>
        </w:tabs>
        <w:numPr>
          <w:ilvl w:val="0"/>
          <w:numId w:val="7"/>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7"/>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table below shows primary and pool IIF, NIW and premiums written and earned by policy type.</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Primary and Pool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and for the Three Months Ended September 30, 2014</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6"/>
          </w:tcPr>
          <w:p>
            <w:pPr>
              <w:jc w:val="center"/>
              <w:ind w:left="134"/>
              <w:spacing w:after="0"/>
              <w:rPr>
                <w:sz w:val="20"/>
                <w:szCs w:val="20"/>
                <w:color w:val="auto"/>
              </w:rPr>
            </w:pPr>
            <w:r>
              <w:rPr>
                <w:rFonts w:ascii="Arial" w:cs="Arial" w:eastAsia="Arial" w:hAnsi="Arial"/>
                <w:sz w:val="14"/>
                <w:szCs w:val="14"/>
                <w:b w:val="1"/>
                <w:bCs w:val="1"/>
                <w:color w:val="auto"/>
                <w:w w:val="92"/>
              </w:rPr>
              <w:t>As of and for the Three Months Ended June 30, 2014</w:t>
            </w:r>
          </w:p>
        </w:tc>
        <w:tc>
          <w:tcPr>
            <w:tcW w:w="600" w:type="dxa"/>
            <w:vAlign w:val="bottom"/>
            <w:tcBorders>
              <w:bottom w:val="single" w:sz="8" w:color="auto"/>
            </w:tcBorders>
          </w:tcPr>
          <w:p>
            <w:pPr>
              <w:spacing w:after="0"/>
              <w:rPr>
                <w:sz w:val="16"/>
                <w:szCs w:val="16"/>
                <w:color w:val="auto"/>
              </w:rPr>
            </w:pPr>
          </w:p>
        </w:tc>
      </w:tr>
      <w:tr>
        <w:trPr>
          <w:trHeight w:val="250"/>
        </w:trPr>
        <w:tc>
          <w:tcPr>
            <w:tcW w:w="1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IIF</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NIW</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Premiums Earned</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NIW</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Premiums Earned</w:t>
            </w:r>
          </w:p>
        </w:tc>
      </w:tr>
      <w:tr>
        <w:trPr>
          <w:trHeight w:val="250"/>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6"/>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690,081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423,625</w:t>
            </w:r>
          </w:p>
        </w:tc>
        <w:tc>
          <w:tcPr>
            <w:tcW w:w="4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277,490</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206,767</w:t>
            </w:r>
          </w:p>
        </w:tc>
        <w:tc>
          <w:tcPr>
            <w:tcW w:w="6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257,557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132,973</w:t>
            </w:r>
          </w:p>
        </w:tc>
        <w:tc>
          <w:tcPr>
            <w:tcW w:w="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2,771</w:t>
            </w:r>
          </w:p>
        </w:tc>
        <w:tc>
          <w:tcPr>
            <w:tcW w:w="66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125,056</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97,037</w:t>
            </w:r>
          </w:p>
        </w:tc>
        <w:tc>
          <w:tcPr>
            <w:tcW w:w="6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5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865,318</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418,312</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537,207</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126,140</w:t>
            </w:r>
          </w:p>
        </w:tc>
        <w:tc>
          <w:tcPr>
            <w:tcW w:w="6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37"/>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Primary</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1,812,956</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974,910</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8,320</w:t>
            </w: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939,753</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429,944</w:t>
            </w:r>
          </w:p>
        </w:tc>
        <w:tc>
          <w:tcPr>
            <w:tcW w:w="6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3,679</w:t>
            </w: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1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Pool</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4,822,061</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1,341</w:t>
            </w:r>
          </w:p>
        </w:tc>
        <w:tc>
          <w:tcPr>
            <w:tcW w:w="66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4,936,751</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6,635,017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974,910</w:t>
            </w:r>
          </w:p>
        </w:tc>
        <w:tc>
          <w:tcPr>
            <w:tcW w:w="4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9,661</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5,876,504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429,944</w:t>
            </w:r>
          </w:p>
        </w:tc>
        <w:tc>
          <w:tcPr>
            <w:tcW w:w="6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140" w:type="dxa"/>
            <w:vAlign w:val="bottom"/>
            <w:tcBorders>
              <w:top w:val="single" w:sz="8" w:color="auto"/>
              <w:bottom w:val="single" w:sz="8" w:color="auto"/>
            </w:tcBorders>
            <w:gridSpan w:val="6"/>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gridSpan w:val="6"/>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1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6"/>
          </w:tcPr>
          <w:p>
            <w:pPr>
              <w:jc w:val="right"/>
              <w:ind w:right="116"/>
              <w:spacing w:after="0"/>
              <w:rPr>
                <w:sz w:val="20"/>
                <w:szCs w:val="20"/>
                <w:color w:val="auto"/>
              </w:rPr>
            </w:pPr>
            <w:r>
              <w:rPr>
                <w:rFonts w:ascii="Arial" w:cs="Arial" w:eastAsia="Arial" w:hAnsi="Arial"/>
                <w:sz w:val="14"/>
                <w:szCs w:val="14"/>
                <w:b w:val="1"/>
                <w:bCs w:val="1"/>
                <w:color w:val="auto"/>
              </w:rPr>
              <w:t>As of and for the Three Months Ended March 31, 2014</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left="134"/>
              <w:spacing w:after="0"/>
              <w:rPr>
                <w:sz w:val="20"/>
                <w:szCs w:val="20"/>
                <w:color w:val="auto"/>
              </w:rPr>
            </w:pPr>
            <w:r>
              <w:rPr>
                <w:rFonts w:ascii="Arial" w:cs="Arial" w:eastAsia="Arial" w:hAnsi="Arial"/>
                <w:sz w:val="14"/>
                <w:szCs w:val="14"/>
                <w:b w:val="1"/>
                <w:bCs w:val="1"/>
                <w:color w:val="auto"/>
                <w:w w:val="92"/>
              </w:rPr>
              <w:t>As of and for the Three Months Ended December 31, 2013</w:t>
            </w:r>
          </w:p>
        </w:tc>
        <w:tc>
          <w:tcPr>
            <w:tcW w:w="600" w:type="dxa"/>
            <w:vAlign w:val="bottom"/>
            <w:tcBorders>
              <w:bottom w:val="single" w:sz="8" w:color="auto"/>
            </w:tcBorders>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IIF</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NIW</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Premiums Earned</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NIW</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Premiums Earned</w:t>
            </w:r>
          </w:p>
        </w:tc>
      </w:tr>
      <w:tr>
        <w:trPr>
          <w:trHeight w:val="250"/>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6"/>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50,136</w:t>
            </w:r>
          </w:p>
        </w:tc>
        <w:tc>
          <w:tcPr>
            <w:tcW w:w="4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20,395</w:t>
            </w:r>
          </w:p>
        </w:tc>
        <w:tc>
          <w:tcPr>
            <w:tcW w:w="6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28,020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26,518</w:t>
            </w:r>
          </w:p>
        </w:tc>
        <w:tc>
          <w:tcPr>
            <w:tcW w:w="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66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1,790</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1,790</w:t>
            </w:r>
          </w:p>
        </w:tc>
        <w:tc>
          <w:tcPr>
            <w:tcW w:w="6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5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413,042</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277,659</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135,383</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135,383</w:t>
            </w:r>
          </w:p>
        </w:tc>
        <w:tc>
          <w:tcPr>
            <w:tcW w:w="6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Primary</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514,796</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354,313</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3,784</w:t>
            </w: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161,731</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157,568</w:t>
            </w:r>
          </w:p>
        </w:tc>
        <w:tc>
          <w:tcPr>
            <w:tcW w:w="6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1,644</w:t>
            </w: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1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Pool</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5,028,677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66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5,089,517</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1,414</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5,543,473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354,313</w:t>
            </w:r>
          </w:p>
        </w:tc>
        <w:tc>
          <w:tcPr>
            <w:tcW w:w="4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5,178</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5,251,248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157,568</w:t>
            </w:r>
          </w:p>
        </w:tc>
        <w:tc>
          <w:tcPr>
            <w:tcW w:w="6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3,058</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gridSpan w:val="6"/>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623"/>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left="154"/>
              <w:spacing w:after="0"/>
              <w:rPr>
                <w:sz w:val="20"/>
                <w:szCs w:val="20"/>
                <w:color w:val="auto"/>
              </w:rPr>
            </w:pPr>
            <w:r>
              <w:rPr>
                <w:rFonts w:ascii="Arial" w:cs="Arial" w:eastAsia="Arial" w:hAnsi="Arial"/>
                <w:sz w:val="14"/>
                <w:szCs w:val="14"/>
                <w:b w:val="1"/>
                <w:bCs w:val="1"/>
                <w:color w:val="auto"/>
                <w:w w:val="92"/>
              </w:rPr>
              <w:t>As of and for the Three Months ended September 30, 2013</w:t>
            </w:r>
          </w:p>
        </w:tc>
        <w:tc>
          <w:tcPr>
            <w:tcW w:w="600" w:type="dxa"/>
            <w:vAlign w:val="bottom"/>
            <w:tcBorders>
              <w:bottom w:val="single" w:sz="8" w:color="auto"/>
            </w:tcBorders>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NIW</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Premiums Earned</w:t>
            </w:r>
          </w:p>
        </w:tc>
      </w:tr>
      <w:tr>
        <w:trPr>
          <w:trHeight w:val="250"/>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2"/>
          </w:tcPr>
          <w:p>
            <w:pPr>
              <w:jc w:val="center"/>
              <w:ind w:left="333"/>
              <w:spacing w:after="0"/>
              <w:rPr>
                <w:sz w:val="20"/>
                <w:szCs w:val="20"/>
                <w:color w:val="auto"/>
              </w:rPr>
            </w:pPr>
            <w:r>
              <w:rPr>
                <w:rFonts w:ascii="Arial" w:cs="Arial" w:eastAsia="Arial" w:hAnsi="Arial"/>
                <w:sz w:val="14"/>
                <w:szCs w:val="14"/>
                <w:i w:val="1"/>
                <w:iCs w:val="1"/>
                <w:color w:val="auto"/>
                <w:w w:val="93"/>
              </w:rPr>
              <w:t>(In Thousands)</w:t>
            </w: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56"/>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6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5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5"/>
        </w:trPr>
        <w:tc>
          <w:tcPr>
            <w:tcW w:w="1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Aggregated Single</w:t>
            </w:r>
          </w:p>
        </w:tc>
        <w:tc>
          <w:tcPr>
            <w:tcW w:w="9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Primary</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6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1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Pool</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5,171,664</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5,171,664</w:t>
            </w:r>
          </w:p>
        </w:tc>
        <w:tc>
          <w:tcPr>
            <w:tcW w:w="6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5,176,268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5,175,224</w:t>
            </w:r>
          </w:p>
        </w:tc>
        <w:tc>
          <w:tcPr>
            <w:tcW w:w="6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show the initial weighted average premium, in basis points, the weighted average FICO and the weighted average LTV, by policy type, for the quarter in which the policy was originated.</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Premium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September 30, 2014</w:t>
            </w:r>
          </w:p>
        </w:tc>
        <w:tc>
          <w:tcPr>
            <w:tcW w:w="15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2014</w:t>
            </w:r>
          </w:p>
        </w:tc>
        <w:tc>
          <w:tcPr>
            <w:tcW w:w="17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March 31, 2014</w:t>
            </w:r>
          </w:p>
        </w:tc>
        <w:tc>
          <w:tcPr>
            <w:tcW w:w="1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December 31, 2013</w:t>
            </w:r>
          </w:p>
        </w:tc>
        <w:tc>
          <w:tcPr>
            <w:tcW w:w="16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29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80" w:type="dxa"/>
            <w:vAlign w:val="bottom"/>
          </w:tcPr>
          <w:p>
            <w:pPr>
              <w:jc w:val="right"/>
              <w:ind w:right="157"/>
              <w:spacing w:after="0"/>
              <w:rPr>
                <w:sz w:val="20"/>
                <w:szCs w:val="20"/>
                <w:color w:val="auto"/>
              </w:rPr>
            </w:pPr>
            <w:r>
              <w:rPr>
                <w:rFonts w:ascii="Arial" w:cs="Arial" w:eastAsia="Arial" w:hAnsi="Arial"/>
                <w:sz w:val="14"/>
                <w:szCs w:val="14"/>
                <w:i w:val="1"/>
                <w:iCs w:val="1"/>
                <w:color w:val="auto"/>
              </w:rPr>
              <w:t>(Shown in Basis Points)</w:t>
            </w: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80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59</w:t>
            </w: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w:t>
            </w:r>
          </w:p>
        </w:tc>
        <w:tc>
          <w:tcPr>
            <w:tcW w:w="17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56</w:t>
            </w:r>
          </w:p>
        </w:tc>
        <w:tc>
          <w:tcPr>
            <w:tcW w:w="16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Single</w:t>
            </w:r>
          </w:p>
        </w:tc>
        <w:tc>
          <w:tcPr>
            <w:tcW w:w="1800" w:type="dxa"/>
            <w:vAlign w:val="bottom"/>
          </w:tcPr>
          <w:p>
            <w:pPr>
              <w:jc w:val="right"/>
              <w:ind w:right="234"/>
              <w:spacing w:after="0"/>
              <w:rPr>
                <w:sz w:val="20"/>
                <w:szCs w:val="20"/>
                <w:color w:val="auto"/>
              </w:rPr>
            </w:pPr>
            <w:r>
              <w:rPr>
                <w:rFonts w:ascii="Arial" w:cs="Arial" w:eastAsia="Arial" w:hAnsi="Arial"/>
                <w:sz w:val="18"/>
                <w:szCs w:val="18"/>
                <w:color w:val="auto"/>
              </w:rPr>
              <w:t>208</w:t>
            </w: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215</w:t>
            </w:r>
          </w:p>
        </w:tc>
        <w:tc>
          <w:tcPr>
            <w:tcW w:w="1780" w:type="dxa"/>
            <w:vAlign w:val="bottom"/>
          </w:tcPr>
          <w:p>
            <w:pPr>
              <w:jc w:val="right"/>
              <w:ind w:right="137"/>
              <w:spacing w:after="0"/>
              <w:rPr>
                <w:sz w:val="20"/>
                <w:szCs w:val="20"/>
                <w:color w:val="auto"/>
              </w:rPr>
            </w:pPr>
            <w:r>
              <w:rPr>
                <w:rFonts w:ascii="Arial" w:cs="Arial" w:eastAsia="Arial" w:hAnsi="Arial"/>
                <w:sz w:val="18"/>
                <w:szCs w:val="18"/>
                <w:color w:val="auto"/>
              </w:rPr>
              <w:t>205</w:t>
            </w:r>
          </w:p>
        </w:tc>
        <w:tc>
          <w:tcPr>
            <w:tcW w:w="1680" w:type="dxa"/>
            <w:vAlign w:val="bottom"/>
          </w:tcPr>
          <w:p>
            <w:pPr>
              <w:jc w:val="right"/>
              <w:ind w:right="114"/>
              <w:spacing w:after="0"/>
              <w:rPr>
                <w:sz w:val="20"/>
                <w:szCs w:val="20"/>
                <w:color w:val="auto"/>
              </w:rPr>
            </w:pPr>
            <w:r>
              <w:rPr>
                <w:rFonts w:ascii="Arial" w:cs="Arial" w:eastAsia="Arial" w:hAnsi="Arial"/>
                <w:sz w:val="18"/>
                <w:szCs w:val="18"/>
                <w:color w:val="auto"/>
              </w:rPr>
              <w:t>251</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18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112</w:t>
            </w:r>
          </w:p>
        </w:tc>
        <w:tc>
          <w:tcPr>
            <w:tcW w:w="15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102</w:t>
            </w:r>
          </w:p>
        </w:tc>
        <w:tc>
          <w:tcPr>
            <w:tcW w:w="17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113</w:t>
            </w: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116</w:t>
            </w: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65" w:right="2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Weighted Average FICO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 2014</w:t>
            </w:r>
          </w:p>
        </w:tc>
        <w:tc>
          <w:tcPr>
            <w:tcW w:w="1740" w:type="dxa"/>
            <w:vAlign w:val="bottom"/>
            <w:gridSpan w:val="3"/>
          </w:tcPr>
          <w:p>
            <w:pPr>
              <w:ind w:left="400"/>
              <w:spacing w:after="0"/>
              <w:rPr>
                <w:sz w:val="20"/>
                <w:szCs w:val="20"/>
                <w:color w:val="auto"/>
              </w:rPr>
            </w:pPr>
            <w:r>
              <w:rPr>
                <w:rFonts w:ascii="Arial" w:cs="Arial" w:eastAsia="Arial" w:hAnsi="Arial"/>
                <w:sz w:val="14"/>
                <w:szCs w:val="14"/>
                <w:b w:val="1"/>
                <w:bCs w:val="1"/>
                <w:color w:val="auto"/>
              </w:rPr>
              <w:t>June 30, 2014</w:t>
            </w:r>
          </w:p>
        </w:tc>
        <w:tc>
          <w:tcPr>
            <w:tcW w:w="1720" w:type="dxa"/>
            <w:vAlign w:val="bottom"/>
            <w:gridSpan w:val="3"/>
          </w:tcPr>
          <w:p>
            <w:pPr>
              <w:ind w:left="320"/>
              <w:spacing w:after="0"/>
              <w:rPr>
                <w:sz w:val="20"/>
                <w:szCs w:val="20"/>
                <w:color w:val="auto"/>
              </w:rPr>
            </w:pPr>
            <w:r>
              <w:rPr>
                <w:rFonts w:ascii="Arial" w:cs="Arial" w:eastAsia="Arial" w:hAnsi="Arial"/>
                <w:sz w:val="14"/>
                <w:szCs w:val="14"/>
                <w:b w:val="1"/>
                <w:bCs w:val="1"/>
                <w:color w:val="auto"/>
              </w:rPr>
              <w:t>March 31, 2014</w:t>
            </w:r>
          </w:p>
        </w:tc>
        <w:tc>
          <w:tcPr>
            <w:tcW w:w="168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2013</w:t>
            </w:r>
          </w:p>
        </w:tc>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29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1520" w:type="dxa"/>
            <w:vAlign w:val="bottom"/>
          </w:tcPr>
          <w:p>
            <w:pPr>
              <w:jc w:val="right"/>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540"/>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LTV</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1"/>
        </w:trPr>
        <w:tc>
          <w:tcPr>
            <w:tcW w:w="28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Borders>
              <w:bottom w:val="single" w:sz="8" w:color="CCEEFF"/>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15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4"/>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9"/>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w w:val="94"/>
              </w:rPr>
              <w:t>92%</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1520" w:type="dxa"/>
            <w:vAlign w:val="bottom"/>
          </w:tcPr>
          <w:p>
            <w:pPr>
              <w:ind w:left="11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ind w:left="114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ind w:left="1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ind w:left="114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total NIW, IIF and RIF by FICO as of September 30,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Total Portfolio</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NIW</w:t>
            </w: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auto"/>
              </w:rPr>
              <w:t>IIF</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RIF</w:t>
            </w:r>
          </w:p>
        </w:tc>
      </w:tr>
      <w:tr>
        <w:trPr>
          <w:trHeight w:val="250"/>
        </w:trPr>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center"/>
              <w:ind w:left="314"/>
              <w:spacing w:after="0"/>
              <w:rPr>
                <w:sz w:val="20"/>
                <w:szCs w:val="20"/>
                <w:color w:val="auto"/>
              </w:rPr>
            </w:pPr>
            <w:r>
              <w:rPr>
                <w:rFonts w:ascii="Arial" w:cs="Arial" w:eastAsia="Arial" w:hAnsi="Arial"/>
                <w:sz w:val="14"/>
                <w:szCs w:val="14"/>
                <w:i w:val="1"/>
                <w:iCs w:val="1"/>
                <w:color w:val="auto"/>
                <w:w w:val="95"/>
              </w:rPr>
              <w:t>(Dollars 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As of September 30, 2014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473"/>
              <w:spacing w:after="0"/>
              <w:rPr>
                <w:sz w:val="20"/>
                <w:szCs w:val="20"/>
                <w:color w:val="auto"/>
              </w:rPr>
            </w:pPr>
            <w:r>
              <w:rPr>
                <w:rFonts w:ascii="Arial" w:cs="Arial" w:eastAsia="Arial" w:hAnsi="Arial"/>
                <w:sz w:val="18"/>
                <w:szCs w:val="18"/>
                <w:color w:val="auto"/>
              </w:rPr>
              <w:t>5,460,869</w:t>
            </w:r>
          </w:p>
        </w:tc>
        <w:tc>
          <w:tcPr>
            <w:tcW w:w="86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34"/>
              <w:spacing w:after="0"/>
              <w:rPr>
                <w:sz w:val="20"/>
                <w:szCs w:val="20"/>
                <w:color w:val="auto"/>
              </w:rPr>
            </w:pPr>
            <w:r>
              <w:rPr>
                <w:rFonts w:ascii="Arial" w:cs="Arial" w:eastAsia="Arial" w:hAnsi="Arial"/>
                <w:sz w:val="18"/>
                <w:szCs w:val="18"/>
                <w:color w:val="auto"/>
              </w:rPr>
              <w:t>5,104,453</w:t>
            </w:r>
          </w:p>
        </w:tc>
        <w:tc>
          <w:tcPr>
            <w:tcW w:w="60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357,517</w:t>
            </w:r>
          </w:p>
        </w:tc>
        <w:tc>
          <w:tcPr>
            <w:tcW w:w="140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1,431,757</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1,344,541</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156,291</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29.6</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Pr>
          <w:p>
            <w:pPr>
              <w:spacing w:after="0"/>
              <w:rPr>
                <w:sz w:val="21"/>
                <w:szCs w:val="21"/>
                <w:color w:val="auto"/>
              </w:rPr>
            </w:pPr>
          </w:p>
        </w:tc>
        <w:tc>
          <w:tcPr>
            <w:tcW w:w="1420" w:type="dxa"/>
            <w:vAlign w:val="bottom"/>
          </w:tcPr>
          <w:p>
            <w:pPr>
              <w:jc w:val="right"/>
              <w:ind w:right="473"/>
              <w:spacing w:after="0"/>
              <w:rPr>
                <w:sz w:val="20"/>
                <w:szCs w:val="20"/>
                <w:color w:val="auto"/>
              </w:rPr>
            </w:pPr>
            <w:r>
              <w:rPr>
                <w:rFonts w:ascii="Arial" w:cs="Arial" w:eastAsia="Arial" w:hAnsi="Arial"/>
                <w:sz w:val="18"/>
                <w:szCs w:val="18"/>
                <w:color w:val="auto"/>
              </w:rPr>
              <w:t>200,377</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734"/>
              <w:spacing w:after="0"/>
              <w:rPr>
                <w:sz w:val="20"/>
                <w:szCs w:val="20"/>
                <w:color w:val="auto"/>
              </w:rPr>
            </w:pPr>
            <w:r>
              <w:rPr>
                <w:rFonts w:ascii="Arial" w:cs="Arial" w:eastAsia="Arial" w:hAnsi="Arial"/>
                <w:sz w:val="18"/>
                <w:szCs w:val="18"/>
                <w:color w:val="auto"/>
              </w:rPr>
              <w:t>186,023</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15,004</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2.8</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57"/>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8"/>
                <w:szCs w:val="18"/>
                <w:color w:val="auto"/>
              </w:rPr>
              <w:t>7,093,003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rPr>
              <w:t>6,635,017</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528,812</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primary NIW, IIF and RIF by FICO for the 2014 and 2013 books as of September 30,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Primary - 2014 Book</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NIW</w:t>
            </w: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auto"/>
              </w:rPr>
              <w:t>IIF</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RIF</w:t>
            </w:r>
          </w:p>
        </w:tc>
      </w:tr>
      <w:tr>
        <w:trPr>
          <w:trHeight w:val="250"/>
        </w:trPr>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center"/>
              <w:ind w:left="314"/>
              <w:spacing w:after="0"/>
              <w:rPr>
                <w:sz w:val="20"/>
                <w:szCs w:val="20"/>
                <w:color w:val="auto"/>
              </w:rPr>
            </w:pPr>
            <w:r>
              <w:rPr>
                <w:rFonts w:ascii="Arial" w:cs="Arial" w:eastAsia="Arial" w:hAnsi="Arial"/>
                <w:sz w:val="14"/>
                <w:szCs w:val="14"/>
                <w:i w:val="1"/>
                <w:iCs w:val="1"/>
                <w:color w:val="auto"/>
                <w:w w:val="95"/>
              </w:rPr>
              <w:t>(Dollars 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As of September 30, 2014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473"/>
              <w:spacing w:after="0"/>
              <w:rPr>
                <w:sz w:val="20"/>
                <w:szCs w:val="20"/>
                <w:color w:val="auto"/>
              </w:rPr>
            </w:pPr>
            <w:r>
              <w:rPr>
                <w:rFonts w:ascii="Arial" w:cs="Arial" w:eastAsia="Arial" w:hAnsi="Arial"/>
                <w:sz w:val="18"/>
                <w:szCs w:val="18"/>
                <w:color w:val="auto"/>
              </w:rPr>
              <w:t>1,160,118</w:t>
            </w:r>
          </w:p>
        </w:tc>
        <w:tc>
          <w:tcPr>
            <w:tcW w:w="86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34"/>
              <w:spacing w:after="0"/>
              <w:rPr>
                <w:sz w:val="20"/>
                <w:szCs w:val="20"/>
                <w:color w:val="auto"/>
              </w:rPr>
            </w:pPr>
            <w:r>
              <w:rPr>
                <w:rFonts w:ascii="Arial" w:cs="Arial" w:eastAsia="Arial" w:hAnsi="Arial"/>
                <w:sz w:val="18"/>
                <w:szCs w:val="18"/>
                <w:color w:val="auto"/>
              </w:rPr>
              <w:t>1,106,148</w:t>
            </w: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262,386</w:t>
            </w:r>
          </w:p>
        </w:tc>
        <w:tc>
          <w:tcPr>
            <w:tcW w:w="14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551,900</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532,697</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131,980</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Pr>
          <w:p>
            <w:pPr>
              <w:spacing w:after="0"/>
              <w:rPr>
                <w:sz w:val="21"/>
                <w:szCs w:val="21"/>
                <w:color w:val="auto"/>
              </w:rPr>
            </w:pPr>
          </w:p>
        </w:tc>
        <w:tc>
          <w:tcPr>
            <w:tcW w:w="1420" w:type="dxa"/>
            <w:vAlign w:val="bottom"/>
          </w:tcPr>
          <w:p>
            <w:pPr>
              <w:jc w:val="right"/>
              <w:ind w:right="473"/>
              <w:spacing w:after="0"/>
              <w:rPr>
                <w:sz w:val="20"/>
                <w:szCs w:val="20"/>
                <w:color w:val="auto"/>
              </w:rPr>
            </w:pPr>
            <w:r>
              <w:rPr>
                <w:rFonts w:ascii="Arial" w:cs="Arial" w:eastAsia="Arial" w:hAnsi="Arial"/>
                <w:sz w:val="18"/>
                <w:szCs w:val="18"/>
                <w:color w:val="auto"/>
              </w:rPr>
              <w:t>47,149</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734"/>
              <w:spacing w:after="0"/>
              <w:rPr>
                <w:sz w:val="20"/>
                <w:szCs w:val="20"/>
                <w:color w:val="auto"/>
              </w:rPr>
            </w:pPr>
            <w:r>
              <w:rPr>
                <w:rFonts w:ascii="Arial" w:cs="Arial" w:eastAsia="Arial" w:hAnsi="Arial"/>
                <w:sz w:val="18"/>
                <w:szCs w:val="18"/>
                <w:color w:val="auto"/>
              </w:rPr>
              <w:t>46,439</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12,022</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2.9</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rPr>
              <w:t>1,759,167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rPr>
              <w:t>1,685,284</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406,388</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615"/>
        </w:trPr>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Primary - 2013 Book</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 xml:space="preserve">NIW </w:t>
            </w:r>
            <w:r>
              <w:rPr>
                <w:rFonts w:ascii="Arial" w:cs="Arial" w:eastAsia="Arial" w:hAnsi="Arial"/>
                <w:sz w:val="8"/>
                <w:szCs w:val="8"/>
                <w:b w:val="1"/>
                <w:bCs w:val="1"/>
                <w:color w:val="auto"/>
              </w:rPr>
              <w:t>(1)</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1220"/>
              <w:spacing w:after="0"/>
              <w:rPr>
                <w:sz w:val="20"/>
                <w:szCs w:val="20"/>
                <w:color w:val="auto"/>
              </w:rPr>
            </w:pPr>
            <w:r>
              <w:rPr>
                <w:rFonts w:ascii="Arial" w:cs="Arial" w:eastAsia="Arial" w:hAnsi="Arial"/>
                <w:sz w:val="14"/>
                <w:szCs w:val="14"/>
                <w:b w:val="1"/>
                <w:bCs w:val="1"/>
                <w:color w:val="auto"/>
              </w:rPr>
              <w:t>IIF</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RIF</w:t>
            </w: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w w:val="95"/>
              </w:rPr>
              <w:t>(Dollars in Thousands)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9"/>
              </w:rPr>
              <w:t>As of September 30, 2014</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&gt;= 740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3"/>
              <w:spacing w:after="0"/>
              <w:rPr>
                <w:sz w:val="20"/>
                <w:szCs w:val="20"/>
                <w:color w:val="auto"/>
              </w:rPr>
            </w:pPr>
            <w:r>
              <w:rPr>
                <w:rFonts w:ascii="Arial" w:cs="Arial" w:eastAsia="Arial" w:hAnsi="Arial"/>
                <w:sz w:val="18"/>
                <w:szCs w:val="18"/>
                <w:color w:val="auto"/>
              </w:rPr>
              <w:t>113,907</w:t>
            </w:r>
          </w:p>
        </w:tc>
        <w:tc>
          <w:tcPr>
            <w:tcW w:w="82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87,918</w:t>
            </w:r>
          </w:p>
        </w:tc>
        <w:tc>
          <w:tcPr>
            <w:tcW w:w="140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19,829</w:t>
            </w:r>
          </w:p>
        </w:tc>
        <w:tc>
          <w:tcPr>
            <w:tcW w:w="140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47,102</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38,751</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31.5</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620 - 679</w:t>
            </w:r>
          </w:p>
        </w:tc>
        <w:tc>
          <w:tcPr>
            <w:tcW w:w="340" w:type="dxa"/>
            <w:vAlign w:val="bottom"/>
          </w:tcPr>
          <w:p>
            <w:pPr>
              <w:spacing w:after="0"/>
              <w:rPr>
                <w:sz w:val="21"/>
                <w:szCs w:val="21"/>
                <w:color w:val="auto"/>
              </w:rPr>
            </w:pPr>
          </w:p>
        </w:tc>
        <w:tc>
          <w:tcPr>
            <w:tcW w:w="1400" w:type="dxa"/>
            <w:vAlign w:val="bottom"/>
          </w:tcPr>
          <w:p>
            <w:pPr>
              <w:jc w:val="right"/>
              <w:ind w:right="513"/>
              <w:spacing w:after="0"/>
              <w:rPr>
                <w:sz w:val="20"/>
                <w:szCs w:val="20"/>
                <w:color w:val="auto"/>
              </w:rPr>
            </w:pPr>
            <w:r>
              <w:rPr>
                <w:rFonts w:ascii="Arial" w:cs="Arial" w:eastAsia="Arial" w:hAnsi="Arial"/>
                <w:sz w:val="18"/>
                <w:szCs w:val="18"/>
                <w:color w:val="auto"/>
              </w:rPr>
              <w:t>1,163</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1,003</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0.9</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162,172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127,672</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29,334</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pool NIW, IIF and RIF by FICO for the 2013 book as of September 30,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Pool - 2013 Book</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 xml:space="preserve">NIW </w:t>
            </w:r>
            <w:r>
              <w:rPr>
                <w:rFonts w:ascii="Arial" w:cs="Arial" w:eastAsia="Arial" w:hAnsi="Arial"/>
                <w:sz w:val="8"/>
                <w:szCs w:val="8"/>
                <w:b w:val="1"/>
                <w:bCs w:val="1"/>
                <w:color w:val="auto"/>
              </w:rPr>
              <w:t>(1)</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auto"/>
              </w:rPr>
              <w:t>IIF</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RIF</w:t>
            </w:r>
          </w:p>
        </w:tc>
      </w:tr>
      <w:tr>
        <w:trPr>
          <w:trHeight w:val="250"/>
        </w:trPr>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center"/>
              <w:ind w:left="314"/>
              <w:spacing w:after="0"/>
              <w:rPr>
                <w:sz w:val="20"/>
                <w:szCs w:val="20"/>
                <w:color w:val="auto"/>
              </w:rPr>
            </w:pPr>
            <w:r>
              <w:rPr>
                <w:rFonts w:ascii="Arial" w:cs="Arial" w:eastAsia="Arial" w:hAnsi="Arial"/>
                <w:sz w:val="14"/>
                <w:szCs w:val="14"/>
                <w:i w:val="1"/>
                <w:iCs w:val="1"/>
                <w:color w:val="auto"/>
                <w:w w:val="95"/>
              </w:rPr>
              <w:t>(Dollars 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As of September 30, 2014</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4,186,844</w:t>
            </w: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34"/>
              <w:spacing w:after="0"/>
              <w:rPr>
                <w:sz w:val="20"/>
                <w:szCs w:val="20"/>
                <w:color w:val="auto"/>
              </w:rPr>
            </w:pPr>
            <w:r>
              <w:rPr>
                <w:rFonts w:ascii="Arial" w:cs="Arial" w:eastAsia="Arial" w:hAnsi="Arial"/>
                <w:sz w:val="18"/>
                <w:szCs w:val="18"/>
                <w:color w:val="auto"/>
              </w:rPr>
              <w:t>3,910,387</w:t>
            </w:r>
          </w:p>
        </w:tc>
        <w:tc>
          <w:tcPr>
            <w:tcW w:w="6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75,302</w:t>
            </w:r>
          </w:p>
        </w:tc>
        <w:tc>
          <w:tcPr>
            <w:tcW w:w="14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832,755</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773,093</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Pr>
          <w:p>
            <w:pPr>
              <w:spacing w:after="0"/>
              <w:rPr>
                <w:sz w:val="21"/>
                <w:szCs w:val="21"/>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152,065</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734"/>
              <w:spacing w:after="0"/>
              <w:rPr>
                <w:sz w:val="20"/>
                <w:szCs w:val="20"/>
                <w:color w:val="auto"/>
              </w:rPr>
            </w:pPr>
            <w:r>
              <w:rPr>
                <w:rFonts w:ascii="Arial" w:cs="Arial" w:eastAsia="Arial" w:hAnsi="Arial"/>
                <w:sz w:val="18"/>
                <w:szCs w:val="18"/>
                <w:color w:val="auto"/>
              </w:rPr>
              <w:t>138,581</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2,709</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2.9</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5,171,664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rPr>
              <w:t>4,822,061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93,090</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820" w:hanging="488"/>
        <w:spacing w:after="0"/>
        <w:tabs>
          <w:tab w:leader="none" w:pos="820" w:val="left"/>
        </w:tabs>
        <w:numPr>
          <w:ilvl w:val="0"/>
          <w:numId w:val="8"/>
        </w:numPr>
        <w:rPr>
          <w:rFonts w:ascii="Arial" w:cs="Arial" w:eastAsia="Arial" w:hAnsi="Arial"/>
          <w:sz w:val="9"/>
          <w:szCs w:val="9"/>
          <w:color w:val="auto"/>
        </w:rPr>
      </w:pPr>
      <w:r>
        <w:rPr>
          <w:rFonts w:ascii="Arial" w:cs="Arial" w:eastAsia="Arial" w:hAnsi="Arial"/>
          <w:sz w:val="14"/>
          <w:szCs w:val="14"/>
          <w:color w:val="auto"/>
        </w:rPr>
        <w:t>Represents total NIW for the year ended December 31, 2013.</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reflect our average primary loan size by FICO and the percentage of our RIF by loan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2014</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51"/>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Average Primary Loan Size by FICO</w:t>
            </w: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3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8"/>
                <w:szCs w:val="18"/>
                <w:color w:val="auto"/>
              </w:rPr>
              <w:t>680 - 739</w:t>
            </w: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8"/>
                <w:szCs w:val="18"/>
                <w:color w:val="auto"/>
              </w:rPr>
              <w:t>&lt;= 619</w:t>
            </w: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8"/>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Percentage of RIF by Loan Type</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Primary</w:t>
            </w:r>
          </w:p>
        </w:tc>
        <w:tc>
          <w:tcPr>
            <w:tcW w:w="260" w:type="dxa"/>
            <w:vAlign w:val="bottom"/>
          </w:tcPr>
          <w:p>
            <w:pPr>
              <w:spacing w:after="0"/>
              <w:rPr>
                <w:sz w:val="24"/>
                <w:szCs w:val="24"/>
                <w:color w:val="auto"/>
              </w:rPr>
            </w:pPr>
          </w:p>
        </w:tc>
        <w:tc>
          <w:tcPr>
            <w:tcW w:w="1500" w:type="dxa"/>
            <w:vAlign w:val="bottom"/>
          </w:tcPr>
          <w:p>
            <w:pPr>
              <w:jc w:val="right"/>
              <w:ind w:right="654"/>
              <w:spacing w:after="0"/>
              <w:rPr>
                <w:sz w:val="20"/>
                <w:szCs w:val="20"/>
                <w:color w:val="auto"/>
              </w:rPr>
            </w:pPr>
            <w:r>
              <w:rPr>
                <w:rFonts w:ascii="Arial" w:cs="Arial" w:eastAsia="Arial" w:hAnsi="Arial"/>
                <w:sz w:val="14"/>
                <w:szCs w:val="14"/>
                <w:b w:val="1"/>
                <w:bCs w:val="1"/>
                <w:color w:val="auto"/>
              </w:rPr>
              <w:t>Pool</w:t>
            </w:r>
          </w:p>
        </w:tc>
        <w:tc>
          <w:tcPr>
            <w:tcW w:w="0" w:type="dxa"/>
            <w:vAlign w:val="bottom"/>
          </w:tcPr>
          <w:p>
            <w:pPr>
              <w:spacing w:after="0"/>
              <w:rPr>
                <w:sz w:val="1"/>
                <w:szCs w:val="1"/>
                <w:color w:val="auto"/>
              </w:rPr>
            </w:pPr>
          </w:p>
        </w:tc>
      </w:tr>
      <w:tr>
        <w:trPr>
          <w:trHeight w:val="264"/>
        </w:trPr>
        <w:tc>
          <w:tcPr>
            <w:tcW w:w="426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35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w:t>
            </w:r>
          </w:p>
        </w:tc>
        <w:tc>
          <w:tcPr>
            <w:tcW w:w="3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8"/>
                <w:szCs w:val="18"/>
                <w:color w:val="auto"/>
              </w:rPr>
              <w:t>Adjustable rate mortgages:</w:t>
            </w: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than five years</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tcPr>
          <w:p>
            <w:pPr>
              <w:ind w:left="500"/>
              <w:spacing w:after="0"/>
              <w:rPr>
                <w:sz w:val="20"/>
                <w:szCs w:val="20"/>
                <w:color w:val="auto"/>
              </w:rPr>
            </w:pPr>
            <w:r>
              <w:rPr>
                <w:rFonts w:ascii="Arial" w:cs="Arial" w:eastAsia="Arial" w:hAnsi="Arial"/>
                <w:sz w:val="18"/>
                <w:szCs w:val="18"/>
                <w:color w:val="auto"/>
              </w:rPr>
              <w:t>Five years and longer</w:t>
            </w: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520" w:type="dxa"/>
            <w:vAlign w:val="bottom"/>
            <w:vMerge w:val="restart"/>
          </w:tcPr>
          <w:p>
            <w:pPr>
              <w:jc w:val="right"/>
              <w:ind w:right="18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28" w:name="page29"/>
    <w:bookmarkEnd w:id="28"/>
    <w:p>
      <w:pPr>
        <w:jc w:val="both"/>
        <w:ind w:firstLine="648"/>
        <w:spacing w:after="0" w:line="264" w:lineRule="auto"/>
        <w:rPr>
          <w:sz w:val="20"/>
          <w:szCs w:val="20"/>
          <w:color w:val="auto"/>
        </w:rPr>
      </w:pPr>
      <w:r>
        <w:rPr>
          <w:rFonts w:ascii="Arial" w:cs="Arial" w:eastAsia="Arial" w:hAnsi="Arial"/>
          <w:sz w:val="18"/>
          <w:szCs w:val="18"/>
          <w:color w:val="auto"/>
        </w:rPr>
        <w:t>The following chart reflects our RIF by LTV ratio. We calculate the LTV ratio of a loan as a percentage of the original loan amount to the original value of the property securing the loan. In general, the lower the LTV ratio the lower the likelihood of a default, and for loans that default, a lower LTV ratio generally results in a lower severity for any claim, as the borrower has a higher amount of equity in the property.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Total RIF by LTV</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Primary</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Pool</w:t>
            </w:r>
          </w:p>
        </w:tc>
        <w:tc>
          <w:tcPr>
            <w:tcW w:w="1240" w:type="dxa"/>
            <w:vAlign w:val="bottom"/>
            <w:tcBorders>
              <w:bottom w:val="single" w:sz="8" w:color="auto"/>
            </w:tcBorders>
          </w:tcPr>
          <w:p>
            <w:pPr>
              <w:spacing w:after="0"/>
              <w:rPr>
                <w:sz w:val="22"/>
                <w:szCs w:val="22"/>
                <w:color w:val="auto"/>
              </w:rPr>
            </w:pPr>
          </w:p>
        </w:tc>
      </w:tr>
      <w:tr>
        <w:trPr>
          <w:trHeight w:val="263"/>
        </w:trPr>
        <w:tc>
          <w:tcPr>
            <w:tcW w:w="3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RIF</w:t>
            </w: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 of Total LTV</w:t>
            </w: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Policy Count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RIF</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 of Total LTV</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Policy Count</w:t>
            </w:r>
          </w:p>
        </w:tc>
      </w:tr>
      <w:tr>
        <w:trPr>
          <w:trHeight w:val="197"/>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ind w:left="640"/>
              <w:spacing w:after="0"/>
              <w:rPr>
                <w:sz w:val="20"/>
                <w:szCs w:val="20"/>
                <w:color w:val="auto"/>
              </w:rPr>
            </w:pPr>
            <w:r>
              <w:rPr>
                <w:rFonts w:ascii="Arial" w:cs="Arial" w:eastAsia="Arial" w:hAnsi="Arial"/>
                <w:sz w:val="14"/>
                <w:szCs w:val="14"/>
                <w:i w:val="1"/>
                <w:iCs w:val="1"/>
                <w:color w:val="auto"/>
              </w:rPr>
              <w:t>(Dollars in Thousands)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234,174</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164,794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80.01% to 85.00%</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34,518</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80.00% and below</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20,890</w:t>
            </w: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RIF</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435,722</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20,890</w:t>
            </w: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08"/>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254" w:lineRule="auto"/>
        <w:rPr>
          <w:sz w:val="20"/>
          <w:szCs w:val="20"/>
          <w:color w:val="auto"/>
        </w:rPr>
      </w:pPr>
      <w:r>
        <w:rPr>
          <w:rFonts w:ascii="Arial" w:cs="Arial" w:eastAsia="Arial" w:hAnsi="Arial"/>
          <w:sz w:val="18"/>
          <w:szCs w:val="18"/>
          <w:color w:val="auto"/>
        </w:rPr>
        <w:t>The following charts show the distribution by state of our IIF and RIF, for both primary and pool insurance. We expect to maintain a diverse insurance portfolio, and we carefully monitor and manage our exposure to risk written in any one state. As of September 30, 2014, our IIF and RIF is more heavily concentrated in California, primarily as a result of the acquisition of new customers. With these new customers, we have placed our MI on a higher proportion of mortgage loans originated in California. The distribution of risk across the states as of September 30, 2014 is not necessarily representative of the geographic distribution we expect in the future. With our expectations that we will add a significant number of new customers as we grow and receive greater allocations of business from our existing customers, we believe we will have more flexibility to manage our state concentration levels. We expect that our insurance origination mix by state will be consistent with the overall distribution of mortgage originations in the United States that require mortgage insurance.</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8060" w:type="dxa"/>
            <w:vAlign w:val="bottom"/>
            <w:gridSpan w:val="2"/>
          </w:tcPr>
          <w:p>
            <w:pPr>
              <w:ind w:left="20"/>
              <w:spacing w:after="0"/>
              <w:rPr>
                <w:sz w:val="20"/>
                <w:szCs w:val="20"/>
                <w:color w:val="auto"/>
              </w:rPr>
            </w:pPr>
            <w:r>
              <w:rPr>
                <w:rFonts w:ascii="Arial" w:cs="Arial" w:eastAsia="Arial" w:hAnsi="Arial"/>
                <w:sz w:val="18"/>
                <w:szCs w:val="18"/>
                <w:b w:val="1"/>
                <w:bCs w:val="1"/>
                <w:color w:val="auto"/>
              </w:rPr>
              <w:t>Top 10 Primary IIF and RIF by State</w:t>
            </w:r>
          </w:p>
        </w:tc>
        <w:tc>
          <w:tcPr>
            <w:tcW w:w="16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IIF</w:t>
            </w:r>
          </w:p>
        </w:tc>
        <w:tc>
          <w:tcPr>
            <w:tcW w:w="15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64"/>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620" w:type="dxa"/>
            <w:vAlign w:val="bottom"/>
          </w:tcPr>
          <w:p>
            <w:pPr>
              <w:ind w:left="20"/>
              <w:spacing w:after="0"/>
              <w:rPr>
                <w:sz w:val="20"/>
                <w:szCs w:val="20"/>
                <w:color w:val="auto"/>
              </w:rPr>
            </w:pPr>
            <w:r>
              <w:rPr>
                <w:rFonts w:ascii="Arial" w:cs="Arial" w:eastAsia="Arial" w:hAnsi="Arial"/>
                <w:sz w:val="18"/>
                <w:szCs w:val="18"/>
                <w:color w:val="auto"/>
              </w:rPr>
              <w:t>Texas</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620" w:type="dxa"/>
            <w:vAlign w:val="bottom"/>
          </w:tcPr>
          <w:p>
            <w:pPr>
              <w:ind w:left="20"/>
              <w:spacing w:after="0"/>
              <w:rPr>
                <w:sz w:val="20"/>
                <w:szCs w:val="20"/>
                <w:color w:val="auto"/>
              </w:rPr>
            </w:pPr>
            <w:r>
              <w:rPr>
                <w:rFonts w:ascii="Arial" w:cs="Arial" w:eastAsia="Arial" w:hAnsi="Arial"/>
                <w:sz w:val="18"/>
                <w:szCs w:val="18"/>
                <w:color w:val="auto"/>
              </w:rPr>
              <w:t>Michigan</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62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620" w:type="dxa"/>
            <w:vAlign w:val="bottom"/>
          </w:tcPr>
          <w:p>
            <w:pPr>
              <w:ind w:left="20"/>
              <w:spacing w:after="0"/>
              <w:rPr>
                <w:sz w:val="20"/>
                <w:szCs w:val="20"/>
                <w:color w:val="auto"/>
              </w:rPr>
            </w:pPr>
            <w:r>
              <w:rPr>
                <w:rFonts w:ascii="Arial" w:cs="Arial" w:eastAsia="Arial" w:hAnsi="Arial"/>
                <w:sz w:val="18"/>
                <w:szCs w:val="18"/>
                <w:color w:val="auto"/>
              </w:rPr>
              <w:t>Ohio</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620" w:type="dxa"/>
            <w:vAlign w:val="bottom"/>
          </w:tcPr>
          <w:p>
            <w:pPr>
              <w:ind w:left="20"/>
              <w:spacing w:after="0"/>
              <w:rPr>
                <w:sz w:val="20"/>
                <w:szCs w:val="20"/>
                <w:color w:val="auto"/>
              </w:rPr>
            </w:pPr>
            <w:r>
              <w:rPr>
                <w:rFonts w:ascii="Arial" w:cs="Arial" w:eastAsia="Arial" w:hAnsi="Arial"/>
                <w:sz w:val="18"/>
                <w:szCs w:val="18"/>
                <w:color w:val="auto"/>
              </w:rPr>
              <w:t>Georgia</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Top 10 Pool IIF and RIF by State</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060" w:type="dxa"/>
            <w:vAlign w:val="bottom"/>
            <w:gridSpan w:val="2"/>
            <w:vMerge w:val="continue"/>
          </w:tcPr>
          <w:p>
            <w:pPr>
              <w:spacing w:after="0"/>
              <w:rPr>
                <w:sz w:val="24"/>
                <w:szCs w:val="24"/>
                <w:color w:val="auto"/>
              </w:rPr>
            </w:pPr>
          </w:p>
        </w:tc>
        <w:tc>
          <w:tcPr>
            <w:tcW w:w="16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IIF</w:t>
            </w:r>
          </w:p>
        </w:tc>
        <w:tc>
          <w:tcPr>
            <w:tcW w:w="15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64"/>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620" w:type="dxa"/>
            <w:vAlign w:val="bottom"/>
          </w:tcPr>
          <w:p>
            <w:pPr>
              <w:ind w:left="20"/>
              <w:spacing w:after="0"/>
              <w:rPr>
                <w:sz w:val="20"/>
                <w:szCs w:val="20"/>
                <w:color w:val="auto"/>
              </w:rPr>
            </w:pPr>
            <w:r>
              <w:rPr>
                <w:rFonts w:ascii="Arial" w:cs="Arial" w:eastAsia="Arial" w:hAnsi="Arial"/>
                <w:sz w:val="18"/>
                <w:szCs w:val="18"/>
                <w:color w:val="auto"/>
              </w:rPr>
              <w:t>Texas</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62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620" w:type="dxa"/>
            <w:vAlign w:val="bottom"/>
          </w:tcPr>
          <w:p>
            <w:pPr>
              <w:ind w:left="20"/>
              <w:spacing w:after="0"/>
              <w:rPr>
                <w:sz w:val="20"/>
                <w:szCs w:val="20"/>
                <w:color w:val="auto"/>
              </w:rPr>
            </w:pPr>
            <w:r>
              <w:rPr>
                <w:rFonts w:ascii="Arial" w:cs="Arial" w:eastAsia="Arial" w:hAnsi="Arial"/>
                <w:sz w:val="18"/>
                <w:szCs w:val="18"/>
                <w:color w:val="auto"/>
              </w:rPr>
              <w:t>Virginia</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620" w:type="dxa"/>
            <w:vAlign w:val="bottom"/>
          </w:tcPr>
          <w:p>
            <w:pPr>
              <w:ind w:left="20"/>
              <w:spacing w:after="0"/>
              <w:rPr>
                <w:sz w:val="20"/>
                <w:szCs w:val="20"/>
                <w:color w:val="auto"/>
              </w:rPr>
            </w:pPr>
            <w:r>
              <w:rPr>
                <w:rFonts w:ascii="Arial" w:cs="Arial" w:eastAsia="Arial" w:hAnsi="Arial"/>
                <w:sz w:val="18"/>
                <w:szCs w:val="18"/>
                <w:color w:val="auto"/>
              </w:rPr>
              <w:t>New York</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62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60" w:type="dxa"/>
            <w:vAlign w:val="bottom"/>
            <w:gridSpan w:val="6"/>
          </w:tcPr>
          <w:p>
            <w:pPr>
              <w:ind w:left="4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334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1"/>
        </w:trPr>
        <w:tc>
          <w:tcPr>
            <w:tcW w:w="4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40" w:type="dxa"/>
            <w:vAlign w:val="bottom"/>
            <w:gridSpan w:val="5"/>
          </w:tcPr>
          <w:p>
            <w:pPr>
              <w:ind w:left="280"/>
              <w:spacing w:after="0"/>
              <w:rPr>
                <w:sz w:val="20"/>
                <w:szCs w:val="20"/>
                <w:color w:val="auto"/>
              </w:rPr>
            </w:pPr>
            <w:r>
              <w:rPr>
                <w:rFonts w:ascii="Arial" w:cs="Arial" w:eastAsia="Arial" w:hAnsi="Arial"/>
                <w:sz w:val="14"/>
                <w:szCs w:val="14"/>
                <w:i w:val="1"/>
                <w:iCs w:val="1"/>
                <w:color w:val="auto"/>
              </w:rPr>
              <w:t>(In Thousands, except for share data)</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written</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Direct</w:t>
            </w: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9,661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19,890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 (losses)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Gain (loss) from change in fair value of warrant</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liability</w:t>
            </w:r>
          </w:p>
        </w:tc>
        <w:tc>
          <w:tcPr>
            <w:tcW w:w="10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10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policy acquisition costs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underwriting and operating expenses</w:t>
            </w: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17,848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55,725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45,480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(11,253)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(10,976)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(42,099)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308,564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137,485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policy acquisition costs, net</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465,578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481,219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Reserve for insurance claims and claims expenses</w:t>
            </w:r>
          </w:p>
        </w:tc>
        <w:tc>
          <w:tcPr>
            <w:tcW w:w="10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tax payable</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Deferred tax liability</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434,398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463,217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465,578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481,219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vMerge w:val="restart"/>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Our financial results to date have been primarily driven by expenditures related to our business development activities, and to a lesser extent, by our investment activities. Although we expect our year-over-year expenses to increase as we grow our business, we ultimately expect that the majority of our operating expenses will be relatively fixed in the long term. As our business matures and we deploy the majority of our capital, including capital raised through equity or debt offerings, or through the use of reinsurance, we are targeting our expense ratio (expenses to premiums written) to fall into a range of 20% to 25%. Until our business matures, our expense ratio is expected to be significantly higher than this range given the low levels of premium written compared to our "fixed" costs customary to operating a mortgage insurance company. Additionally, we are targeting an average unlevered return on equity in the mid-teens over time.</w:t>
      </w:r>
    </w:p>
    <w:p>
      <w:pPr>
        <w:spacing w:after="0" w:line="1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nine months ended September 30, 2014, we had net premiums written of $19.9 million compared to net premiums written of $483 thousand for the nine months ended September 30, 2013. For the three months ended September 30, 2014, we had net premiums written of $9.7 million compared to net premiums written of $482 thousand for the three months ended September 30, 2013. We started writing business in April 2013, and as a result, premiums written in the three and nine months ended September 30, 2013 were substantially the same. The principal driver of the increase in premiums written in 2014 was the continued growth of our NIW and the significant development of our customer base.</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months ended September 30, 2014, we had net premiums written of $9.7 million and net premiums earned of $3.9 million compared to net premiums written of $5.1 million and net premiums earned of $2.1 million for the three months ended June 30, 2014. For the three months ended September 30, 2014 , we had net monthly premiums written and earned of $883.3 thousand compared to $301 thousand for the three months ended June 30, 2014. We had net single premiums written and earned of $7.4 million and $1.7 million, respectively, for the three months ended September 30, 2014 compared to net single premiums written and earned of $3.4 million and $0.4 million, respectively, for the three months ended June 30, 2014. Net single premiums earned increased as a result of an increase in single premiums written during the three months ended September 30, 2014, as well as from cancellations on lender-paid singles, where single premiums received by us are non-refundable and fully earned upon cancellation. Net pool premiums written and earned of $1.3 million was down slightly quarter over quarter due to the pay off of approximately 375 loans in the pool from June 30, 2014. We have not written any annual premiums through September 30, 2014.</w:t>
      </w:r>
    </w:p>
    <w:p>
      <w:pPr>
        <w:spacing w:after="0" w:line="12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September 30, 2014, we had 7,628 primary certificates in force and approximately 21,000 certificates in force in our pool transaction compared to 653 primary certificates in force and approximately 22,000 certificates in force in our pool transaction as of December 31, 2013.</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incurred significant net operating losses since our inception. Our net losses were $38.9 million and $42.1 million for the nine months ended September 30, 2014 and 2013, respectively. The primary drivers of the decrease in net losses between periods were the increase in premiums earned, the increase in net investment income, and a decrease in our warrant liability, offset by the continued hiring of management and staff personnel and external and professional costs. Premiums increased as we have added new customers and existing customers have allocated more business to us. We began investing our cash during the first quarter of 2013 and continued to invest and rebalance our portfolio into the second and third quarters of 2013. As a result, our net investment income was lower for the nine months ended September 30, 2013 compared to the nine months ended September 30, 2014. Our warrant liability decreased as a result of a decline in our stock price. Our net operating losses for the three months ended September 30, 2014 and 2013, respectively, were $11.0 million and $13.9 million and those losses are a result of the same drivers of net losses for the nine months ended September 30,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both"/>
        <w:ind w:firstLine="648"/>
        <w:spacing w:after="0" w:line="264" w:lineRule="auto"/>
        <w:rPr>
          <w:sz w:val="20"/>
          <w:szCs w:val="20"/>
          <w:color w:val="auto"/>
        </w:rPr>
      </w:pPr>
      <w:r>
        <w:rPr>
          <w:rFonts w:ascii="Arial" w:cs="Arial" w:eastAsia="Arial" w:hAnsi="Arial"/>
          <w:sz w:val="18"/>
          <w:szCs w:val="18"/>
          <w:color w:val="auto"/>
        </w:rPr>
        <w:t>Our total other underwriting and operating expenses for the nine months ended September 30, 2014 were $55.7 million compared to $45.5 million for the nine months ended September 30, 2013, driven primarily by expanding operations and the hiring of personnel. The following are the components of our other underwriting and operating expenses for the periods indicated: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60" w:type="dxa"/>
            <w:vAlign w:val="bottom"/>
            <w:gridSpan w:val="6"/>
          </w:tcPr>
          <w:p>
            <w:pPr>
              <w:ind w:left="440"/>
              <w:spacing w:after="0"/>
              <w:rPr>
                <w:sz w:val="20"/>
                <w:szCs w:val="20"/>
                <w:color w:val="auto"/>
              </w:rPr>
            </w:pPr>
            <w:r>
              <w:rPr>
                <w:rFonts w:ascii="Arial" w:cs="Arial" w:eastAsia="Arial" w:hAnsi="Arial"/>
                <w:sz w:val="14"/>
                <w:szCs w:val="14"/>
                <w:b w:val="1"/>
                <w:bCs w:val="1"/>
                <w:color w:val="auto"/>
              </w:rPr>
              <w:t>For the Three Months Ended September 30,</w:t>
            </w:r>
          </w:p>
        </w:tc>
        <w:tc>
          <w:tcPr>
            <w:tcW w:w="420" w:type="dxa"/>
            <w:vAlign w:val="bottom"/>
          </w:tcPr>
          <w:p>
            <w:pPr>
              <w:spacing w:after="0"/>
              <w:rPr>
                <w:sz w:val="16"/>
                <w:szCs w:val="16"/>
                <w:color w:val="auto"/>
              </w:rPr>
            </w:pPr>
          </w:p>
        </w:tc>
        <w:tc>
          <w:tcPr>
            <w:tcW w:w="31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264"/>
        </w:trPr>
        <w:tc>
          <w:tcPr>
            <w:tcW w:w="424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50"/>
        </w:trPr>
        <w:tc>
          <w:tcPr>
            <w:tcW w:w="4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8,827</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and professional services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Technology service expenses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3,321</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2,714</w:t>
            </w:r>
          </w:p>
        </w:tc>
      </w:tr>
      <w:tr>
        <w:trPr>
          <w:trHeight w:val="27"/>
        </w:trPr>
        <w:tc>
          <w:tcPr>
            <w:tcW w:w="4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Underwriting and Operating Expenses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17,848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55,725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45,480</w:t>
            </w: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Employee compensation represents the majority of our operating expense, which includes both cash and share-based compensation. Our payroll and related expense was $28.5 million for the nine months ended September 30, 2014 and $20.5 million for the nine months ended September 30, 2013. As part of our compensation plan, certain employees were granted stock options and RSUs under our 2012 Stock Incentive Plan. Our share-based compensation expense was $6.9 million for the nine months ended September 30, 2014 and $8.8 million for the nine months ended September 30, 2013. The majority of our stock options and RSUs were awarded during 2012, with fewer awards in 2013 and 2014. The expense related to the 2012 grants is decreasing as the awards near their vesting terms. Additionally, we have not incurred the same degree of expense from the 2013 and 2014 grants, which are smaller than the 2012 grant, causing the overall share-based compensation expense to decrease year over year. We account for our stock options and RSUs under the Financial Accounting Standards Board Accounting Standards Codification ("ASC") No.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 which requires all compensation expense from share-based payments to be measured and recognized in the financial statements at their grant date fair values. Our payroll and related expense was $9.6 million for the three months ended September 30, 2014 and $7.0 million for the three months ended September 30, 2013. The increase was driven by the addition of new employees. Our headcount grew from approximately 120 at September 30, 2013 to 186 at September 30, 2014.</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contract and professional services expense increased from $6.2 million for the nine months ended September 30, 2013 to $9.2 million for the nine months ended September 30, 2014, largely as a result of legal expenses and settlement costs associated with the PMI litigation. See Part II</w:t>
      </w:r>
      <w:r>
        <w:rPr>
          <w:rFonts w:ascii="Arial" w:cs="Arial" w:eastAsia="Arial" w:hAnsi="Arial"/>
          <w:sz w:val="18"/>
          <w:szCs w:val="18"/>
          <w:i w:val="1"/>
          <w:iCs w:val="1"/>
          <w:color w:val="auto"/>
        </w:rPr>
        <w:t>,</w:t>
      </w:r>
      <w:r>
        <w:rPr>
          <w:rFonts w:ascii="Arial" w:cs="Arial" w:eastAsia="Arial" w:hAnsi="Arial"/>
          <w:sz w:val="18"/>
          <w:szCs w:val="18"/>
          <w:color w:val="auto"/>
        </w:rPr>
        <w:t xml:space="preserve"> Item 1. </w:t>
      </w: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Our depreciation and amortization expense increased to $4.7 million for the nine months ended September 30, 2014 compared to $3.9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2013, primarily from the continued development of our technology platform which has resulted in placing more assets into service and depreciating those assets accordingly.</w:t>
      </w:r>
    </w:p>
    <w:p>
      <w:pPr>
        <w:spacing w:after="0" w:line="21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total assets, comprised largely of cash and investments, were $465.6 million at September 30, 2014 compared to total assets of $481.2 million at December 31, 2013. The reduction in 2014 compared to 2013 was driven by operating costs, partially offset by premium income.</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accounts payable and accrued expenses were $13.7 million as of September 30, 2014 and $10.1 million at December 31, 2013. The increase at September 30, 2014 was comprised primarily of unsettled trade activity as a result of rebalancing our investment portfolio beginning in the third quarter of 2014.</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2014, we had approximately $446 million in cash and investments of which $173 million was held at NMIH. As of September 30, 2014, the amount of restricted net assets held by our consolidated insurance subsidiaries totaled approximately $254 million of our consolidated net assets of approximately $434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65"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color w:val="auto"/>
        </w:rPr>
        <w:t>The following table summarizes our consolidated cash flows from operating, investing and financing activities: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(Decrease) Increase in Cash and Cash Equivalents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23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44"/>
        </w:trPr>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5"/>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(19,590)</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(29,281)</w:t>
            </w:r>
          </w:p>
        </w:tc>
      </w:tr>
      <w:tr>
        <w:trPr>
          <w:trHeight w:val="270"/>
        </w:trPr>
        <w:tc>
          <w:tcPr>
            <w:tcW w:w="420" w:type="dxa"/>
            <w:vAlign w:val="bottom"/>
          </w:tcPr>
          <w:p>
            <w:pPr>
              <w:spacing w:after="0"/>
              <w:rPr>
                <w:sz w:val="23"/>
                <w:szCs w:val="23"/>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101,132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(420,899)</w:t>
            </w:r>
          </w:p>
        </w:tc>
      </w:tr>
      <w:tr>
        <w:trPr>
          <w:trHeight w:val="270"/>
        </w:trPr>
        <w:tc>
          <w:tcPr>
            <w:tcW w:w="420" w:type="dxa"/>
            <w:vAlign w:val="bottom"/>
          </w:tcPr>
          <w:p>
            <w:pPr>
              <w:spacing w:after="0"/>
              <w:rPr>
                <w:sz w:val="23"/>
                <w:szCs w:val="23"/>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81,556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(451,758)</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180" w:space="720"/>
            <w:col w:w="3520"/>
          </w:cols>
          <w:pgMar w:left="240" w:top="584" w:right="239" w:bottom="1440" w:gutter="0" w:footer="0" w:header="0"/>
          <w:type w:val="continuous"/>
        </w:sectPr>
      </w:pPr>
    </w:p>
    <w:p>
      <w:pPr>
        <w:jc w:val="both"/>
        <w:ind w:firstLine="648"/>
        <w:spacing w:after="0" w:line="264" w:lineRule="auto"/>
        <w:rPr>
          <w:sz w:val="20"/>
          <w:szCs w:val="20"/>
          <w:color w:val="auto"/>
        </w:rPr>
      </w:pPr>
      <w:r>
        <w:rPr>
          <w:rFonts w:ascii="Arial" w:cs="Arial" w:eastAsia="Arial" w:hAnsi="Arial"/>
          <w:sz w:val="18"/>
          <w:szCs w:val="18"/>
          <w:color w:val="auto"/>
        </w:rPr>
        <w:t>Cash used in operating activities for the nine months ended September 30, 2014 was lower compared to the same period in 2013 due primarily to the collection of premiums offset by the continued hiring of management and staff personnel, professional costs incurred in conjunction with litigation support and costs for other contract and professional services..</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Cash used in investing activities for the nine months ended September 30, 2014 was lower compared to the same period in 2013 as a result primarily of investing our cash holdings in fixed income securities in the first quarter of 2013. We had very little movement in our investment portfolio during the first half of 2014. During the third quarter of 2014, we sold approximately $100 million of our investment portfolio at the holding company. We then contributed $70 million of the proceeds to NMIC in the form of cash. Prior to the third quarter of 2014, our investment portfolio consisted of A rated securities or better. During the third quarter, we made the decision to invest 10-15% of the investment portfolio in BBB securities. As of September 30, 2014 approximately 1% of the investment portfolio was invested in BBB securities, and we will invest additional amounts of the portfolio in the future as we believe appropriate.</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from financing activities for the nine months ended September 30, 2014 consisted primarily of taxes paid related to the net share settlement of equity awards offset by the proceeds from option exercises. During the same period in 2013, cash flows from financing also consisted primarily of taxes paid related to the net share settlement of equity awards.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insurance subsidiaries; (iii) potential payments to the IRS; and (iv)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September 30, 2014, NMIH's shareholders' equity was approximately $434 million.</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NMIH's future capital requirements depend on many factors, including NMIC's ability to successfully write new business and establish premium rates at levels sufficient to cover claims and operating costs. To the extent that the funds generated by our ongoing operations and capitalization are insufficient to fund future operating requirements, we may need to raise additional funds through financing activities or curtail our growth and reduce our expenses.</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that cash and investments and projected cash flows from operations will provide us with sufficient liquidity to fund our anticipated growth by providing capital to increase our insurance company surplus as well as for payment of operating expenses through 2015, at which point we currently expect to consider various capital options. We anticipate that as our IIF grows, the premium revenue we receive will increase. We expect to manage our fixed operating expenses so that they grow at a much slower rate than sales over the coming years. Following 2014, as we anticipate an increase in our volume of MI business, we expect to see our underwriting and sales costs increase; however, we expect to see only marginal increases in our "back-office" corporate related costs (i.e., management, finance, legal, risk and information technology) as these areas of our business are already developed to support our revenue generating operations. We believe we have in place the majority of our fixed infrastructure that will allow us to successfully service our existing business and, as we grow, we expect only marginal increases in this infrastructure. We may choose to generate additional liquidity through the issuance of a combination of debt or equity securities, as well as consider our reinsurance options.</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26, 2014, NMIH contributed $20 million in cash to NMIC, and on September 18, 2014, NMIH contributed an additional $70 million in cash to NMIC. In order to support a minimum surplus of $150 million and maintain a risk-to-capital ratio under 15 to 1 through December 31, 2015 at NMIC, we expect NMIH may make additional capital contributions to NMIC from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type w:val="continuous"/>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t>time-to-time. NMIH could be required to provide additional capital support for NMIC and Re One if additional capital is required pursuant to state insurance laws and regulations, by the GSEs or the rating agencies.</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investment income, dividends from NMIC and permitted payments under our tax- and expense-sharing arrangements with our subsidiaries are NMIH's principal sources of operating cash. The expense-sharing arrangements between NMIH and its insurance subsidiaries, as amended, have been approved by the Wisconsin OCI,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 “extraordinary” and require insurance regulatory approval. Since inception, NMIC has not paid any dividends to NMIH. As NMIC had a statutory net loss for the year ended December 31, 2013, NMIC cannot pay any dividends to NMIH through December 31, 2014, without the prior approval of the Wisconsin OCI. Additionally, under agreements with the GSEs, NMIC is not permitted to pay shareholder dividends until December 31, 2015 and, under agreements with various state insurance regulators, is not permitted to pay shareholder dividends until January 2016.</w:t>
      </w:r>
    </w:p>
    <w:p>
      <w:pPr>
        <w:spacing w:after="0" w:line="1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Position of Our Insurance Subsidiaries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addition to the requirement that NMIC adhere to certain minimum capital requirements, as described in </w:t>
      </w:r>
      <w:r>
        <w:rPr>
          <w:rFonts w:ascii="Arial" w:cs="Arial" w:eastAsia="Arial" w:hAnsi="Arial"/>
          <w:sz w:val="17"/>
          <w:szCs w:val="17"/>
          <w:i w:val="1"/>
          <w:iCs w:val="1"/>
          <w:color w:val="auto"/>
        </w:rPr>
        <w:t>Note 12, Statutory Information</w:t>
      </w:r>
      <w:r>
        <w:rPr>
          <w:rFonts w:ascii="Arial" w:cs="Arial" w:eastAsia="Arial" w:hAnsi="Arial"/>
          <w:sz w:val="17"/>
          <w:szCs w:val="17"/>
          <w:color w:val="auto"/>
        </w:rPr>
        <w:t>, NMIC is also subject to state regulatory minimum capital requirements based on its insured RIF. While formulations of this minimum capital may vary in each jurisdiction, the most common measure allows for a maximum permitted risk-to-capital ratio of 25 to 1. As a new entrant to the MI business, our insurance writings to date have been minimal compared to the volume of insurance we expect to write as our business grows in the near future.</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As of September 30, 2014, NMIC's primary RIF was approximately $435.7 million representing insurance on a total of 7,628 policies in force and pool risk-in-force was approximately $93.1 million representing insurance on a total of approximately 21,000 loans. Based on NMIC's reported total statutory capital of $240 million at September 30, 2014, NMIC's risk-to-capital ratio was 1.9:1, significantly below the contractual and regulatory maximum risk-to-capital thresholds. As our insurance writings grow and our RIF increases, our risk-to-capital ratio will increase and NMIC's risk-to-capital metrics will become more important to an evaluation of its compliance with all of the capital requirements to which it is subject. The GSEs and state insurance regulators are currently examining their respective capital requirements to determine whether in light of the recent financial crisis, changes are needed to more accurately assess mortgage insurers' ability to withstand stressful economic conditions. As discussed below under </w:t>
      </w:r>
      <w:r>
        <w:rPr>
          <w:rFonts w:ascii="Arial" w:cs="Arial" w:eastAsia="Arial" w:hAnsi="Arial"/>
          <w:sz w:val="16"/>
          <w:szCs w:val="16"/>
          <w:i w:val="1"/>
          <w:iCs w:val="1"/>
          <w:color w:val="auto"/>
        </w:rPr>
        <w:t>-Proposed PMIERs,</w:t>
      </w:r>
      <w:r>
        <w:rPr>
          <w:rFonts w:ascii="Arial" w:cs="Arial" w:eastAsia="Arial" w:hAnsi="Arial"/>
          <w:sz w:val="16"/>
          <w:szCs w:val="16"/>
          <w:color w:val="auto"/>
        </w:rPr>
        <w:t xml:space="preserve"> the FHFA recently announced updated GSE mortgage insurer eligibility requirements that include new financial requirements. These new financial requirements prescribe a risk-based capital methodology whereby the amount of capital required to be held against each insured loan is determined based on certain risk characteristics, such as FICO, vintage (year of origination), performing vs. non-performing, LTV and other risk features. Based on a loan's risk profile, a capital charge is calculated, whereas the current state and GSE-imposed risk-to-capital ratio requirements do not distinguish between the type or quality of the risk. As a result, we believe the proposed PMIERs provide a more sound formulation of capital that needs to be held to support an MI's current risk-in-force. We believe NMIC will fully comply with the new financial requirements within the transition time period. For more discussion, see "</w:t>
      </w:r>
      <w:r>
        <w:rPr>
          <w:rFonts w:ascii="Arial" w:cs="Arial" w:eastAsia="Arial" w:hAnsi="Arial"/>
          <w:sz w:val="16"/>
          <w:szCs w:val="16"/>
          <w:i w:val="1"/>
          <w:iCs w:val="1"/>
          <w:color w:val="auto"/>
        </w:rPr>
        <w:t>- Proposed PMIERs</w:t>
      </w:r>
      <w:r>
        <w:rPr>
          <w:rFonts w:ascii="Arial" w:cs="Arial" w:eastAsia="Arial" w:hAnsi="Arial"/>
          <w:sz w:val="16"/>
          <w:szCs w:val="16"/>
          <w:color w:val="auto"/>
        </w:rPr>
        <w:t>," below</w:t>
      </w:r>
      <w:r>
        <w:rPr>
          <w:rFonts w:ascii="Arial" w:cs="Arial" w:eastAsia="Arial" w:hAnsi="Arial"/>
          <w:sz w:val="16"/>
          <w:szCs w:val="16"/>
          <w:i w:val="1"/>
          <w:iCs w:val="1"/>
          <w:color w:val="auto"/>
        </w:rPr>
        <w:t>.</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NAIC has formed a working group to explore, among other things, whether certain states' statutory capital requirements applicable to mortgage insurers should be overhauled. We, along with other MI companies are working with the Mortgage Guaranty Insurance Working Group of the Financial Condition (E) Committee of the NAIC (the "Working Group"). The Working Group will determine and make a recommendation to the Financial Condition</w:t>
      </w:r>
    </w:p>
    <w:p>
      <w:pPr>
        <w:jc w:val="both"/>
        <w:ind w:firstLine="8"/>
        <w:spacing w:after="0" w:line="290" w:lineRule="auto"/>
        <w:tabs>
          <w:tab w:leader="none" w:pos="29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Committee of the NAIC as to what changes, if any, the Working Group believes are necessary to the solvency regulation for MI companies, including changes to the Mortgage Guaranty Insurers Model Act (Model #630). We have provided feedback to the Working Group since early 2013, and we support more robust capital standards and continue to advocate for a strong capital model. The discussions are ongoing and the ultimate outcome of these discussions and any potential actions taken by the NAIC cannot be predicted at this time. However, given our current strong capital position and having no exposure to risk written in the 2005 through 2008 book years (which we consider to be some of the poorest performing books of business ever written by the MI industry), we believe that NMIC will be well positioned to comply with new capital requirements proposed by the NAIC when they become effective.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Consolidated Investment Portfolio and Other Factors That Impact Our Consolidated Results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net investment income for the nine months ended September 30, 2014 was $4.3 million compared to $3.3 million for the nine months ended September 30, 2013. During the first quarter of 2013 following GSE Approval, we began investing our cash holdings in fixed income securities which provide a higher yield than cash. We continued to invest our cash holdings in fixed income securities during the remainder of 2013 according to our investment guidelines. As of September 30, 2014, we believe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Consistent with Wisconsin law, our investment policies emphasize preservation of capital, as well as total return. Based on our guidelines, our current investment portfolio is comprised almost entirely of cash and cash equivalents and fixed-income securities, all of which are investment grade. Prior to the third quarter of 2014, our investment portfolio consisted of A rated securities or better. During the third quarter, we made the decision to invest 10-15% of the investment portfolio in BBB securities. As of September 30, 2014 approximately 1% of the investment portfolio was invested in BBB securities, and we will invest additional amounts of the portfolio in the future as we believe appropriate.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1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pre-tax book yield on our portfolio at September 30, 2014 was 1.2%, excluding unrealized gains and losses. Including unrealized gains and losses (net of tax), our book yield on our portfolio at September 30, 2014 was 2.1%. The book yields are calculated on our year-to-date net investment income over our average portfolio book value at September 30, 2014. We believe that the yield on our investment portfolio likely will change over time based on potential changes to the interest rate environment, the duration or mix of our investment portfolio or other factors.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sectors of our investment portfolio, including cash and cash equivalents, at September 30, 2014 and December 31, 2013, appear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90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2014</w:t>
            </w:r>
          </w:p>
        </w:tc>
        <w:tc>
          <w:tcPr>
            <w:tcW w:w="176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50"/>
        </w:trPr>
        <w:tc>
          <w:tcPr>
            <w:tcW w:w="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2.</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4.</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gridSpan w:val="2"/>
            <w:vMerge w:val="restart"/>
          </w:tcPr>
          <w:p>
            <w:pPr>
              <w:ind w:left="340"/>
              <w:spacing w:after="0"/>
              <w:rPr>
                <w:sz w:val="20"/>
                <w:szCs w:val="20"/>
                <w:color w:val="auto"/>
              </w:rPr>
            </w:pPr>
            <w:r>
              <w:rPr>
                <w:rFonts w:ascii="Arial" w:cs="Arial" w:eastAsia="Arial" w:hAnsi="Arial"/>
                <w:sz w:val="18"/>
                <w:szCs w:val="18"/>
                <w:color w:val="auto"/>
                <w:w w:val="96"/>
              </w:rPr>
              <w:t>The ratings of our investment portfolio at September 30, 2014 and December 31, 2013 were:</w:t>
            </w: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744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760" w:type="dxa"/>
            <w:vAlign w:val="bottom"/>
            <w:gridSpan w:val="3"/>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190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2014</w:t>
            </w:r>
          </w:p>
        </w:tc>
        <w:tc>
          <w:tcPr>
            <w:tcW w:w="176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56"/>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AA</w:t>
            </w:r>
          </w:p>
        </w:tc>
        <w:tc>
          <w:tcPr>
            <w:tcW w:w="7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7760" w:type="dxa"/>
            <w:vAlign w:val="bottom"/>
            <w:gridSpan w:val="3"/>
          </w:tcPr>
          <w:p>
            <w:pPr>
              <w:ind w:left="40"/>
              <w:spacing w:after="0"/>
              <w:rPr>
                <w:sz w:val="20"/>
                <w:szCs w:val="20"/>
                <w:color w:val="auto"/>
              </w:rPr>
            </w:pPr>
            <w:r>
              <w:rPr>
                <w:rFonts w:ascii="Arial" w:cs="Arial" w:eastAsia="Arial" w:hAnsi="Arial"/>
                <w:sz w:val="18"/>
                <w:szCs w:val="18"/>
                <w:color w:val="auto"/>
              </w:rPr>
              <w:t>BBB</w:t>
            </w: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 grade</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760" w:type="dxa"/>
            <w:vAlign w:val="bottom"/>
            <w:gridSpan w:val="3"/>
          </w:tcPr>
          <w:p>
            <w:pPr>
              <w:ind w:left="40"/>
              <w:spacing w:after="0"/>
              <w:rPr>
                <w:sz w:val="20"/>
                <w:szCs w:val="20"/>
                <w:color w:val="auto"/>
              </w:rPr>
            </w:pPr>
            <w:r>
              <w:rPr>
                <w:rFonts w:ascii="Arial" w:cs="Arial" w:eastAsia="Arial" w:hAnsi="Arial"/>
                <w:sz w:val="18"/>
                <w:szCs w:val="18"/>
                <w:color w:val="auto"/>
              </w:rPr>
              <w:t>Below investment grade</w:t>
            </w:r>
          </w:p>
        </w:tc>
        <w:tc>
          <w:tcPr>
            <w:tcW w:w="19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ratings above are provided by one or more of: Moody’s, Standard &amp; Poor’s and Fitch Ratings. If three ratings are available, we assign the middle rating for classification purposes, otherwise we assign the lowest rating.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ind w:firstLine="648"/>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investment portfolio at September 30, 2014 and December 31, 2013 are shown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32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4"/>
                <w:szCs w:val="14"/>
                <w:color w:val="auto"/>
              </w:rPr>
            </w:pPr>
          </w:p>
        </w:tc>
        <w:tc>
          <w:tcPr>
            <w:tcW w:w="1300" w:type="dxa"/>
            <w:vAlign w:val="bottom"/>
          </w:tcPr>
          <w:p>
            <w:pPr>
              <w:jc w:val="center"/>
              <w:ind w:right="3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 xml:space="preserve">Losses </w:t>
            </w:r>
            <w:r>
              <w:rPr>
                <w:rFonts w:ascii="Arial" w:cs="Arial" w:eastAsia="Arial" w:hAnsi="Arial"/>
                <w:sz w:val="8"/>
                <w:szCs w:val="8"/>
                <w:b w:val="1"/>
                <w:bCs w:val="1"/>
                <w:color w:val="auto"/>
                <w:w w:val="87"/>
              </w:rPr>
              <w:t>(1)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84,445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83,674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156,072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56,939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310,270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308,564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320" w:type="dxa"/>
            <w:vAlign w:val="bottom"/>
          </w:tcPr>
          <w:p>
            <w:pPr>
              <w:spacing w:after="0"/>
              <w:rPr>
                <w:sz w:val="23"/>
                <w:szCs w:val="23"/>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23"/>
                <w:szCs w:val="23"/>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23"/>
                <w:szCs w:val="23"/>
                <w:color w:val="auto"/>
              </w:rPr>
            </w:pPr>
          </w:p>
        </w:tc>
        <w:tc>
          <w:tcPr>
            <w:tcW w:w="1300" w:type="dxa"/>
            <w:vAlign w:val="bottom"/>
          </w:tcPr>
          <w:p>
            <w:pPr>
              <w:jc w:val="center"/>
              <w:ind w:right="3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 xml:space="preserve">Losses </w:t>
            </w:r>
            <w:r>
              <w:rPr>
                <w:rFonts w:ascii="Arial" w:cs="Arial" w:eastAsia="Arial" w:hAnsi="Arial"/>
                <w:sz w:val="8"/>
                <w:szCs w:val="8"/>
                <w:b w:val="1"/>
                <w:bCs w:val="1"/>
                <w:color w:val="auto"/>
                <w:w w:val="87"/>
              </w:rPr>
              <w:t>(1)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74,152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820" w:hanging="488"/>
        <w:spacing w:after="0"/>
        <w:tabs>
          <w:tab w:leader="none" w:pos="82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There were no other-than-temporary impairment losses recorded in other comprehensive income at September 30, 2014 or December 31, 2013.</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amortized cost and fair values of available for sale securities at September 30, 2014 and December 31, 2013, by contractual maturity, are shown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206,384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205,054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28,795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14,038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14,087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56,939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310,270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308,564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3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260,855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257,501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15,441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416,135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items measured at fair value included the following as of September 30, 2014 and December 31,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5"/>
          </w:tcPr>
          <w:p>
            <w:pPr>
              <w:ind w:left="86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38,747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44,927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83,674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11,979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156,072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56,839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137,485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137,485</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176,232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269,817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446,049</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23"/>
                <w:szCs w:val="2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5"/>
          </w:tcPr>
          <w:p>
            <w:pPr>
              <w:ind w:left="86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73,292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105,413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359,604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465,017</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transfers of securities between Level 1 and Level 2 during the nine months ended September 30, 2014 or the year 2013.</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fair value of the warrants issued to FBR and MAC Financial Ltd. (which are now held by the former stockholders of MAC Financial Ltd. as a result of its liquidation) was estimated on the date of grant using the Black-Scholes option-pricing model, including consideration of any potential additional value associated with pricing protection features. The volatility assumption used, 39.0%, was derived from the historical volatility of the share price of a range of publicly-traded companies with business types similar to ours. No allowance was made for any potential illiquidity associated with the private trading of our shares. We revalue the warrant liability quarterly using a Black-Scholes option-pricing model, in combination with a binomial model and a Monte-Carlo simulation model, which is used to value the pricing protection features within the warrant. As of September 30, 2014, the assumptions used in the option pricing model were as follows: a common stock price as of September 30, 2014 of $8.65, risk free interest rate of 2.16%, expected life of 6.74 years and a dividend yield of 0%. The gain from change in fair value for the nine months ending September 30, 2014 of approximately $3.0 million is primarily due to a decrease in the price of our common stock as compared to December 31, 2013. The warrants have an exercise price of $10.00. The remaining contractual term on the warrants is 7.6 years.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Share Based Compensation</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2012 Stock Incentive Plan (the “Plan”) was approved by the Board of Directors ("Board") on April 16, 2012 and authorized 5.5 million shares to be reserved for issuance under the Plan, with 3.85 million shares available for stock options and 1.65 million shares available for RSU grants. Options granted under the Plan are non-qualified stock options and may be granted to employees, directors and other key persons of the Company. The exercise price per share for the common stock covered by the Plan shall be determined by the Board at the time of grant, but shall not be less than the fair market value on the date of the grant. The term of the stock option grants will be fixed by the Board, but no stock option shall be exercisable more than 10 years after the date the stock option is granted. The vesting period of the stock option grants will also be fixed by the Board at the time of grant and generally is for a three year period. The estimated grant date fair values of the stock options granted during 2014 were calculated using a Black-Scholes valuation model.</w:t>
      </w:r>
    </w:p>
    <w:p>
      <w:pPr>
        <w:spacing w:after="0" w:line="11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RSUs granted in 2014 were valued at our stock price on the date of grant less the present value of anticipated dividends, which is $0. As of September 30, 2014, there was $4.3 million of total unrecognized compensation cost related to non-vested RSUs compared to $4.8 million as of September 30, 2013.</w:t>
      </w:r>
    </w:p>
    <w:p>
      <w:pPr>
        <w:spacing w:after="0" w:line="1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May 8, 2014, NMIH held its annual shareholder meeting, at which our shareholders voted to approve the NMIH 2014 Omnibus Incentive Plan, which authorizes us to make 4 million shares of NMIH"s class A common stock available to be granted. These shares may be either authorized but unissued shares or treasury shares.</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further discussion on how we account for our share based compensation, see "</w:t>
      </w:r>
      <w:r>
        <w:rPr>
          <w:rFonts w:ascii="Arial" w:cs="Arial" w:eastAsia="Arial" w:hAnsi="Arial"/>
          <w:sz w:val="18"/>
          <w:szCs w:val="18"/>
          <w:i w:val="1"/>
          <w:iCs w:val="1"/>
          <w:color w:val="auto"/>
        </w:rPr>
        <w:t>Note 9, Share Based Compensation,"</w:t>
      </w:r>
      <w:r>
        <w:rPr>
          <w:rFonts w:ascii="Arial" w:cs="Arial" w:eastAsia="Arial" w:hAnsi="Arial"/>
          <w:sz w:val="18"/>
          <w:szCs w:val="18"/>
          <w:color w:val="auto"/>
        </w:rPr>
        <w:t xml:space="preserve"> included in the notes to our Financial Statements, above.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2.5% for the three months ended September 30, 2014, compared to 0.0% for the comparable 2013 period. Our effective income tax rate on our pre-tax loss was 3.9% for the nine months ended September 30, 2014, compared to 0.0% for the comparable 2013 period.</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income tax benefit of $1.6 million for the nine months ended September 30, 2014 is related to the tax effects of unrealized gains credited to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in the current year. The intra-period tax allocation rules related to items charged or credited directly to OCI can result in disproportionate tax effects that remain in OCI until certain events occur. As a result of a reduction in unrealized losses credited directly to OCI during the nine months ended September 30, 2014, approximately $2.2 million of tax provision expense has been netted with current year unrealized gains in OCI, and $1.6 million of tax provision benefit was allocated to the income tax provision for continuing operations. At year-end, we expect the two amounts to be fully offsetting, and for these tax items to have no impact on net book value or cash flow. Other benefits from income taxes were eliminated or reduced by the recognition of a full valuation allowance which was recorded to reflect the amount of the deferred taxes that may not be realized.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2014 and as of December 31, 2013, we have a net deferred tax liability of $0.1 million as a result of the acquisition of indefinite-lived intangibles in the MAC Acquisition for which no benefit has been reflected in the acquired net operating loss carry forwards. The tax liability incurred at the acquisition was recorded as an increase in goodwill.</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statements reflect a valuation allowance with respect to our net deferred tax assets. If the valuation allowance is reduced in the future, we would recognize an income tax benefit associated primarily with the carry forward of federal net operating losses and future stock compensation tax deductions.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current guidance, when evaluating a tax position for recognition and measurement, an entity shall presume that the tax position will be examined by the relevant taxing authority that has full knowledge of all relevant information. The interpretation adopts (i) a benefit recognition model with a two-step approach; (ii) a more-likely-than-not threshold for recognition and derecognition; and (iii) a measurement attribute that is the greatest amount of benefit that is cumulatively greater than 50% likely of being realized. As of September 30, 2014 and as of December 31, 2013, we had no reserve for unrecognized tax benefits.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Employees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Company is an attractive, stable place of employment, given that we are a well-capitalized insurance company that has made significant progress in commencing business in the MI marketplace, allowing us to attract what we believe to be high-quality talent. We believe that our growth and future success will depend in large part on our services and the skills of our management team and our ability to motivate and retain these individuals and other key personnel. As of September 30, 2014, we had significantly developed our employee base to support our regional and national sales teams, policy acquisition and servicing, IT, and all other back-office functions. Based on the execution of our business plan, we hired a substantial number of employees since our Private Placement in April 2012 and expect to continue to add additional staff through the first half of 2015. As of September 30, 2014, we had 186 total full-time employees.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PMIERS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July 10, 2014, the FHFA released for public input the proposed PMIERs. The PMIERs, when finalized and effective, establish operational, business, remedial and financial requirements applicable to private mortgage insurers that insure residential mortgages owned or guaranteed by Fannie Mae and Freddie Mac, i.e., </w:t>
      </w:r>
      <w:r>
        <w:rPr>
          <w:rFonts w:ascii="Arial" w:cs="Arial" w:eastAsia="Arial" w:hAnsi="Arial"/>
          <w:sz w:val="18"/>
          <w:szCs w:val="18"/>
          <w:i w:val="1"/>
          <w:iCs w:val="1"/>
          <w:color w:val="auto"/>
        </w:rPr>
        <w:t>Approved Insurers</w:t>
      </w:r>
      <w:r>
        <w:rPr>
          <w:rFonts w:ascii="Arial" w:cs="Arial" w:eastAsia="Arial" w:hAnsi="Arial"/>
          <w:sz w:val="18"/>
          <w:szCs w:val="18"/>
          <w:color w:val="auto"/>
        </w:rPr>
        <w:t>.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draft PMIERs, as described below.) We believe that the draft PMIERs will help restore confidence in an industry affected by the recent housing crisis. We also believe a strong and financially sustainable private mortgage insurance industry is a key component of a healthy residential mortgage market and that NMIC is well positioned under the PMIERs to continue to serve the growing demand for private MI.</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an Overview of the draft PMIERs published concurrently with release of the revised eligibility standards, the FHFA announced that the PMIERs will take effect 180 days following the publication date of final PMIERs (the “Effective Date”). The Overview further provides that prior to the Effective Date, each private mortgage insurer shall either (i) certify to the GSEs that it fully complies with the PMIER financial requirements as of the Effective Date, or (ii) obtain GSE approvals on a transition plan detailing how it will comply with the financial requirements not later than 2 years following the publication date (the “Compliance Date”). We understand that each GSE will publish its own set of PMIERs and that final publication will occur late this year or during the first half of next year, making the Effective Date sometime in 2015. As of the Effective Date, each MI, including NMIC, will have to comply with the financial requirements or have a GSE-approved transition plan in place.</w:t>
      </w:r>
    </w:p>
    <w:p>
      <w:pPr>
        <w:spacing w:after="0" w:line="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Under the proposed PMIER financial requirements,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must maintain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equal or exceed </w:t>
      </w:r>
      <w:r>
        <w:rPr>
          <w:rFonts w:ascii="Arial" w:cs="Arial" w:eastAsia="Arial" w:hAnsi="Arial"/>
          <w:sz w:val="16"/>
          <w:szCs w:val="16"/>
          <w:i w:val="1"/>
          <w:iCs w:val="1"/>
          <w:color w:val="auto"/>
        </w:rPr>
        <w:t>minimum required</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which is an amount equal to the greater of (i) $400 million or (ii) the</w:t>
      </w:r>
      <w:r>
        <w:rPr>
          <w:rFonts w:ascii="Arial" w:cs="Arial" w:eastAsia="Arial" w:hAnsi="Arial"/>
          <w:sz w:val="16"/>
          <w:szCs w:val="16"/>
          <w:i w:val="1"/>
          <w:iCs w:val="1"/>
          <w:color w:val="auto"/>
        </w:rPr>
        <w:t xml:space="preserve"> total risk-based required asset amount</w:t>
      </w:r>
      <w:r>
        <w:rPr>
          <w:rFonts w:ascii="Arial" w:cs="Arial" w:eastAsia="Arial" w:hAnsi="Arial"/>
          <w:sz w:val="16"/>
          <w:szCs w:val="16"/>
          <w:color w:val="auto"/>
        </w:rPr>
        <w:t>. The</w:t>
      </w:r>
      <w:r>
        <w:rPr>
          <w:rFonts w:ascii="Arial" w:cs="Arial" w:eastAsia="Arial" w:hAnsi="Arial"/>
          <w:sz w:val="16"/>
          <w:szCs w:val="16"/>
          <w:i w:val="1"/>
          <w:iCs w:val="1"/>
          <w:color w:val="auto"/>
        </w:rPr>
        <w:t xml:space="preserve"> total risk-based required asset amount </w:t>
      </w:r>
      <w:r>
        <w:rPr>
          <w:rFonts w:ascii="Arial" w:cs="Arial" w:eastAsia="Arial" w:hAnsi="Arial"/>
          <w:sz w:val="16"/>
          <w:szCs w:val="16"/>
          <w:color w:val="auto"/>
        </w:rPr>
        <w:t>for an</w:t>
      </w:r>
      <w:r>
        <w:rPr>
          <w:rFonts w:ascii="Arial" w:cs="Arial" w:eastAsia="Arial" w:hAnsi="Arial"/>
          <w:sz w:val="16"/>
          <w:szCs w:val="16"/>
          <w:i w:val="1"/>
          <w:iCs w:val="1"/>
          <w:color w:val="auto"/>
        </w:rPr>
        <w:t xml:space="preserve"> approved insurer </w:t>
      </w:r>
      <w:r>
        <w:rPr>
          <w:rFonts w:ascii="Arial" w:cs="Arial" w:eastAsia="Arial" w:hAnsi="Arial"/>
          <w:sz w:val="16"/>
          <w:szCs w:val="16"/>
          <w:color w:val="auto"/>
        </w:rPr>
        <w:t>is a function of its direct risk-in-force (net risk-in-force for certain qualifying reinsurance arrangements) and the risk profile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all loans it has insured as of any determination date. It is calculated by applying the applicable </w:t>
      </w:r>
      <w:r>
        <w:rPr>
          <w:rFonts w:ascii="Arial" w:cs="Arial" w:eastAsia="Arial" w:hAnsi="Arial"/>
          <w:sz w:val="16"/>
          <w:szCs w:val="16"/>
          <w:i w:val="1"/>
          <w:iCs w:val="1"/>
          <w:color w:val="auto"/>
        </w:rPr>
        <w:t>risk-based required asset factor</w:t>
      </w:r>
      <w:r>
        <w:rPr>
          <w:rFonts w:ascii="Arial" w:cs="Arial" w:eastAsia="Arial" w:hAnsi="Arial"/>
          <w:sz w:val="16"/>
          <w:szCs w:val="16"/>
          <w:color w:val="auto"/>
        </w:rPr>
        <w:t xml:space="preserve"> to the risk-in-force under each insured loan and summing over all loans, subject to a floor equal to 5.6% of total risk-in-force. The proposed </w:t>
      </w:r>
      <w:r>
        <w:rPr>
          <w:rFonts w:ascii="Arial" w:cs="Arial" w:eastAsia="Arial" w:hAnsi="Arial"/>
          <w:sz w:val="16"/>
          <w:szCs w:val="16"/>
          <w:i w:val="1"/>
          <w:iCs w:val="1"/>
          <w:color w:val="auto"/>
        </w:rPr>
        <w:t>risk-based required asset factors</w:t>
      </w:r>
      <w:r>
        <w:rPr>
          <w:rFonts w:ascii="Arial" w:cs="Arial" w:eastAsia="Arial" w:hAnsi="Arial"/>
          <w:sz w:val="16"/>
          <w:szCs w:val="16"/>
          <w:color w:val="auto"/>
        </w:rPr>
        <w:t>, which are set forth in tables contained in the draft PMIERs, vary over several risk dimensions including loan-to-value, FICO credit score, vintage, and loan status, i.e., performing or non-performing. In addition, there are surcharges for some non-GSE eligible performing loans that have certain risk characteristics, such as those underwritten with less than full documentation, non-owner occupied, non-fully amortizing or those in which the debt to income ratio exceeds 43%.</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As of September 30, 2014, on a consolidated basis, the Company has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as defined by the draft PMIERs of approximately $446 million, but only $273 million of the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are at NMIC, including the </w:t>
      </w:r>
      <w:r>
        <w:rPr>
          <w:rFonts w:ascii="Arial" w:cs="Arial" w:eastAsia="Arial" w:hAnsi="Arial"/>
          <w:sz w:val="17"/>
          <w:szCs w:val="17"/>
          <w:i w:val="1"/>
          <w:iCs w:val="1"/>
          <w:color w:val="auto"/>
        </w:rPr>
        <w:t>available</w:t>
      </w:r>
      <w:r>
        <w:rPr>
          <w:rFonts w:ascii="Arial" w:cs="Arial" w:eastAsia="Arial" w:hAnsi="Arial"/>
          <w:sz w:val="17"/>
          <w:szCs w:val="17"/>
          <w:color w:val="auto"/>
        </w:rPr>
        <w:t xml:space="preserve"> assets of Re One. Therefore, if the draft PMIERs took effect as of September 30, 2014, NMIH would need to contribute substantially all of its capital to NMIC to be in compliance. Even if NMIH contributed substantially all of its capital to NMIC, it is likely that NMIC's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will fall below $400 million on the Effective Date. Therefore, assuming the PMIERs are finalized and published as anticipated, we expect that NMIC will submit a transition plan to the GSEs within 90 days of the Effective Date detailing how NMIC will fully comply with the PMIERs on the Compliance Date. Any transition plan will likely include raising additional capital prior to the Compliance Date, which is consistent with the Company’s previous guidance regarding the timing of future capital raises to fund growth in the business, which we expect to occur after 2015. Additionally, with periodic capital contributions from NMIH, we expect NMIC's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will exceed the </w:t>
      </w:r>
      <w:r>
        <w:rPr>
          <w:rFonts w:ascii="Arial" w:cs="Arial" w:eastAsia="Arial" w:hAnsi="Arial"/>
          <w:sz w:val="17"/>
          <w:szCs w:val="17"/>
          <w:i w:val="1"/>
          <w:iCs w:val="1"/>
          <w:color w:val="auto"/>
        </w:rPr>
        <w:t>total risk-based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required asset amount </w:t>
      </w:r>
      <w:r>
        <w:rPr>
          <w:rFonts w:ascii="Arial" w:cs="Arial" w:eastAsia="Arial" w:hAnsi="Arial"/>
          <w:sz w:val="17"/>
          <w:szCs w:val="17"/>
          <w:color w:val="auto"/>
        </w:rPr>
        <w:t>through the end of 2015. If the draft PMIERs were adopted as drafted today, we expect that the amount of capital we would have to</w:t>
      </w:r>
      <w:r>
        <w:rPr>
          <w:rFonts w:ascii="Arial" w:cs="Arial" w:eastAsia="Arial" w:hAnsi="Arial"/>
          <w:sz w:val="17"/>
          <w:szCs w:val="17"/>
          <w:i w:val="1"/>
          <w:iCs w:val="1"/>
          <w:color w:val="auto"/>
        </w:rPr>
        <w:t xml:space="preserve"> </w:t>
      </w:r>
      <w:r>
        <w:rPr>
          <w:rFonts w:ascii="Arial" w:cs="Arial" w:eastAsia="Arial" w:hAnsi="Arial"/>
          <w:sz w:val="17"/>
          <w:szCs w:val="17"/>
          <w:color w:val="auto"/>
        </w:rPr>
        <w:t>hold under our pool insurance agreement with Fannie Mae would be significantly reduced. We discuss the current and expected capital requirements for this pool transaction above in "</w:t>
      </w:r>
      <w:r>
        <w:rPr>
          <w:rFonts w:ascii="Arial" w:cs="Arial" w:eastAsia="Arial" w:hAnsi="Arial"/>
          <w:sz w:val="17"/>
          <w:szCs w:val="17"/>
          <w:i w:val="1"/>
          <w:iCs w:val="1"/>
          <w:color w:val="auto"/>
        </w:rPr>
        <w:t>- New Insurance Written, Insurance in Force and Risk in Force - Fannie Mae Pool Transaction."</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public comment period for the PMIER's closed on September 8, 2014, and we, along with other industry participants, provided comments to the FHFA, which are publicly available on the FHFA's website. Our comments, the FHFA's website and information contained on or accessible through the FHFA's website are not incorporated by reference into this report. We believe there should be consideration 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for future earned premium from all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IIF. We also requested clarification in the PMIERs as to how insured business for particular book years will be treated as the book ages, as we believe that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 xml:space="preserve">charges under applicable </w:t>
      </w:r>
      <w:r>
        <w:rPr>
          <w:rFonts w:ascii="Arial" w:cs="Arial" w:eastAsia="Arial" w:hAnsi="Arial"/>
          <w:sz w:val="18"/>
          <w:szCs w:val="18"/>
          <w:i w:val="1"/>
          <w:iCs w:val="1"/>
          <w:color w:val="auto"/>
        </w:rPr>
        <w:t>risk-based required asset factors</w:t>
      </w:r>
      <w:r>
        <w:rPr>
          <w:rFonts w:ascii="Arial" w:cs="Arial" w:eastAsia="Arial" w:hAnsi="Arial"/>
          <w:sz w:val="18"/>
          <w:szCs w:val="18"/>
          <w:color w:val="auto"/>
        </w:rPr>
        <w:t xml:space="preserve"> should recognize the lower conditional probability of default as vintages age. We further expect that the </w:t>
      </w:r>
      <w:r>
        <w:rPr>
          <w:rFonts w:ascii="Arial" w:cs="Arial" w:eastAsia="Arial" w:hAnsi="Arial"/>
          <w:sz w:val="18"/>
          <w:szCs w:val="18"/>
          <w:i w:val="1"/>
          <w:iCs w:val="1"/>
          <w:color w:val="auto"/>
        </w:rPr>
        <w:t>risk-based required asset factor</w:t>
      </w:r>
      <w:r>
        <w:rPr>
          <w:rFonts w:ascii="Arial" w:cs="Arial" w:eastAsia="Arial" w:hAnsi="Arial"/>
          <w:sz w:val="18"/>
          <w:szCs w:val="18"/>
          <w:color w:val="auto"/>
        </w:rPr>
        <w:t xml:space="preserve"> charges for delinquent loans will be reassessed as today’s crisis-era delinquencies reach resolution. We also had additional comments on other provisions contained in the draft PMIERs.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GSE Approval Conditions and GSE Reform</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GSEs are the principal purchasers of mortgages insured by MI companies, primarily as a result of their legislative mandate to provide liquidity in the secondary mortgage market. Following the Company's Private Placement in April 2012, NMIC's key focus was to first secure approvals from the GSEs. In January 2013, Fannie Mae and Freddie Mac each approved NMIC as a qualified mortgage insurer, and with their approvals, imposed certain capitalization, operational and reporting conditions on NMIC (collectively the "GSE Approval"), most of which remain in effect for a three (3) year period from the date of GSE Approval. We expect that the significant majority of insurance we will write will be for loans sold to the GSEs. As a GSE qualified mortgage insurer, NMIC is subject to ongoing compliance with the conditions in the GSE Approval as well as the GSEs' respective qualified mortgage insurer eligibility requirements ("Eligibility Requirements"), each of which is further discussed below.</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conditions in the GSE Approval require, among other things, that NMIC:</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minimum capital of $150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operate at a risk-to-capital ratio not to exceed 15:1 for its first three (3) years and then pursuant to the GSE Eligibility Requirements then in effect;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declare or pay dividends to affiliates or to NMIH for its first three (3) years, then pursuant to the Eligibility Requirements;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enter into capital support agreements or guarantees for the benefit of, or purchase or otherwise invest in the debt of, affiliates without the prior written approval of the GSEs for its first three (3) years, then pursuant to the Eligibility Requirements;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enter into reinsurance or other risk share arrangements without the GSEs' prior written approval for its first three (3) years, then pursuant to the Eligibility Requirements;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direction of one or both of the GSEs, re-domicile from Wisconsin to another state.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GSE Approvals also include other conditions, limitations and reporting requirements, such as limits on costs allocated to NMIC under affiliate expense sharing arrangements, risk concentration, rates of return, requirements to obtain a financial strength rating, provision of ancillary services (i.e., non-insurance) to customers, transfers of underwriting to affiliates, notification requirements regarding change of ownership and new five percent (5%) shareholders, provisions regarding underwriting policies and claims processing as well as certain other obligations.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GSEs each maintain their own Eligibility Requirements, which they have been in the process of revising since mid-2010. As discussed above, on July 10, 2014, the FHFA released for public input the proposed PMIERs, that when adopted will replace the Eligibility Requirements. Because the timing with respect to adoption and final publication of the new PMIERs is uncertain, it is unclear how we will transition from having to meet the conditions in our GSE Approval letters to the current Eligibility Requirements or the new PMIERs, as the case may be, in order to remain a GSE-approved mortgage insurer. We currently expect that the PMIERs will go into effect before our current approval letters expire; however, it is possible that the PMIERs will not go into effect until after some of the conditions contained in our approval letters have expired. Even if the PMIERs are adopted as proposed, we believe NMIC is well positioned to fully comply with the new financial requirements within the transition period and to continue to serve demand for private MI. See "- </w:t>
      </w:r>
      <w:r>
        <w:rPr>
          <w:rFonts w:ascii="Arial" w:cs="Arial" w:eastAsia="Arial" w:hAnsi="Arial"/>
          <w:sz w:val="18"/>
          <w:szCs w:val="18"/>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PMIERs</w:t>
      </w:r>
      <w:r>
        <w:rPr>
          <w:rFonts w:ascii="Arial" w:cs="Arial" w:eastAsia="Arial" w:hAnsi="Arial"/>
          <w:sz w:val="18"/>
          <w:szCs w:val="18"/>
          <w:color w:val="auto"/>
        </w:rPr>
        <w:t>," above.</w:t>
      </w:r>
    </w:p>
    <w:p>
      <w:pPr>
        <w:spacing w:after="0" w:line="1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in connection with the FHFA's mandate that the GSEs align their mortgage insurer eligibility standards, the GSEs have imposed minimum standards for mortgage insurer master policies, including standards related to limitations on insurers' rescission rights. To comply with the GSEs' master policy requirements, we and our competitors have filed new master policies with state insurance regulators. As of the date of this report, NMIC's new master policy has been approved in 50 states and the District of Columbia. On October 1, 2014, NMIC began insuring loans under its new master policy with respect to approved mortgage insurance applications it receives on and after October 1, 2014.</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i w:val="1"/>
          <w:iCs w:val="1"/>
          <w:color w:val="auto"/>
        </w:rPr>
        <w:t>GSE Reform</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increased role that the federal government has assumed in the residential mortgage market through the FHFA's conservatorship of the GSEs may increase the likelihood that the business practices of the GSEs change in ways that affect the MI industry. Since 2011, there have been numerous legislative proposals intended to scale back the GSEs, however, no legislation has been enacted to date. Passage of currently proposed GSE reform legislation is uncertain and could change through the legislative process, which could take time, making the actual impact on us and our industry difficult to predict.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seven private mortgage insurers, including NMIC, as well as governmental agencies like the Federal Housing Administration ("FHA") and the Veterans Administration ("VA").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 industry has recently been in a state of flux, with some existing companies exiting and new companies entering the space. In 2009, a new MI company was formed and started writing MI in 2010. We began writing MI in April of 2013. In January 2014, an existing reinsurance company completed its acquisition of an existing MI company that had been serving credit unions only, with the intention to expand its operations to serve the entire mortgage market. In addition, an existing MI company that had previously stopped writing MI business had announced its intent to attempt to resume its MI operations, which as of the date of this report have not been successful. Given this dynamic, we expect that there will be pressure in the coming years for industry participants to establish, grow or maintain their market share.</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believe that we have an advantage in the marketplace as a result of our strong capital position and competitive terms of coverage. We expect that this advantage will translate to increasing our market share in the near term. Our competitors' share of the private MI market at June 30, 2014 varied from a low of approximately 2% to a high of approximately 26%. In general, we expect the total origination market to decline in 2014. However, within the total market of low-down payment loan originations, we expect the overall private MI penetration rate to increase as the FHA continues to scale back. See </w:t>
      </w:r>
      <w:r>
        <w:rPr>
          <w:rFonts w:ascii="Arial" w:cs="Arial" w:eastAsia="Arial" w:hAnsi="Arial"/>
          <w:sz w:val="18"/>
          <w:szCs w:val="18"/>
          <w:i w:val="1"/>
          <w:iCs w:val="1"/>
          <w:color w:val="auto"/>
        </w:rPr>
        <w:t xml:space="preserve">"Competition with FHA," </w:t>
      </w:r>
      <w:r>
        <w:rPr>
          <w:rFonts w:ascii="Arial" w:cs="Arial" w:eastAsia="Arial" w:hAnsi="Arial"/>
          <w:sz w:val="18"/>
          <w:szCs w:val="18"/>
          <w:color w:val="auto"/>
        </w:rPr>
        <w:t>below. Because we remain in the early stages of our initial growth phase, we continue to add new customers, and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existing customers will begin to allocate more of their business to us for placement of our MI. Consequently, even with a decline in the total origination market in 2014 compared to 2013, we expect that our business and share of the private MI market will continue to grow, as reflected in the trend of our NIW and growing IIF.</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FHA, which is part of the federal U.S. Department of Housing and Urban Development, substantially increased its share of the total combined private and governmental mortgage insurance market beginning in 2008. We believe that the FHA's market share increased, in part, because private mortgage insurers tightened their underwriting guidelines (which led to increased utilization of the FHA's programs) and because of increases in the amount of loan level delivery fees that the GSEs assess on loans (which result in higher costs to borrowers). We believe that federal legislation and programs that were adopted as emergency measures to support the declining housing market provided the FHA with greater flexibility in establishing new products and resulted in increased market share for the FHA. During 2011, the FHA's market share began to gradually decline. In part, we believe the decline in the FHA's market share has been driven by multiple increases in the FHA's mortgage insurance premium rates and upfront fees since 2010, as well as greater availability of private capital with new entrants to the MI sector, such as us. We believe that the FHA's current premium pricing, when compared to our current premium pricing allows us to be competitive with the FHA for loans where borrowers' FICO scores are above 680.</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The below table shows the declining market share of the FHA/VA and the rising market share of private 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118110</wp:posOffset>
            </wp:positionV>
            <wp:extent cx="5969000" cy="3275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00"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18"/>
          <w:szCs w:val="18"/>
          <w:color w:val="auto"/>
          <w:vertAlign w:val="superscript"/>
        </w:rPr>
      </w:pPr>
      <w:r>
        <w:rPr>
          <w:rFonts w:ascii="Arial" w:cs="Arial" w:eastAsia="Arial" w:hAnsi="Arial"/>
          <w:sz w:val="18"/>
          <w:szCs w:val="18"/>
          <w:color w:val="auto"/>
        </w:rPr>
        <w:t>Home Affordable Refinance Program ("HARP")</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the MI industry will continue to recover market share from the FHA as it pulls back and permits more private capital to return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had no off-balance sheet arrangements at September 30, 2014. There are no material changes outside the ordinary course of business in the contractual obligations specified in our 2013 Form 10-K.</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build a geographically diverse portfolio and avoid geographic concentrations that might expose us to undue risk. Risk will be managed by establishing targets and limits for new origination mix and/or portfolio limits. Therefore, aside from the impact of market restrictions, we desire that our insurance origination mix by region be consistent with the overall distribution of mortgage originations in the United States that require mortgage insurance. We currently have no geographic market restrictions in place.</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an ongoing and recurring basis, we evaluate changing market conditions to determine if it is appropriate to establish, tighten, loosen or eliminate lending restrictions established by geographic area. The evaluation includes factors such as historical performance and the historical performance of other market participants, forward-looking projections for key risk drivers, estimated impact on loss performance, and existing portfolio concentrations. Consistent with our governance processes, the geographic concentrations are monitored on an ongoing basis and changes to market restrictions will be reviewed and adopted as needed.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the assumptions and estimates associated with revenue recognition, fair value measurements, our investment portfolio, deferred policy acquisition costs, income taxes, reserves for insurance claims and claims expenses, warrants and share-based compensation have the greatest potential impact on our consolidated financial statements. Therefore, we consider these to be our critical accounting estimates.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year ended December 31, 2013.</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global companies and markets worldwide, it is most sensitive to fluctuations in the drivers of U.S. markets.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7" w:lineRule="exact"/>
        <w:rPr>
          <w:sz w:val="20"/>
          <w:szCs w:val="20"/>
          <w:color w:val="auto"/>
        </w:rPr>
      </w:pPr>
    </w:p>
    <w:p>
      <w:pPr>
        <w:jc w:val="both"/>
        <w:ind w:left="660" w:hanging="328"/>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to the extent that the investment portfolio must be restructured to better align it with future liabilities and claim payments. Such restructuring may cause investments to be liquidated when market conditions are adverse.</w:t>
      </w:r>
    </w:p>
    <w:p>
      <w:pPr>
        <w:spacing w:after="0" w:line="4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2014, the duration of our fixed income portfolio, including cash and cash equivalents, was 2.28 years, which means that an instantaneous parallel shift (movement up or down) in the yield curve of 100 basis points would result in a change of 2.28% in fair value of our fixed income portfolio. Excluding cash, our fixed income portfolio duration was 3.24 years, which means that an instantaneous parallel shift (movement up or down) in the yield curve of 100 basis points would result in a change of 3.24% in fair value of our fixed income portfolio.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2014,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September 30, 2014,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ind w:left="538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See disclosure regarding the PMI Complaint in </w:t>
      </w:r>
      <w:r>
        <w:rPr>
          <w:rFonts w:ascii="Arial" w:cs="Arial" w:eastAsia="Arial" w:hAnsi="Arial"/>
          <w:sz w:val="16"/>
          <w:szCs w:val="16"/>
          <w:i w:val="1"/>
          <w:iCs w:val="1"/>
          <w:color w:val="auto"/>
        </w:rPr>
        <w:t>Note 11, Litigation</w:t>
      </w:r>
      <w:r>
        <w:rPr>
          <w:rFonts w:ascii="Arial" w:cs="Arial" w:eastAsia="Arial" w:hAnsi="Arial"/>
          <w:sz w:val="16"/>
          <w:szCs w:val="16"/>
          <w:color w:val="auto"/>
        </w:rPr>
        <w:t xml:space="preserve"> to the Financial Statements, above.</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580"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2013 ("Form 10-K") and in Part II, Item 1A of our Quarterly Report on Form 10-Q for the quarter ended June 30, 2014 ("Form 10-Q"). We are not aware of any material changes in our risk factors from the risk factors disclosed in our Form 10-K and Form 10-Q. You should carefully consider the risks described herein, in our Form 10-K and in our Form 10-Q, which could materially and negatively affect our business, financial condition and/or operating results. The risks described herein, in our Form 10-K and Form 10-Q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index to exhibits has been filed as part of this report and is incorporated herein by reference.</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580" w:right="1440" w:bottom="1440" w:gutter="0" w:footer="0" w:header="0"/>
        </w:sectPr>
      </w:pPr>
    </w:p>
    <w:bookmarkStart w:id="49" w:name="page50"/>
    <w:bookmarkEnd w:id="49"/>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November 6, 2014</w:t>
      </w:r>
      <w:r>
        <w:rPr>
          <w:sz w:val="20"/>
          <w:szCs w:val="20"/>
          <w:color w:val="auto"/>
        </w:rPr>
        <w:tab/>
      </w:r>
      <w:r>
        <w:rPr>
          <w:rFonts w:ascii="Arial" w:cs="Arial" w:eastAsia="Arial" w:hAnsi="Arial"/>
          <w:sz w:val="16"/>
          <w:szCs w:val="16"/>
          <w:color w:val="auto"/>
        </w:rPr>
        <w:t>By: /s/ John (Jay) M. Sherwood, Jr.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John (Jay) M. Sherwood, Jr.</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240" w:top="1013" w:right="7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(incorporated herein by reference to Exhibit 3.1 to our Form 8-K, filed on May 12,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320" w:hanging="805"/>
        <w:spacing w:after="0" w:line="277"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05"/>
        <w:spacing w:after="0" w:line="264" w:lineRule="auto"/>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05"/>
        <w:spacing w:after="0" w:line="264"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Employment Agreement by and between NMI Holdings, Inc. and Bradley M. Shuster, dated March 6, 2012 (incorporated herein by reference to Exhibit 10.8 to our Form S-1 Registration Statement (Registration No. 333-191635), filed on October 9, 2013)</w:t>
      </w:r>
    </w:p>
    <w:p>
      <w:pPr>
        <w:spacing w:after="0" w:line="1" w:lineRule="exact"/>
        <w:rPr>
          <w:sz w:val="20"/>
          <w:szCs w:val="20"/>
          <w:color w:val="auto"/>
        </w:rPr>
      </w:pPr>
    </w:p>
    <w:p>
      <w:pPr>
        <w:jc w:val="both"/>
        <w:ind w:left="1160" w:right="40" w:hanging="805"/>
        <w:spacing w:after="0" w:line="342"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Employment Agreement by and between NMI Holdings, Inc. and Jay M. Sherwood, dated March 6, 2012 (incorporated herein by reference</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to Exhibit 10.10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Amendment to Employment Agreement by and between NMI Holdings, Inc. and Jay M. Sherwood, dated April 24, 2012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10.11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Letter Agreement by and between NMI Holdings, Inc. and Stanley M. Pachura, dated April 26, 2012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10.12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certain of its directors (incorporated herein by reference to Exhibit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10.13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364"/>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Subsidiaries of NMI Holdings, Inc. (incorporated herein by reference to Exhibit 21.1 to our Form S-1 Registration Statement (Registration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Consent of BDO USA, LLP (incorporated herein by reference to Exhibit 23.1 to our Form 10-K for the period ended December 31, 2013,</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12, 2014)</w:t>
            </w:r>
          </w:p>
        </w:tc>
      </w:tr>
      <w:tr>
        <w:trPr>
          <w:trHeight w:val="351"/>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Letter, dated January 15, 2013, from Freddie Mac to National Mortgage Insurance Corporation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99.1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Agreement, dated January 16, 2013, by and among Federal National Mortgage Association, NMI Holdings, Inc.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National Mortgage Insurance Corporation (incorporated herein by reference to Exhibit 99.2 to our Form S-1 Registration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No. 333-191635), filed on October 9, 2013)</w:t>
            </w:r>
          </w:p>
        </w:tc>
      </w:tr>
    </w:tbl>
    <w:p>
      <w:pPr>
        <w:spacing w:after="0" w:line="40" w:lineRule="exact"/>
        <w:rPr>
          <w:sz w:val="20"/>
          <w:szCs w:val="20"/>
          <w:color w:val="auto"/>
        </w:rPr>
      </w:pPr>
    </w:p>
    <w:p>
      <w:pPr>
        <w:ind w:left="1160" w:right="40" w:hanging="850"/>
        <w:spacing w:after="0" w:line="258"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September 30, 2014, formatted in XBRL (eXtensible Business Reporting Language):</w:t>
      </w:r>
    </w:p>
    <w:p>
      <w:pPr>
        <w:spacing w:after="0" w:line="1" w:lineRule="exact"/>
        <w:rPr>
          <w:sz w:val="20"/>
          <w:szCs w:val="20"/>
          <w:color w:val="auto"/>
        </w:rPr>
      </w:pPr>
    </w:p>
    <w:p>
      <w:pPr>
        <w:ind w:left="1680" w:hanging="206"/>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Condensed Consolidated Balance Sheets (Unaudited) as of September 30, 2014 and December 31, 2013</w:t>
      </w:r>
    </w:p>
    <w:p>
      <w:pPr>
        <w:spacing w:after="0" w:line="9" w:lineRule="exact"/>
        <w:rPr>
          <w:rFonts w:ascii="Arial" w:cs="Arial" w:eastAsia="Arial" w:hAnsi="Arial"/>
          <w:sz w:val="18"/>
          <w:szCs w:val="18"/>
          <w:color w:val="auto"/>
        </w:rPr>
      </w:pPr>
    </w:p>
    <w:p>
      <w:pPr>
        <w:ind w:left="1800" w:right="40" w:hanging="326"/>
        <w:spacing w:after="0" w:line="250" w:lineRule="auto"/>
        <w:tabs>
          <w:tab w:leader="none" w:pos="17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Loss (Unaudited) for the three and nine months ended September 30, 2014 and 2013</w:t>
      </w:r>
    </w:p>
    <w:p>
      <w:pPr>
        <w:ind w:left="1800" w:right="40" w:hanging="326"/>
        <w:spacing w:after="0" w:line="250" w:lineRule="auto"/>
        <w:tabs>
          <w:tab w:leader="none" w:pos="18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Condensed Consolidated Statements of Changes in Common Shareholders' Equity (Unaudited) for the nine months ended September 30, 2014 and the year ended December 31, 2013</w:t>
      </w:r>
    </w:p>
    <w:p>
      <w:pPr>
        <w:ind w:left="1780" w:hanging="306"/>
        <w:spacing w:after="0"/>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Condensed Consolidated Statements of Cash Flows (Unaudited) for the nine months ended September 30, 2014 and 2013, and</w:t>
      </w:r>
    </w:p>
    <w:p>
      <w:pPr>
        <w:spacing w:after="0" w:line="32" w:lineRule="exact"/>
        <w:rPr>
          <w:rFonts w:ascii="Arial" w:cs="Arial" w:eastAsia="Arial" w:hAnsi="Arial"/>
          <w:sz w:val="16"/>
          <w:szCs w:val="16"/>
          <w:color w:val="auto"/>
        </w:rPr>
      </w:pPr>
    </w:p>
    <w:p>
      <w:pPr>
        <w:ind w:left="1720" w:hanging="246"/>
        <w:spacing w:after="0"/>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(Unaudited)</w:t>
      </w:r>
    </w:p>
    <w:p>
      <w:pPr>
        <w:spacing w:after="0" w:line="377" w:lineRule="exact"/>
        <w:rPr>
          <w:sz w:val="20"/>
          <w:szCs w:val="20"/>
          <w:color w:val="auto"/>
        </w:rPr>
      </w:pPr>
    </w:p>
    <w:p>
      <w:pPr>
        <w:jc w:val="both"/>
        <w:ind w:left="500" w:right="60" w:hanging="221"/>
        <w:spacing w:after="0" w:line="278"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500" w:right="60" w:hanging="221"/>
        <w:spacing w:after="0" w:line="278"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2" w:lineRule="exact"/>
        <w:rPr>
          <w:sz w:val="20"/>
          <w:szCs w:val="20"/>
          <w:color w:val="auto"/>
        </w:rPr>
      </w:pPr>
    </w:p>
    <w:p>
      <w:pPr>
        <w:ind w:left="5580" w:right="1500" w:hanging="5301"/>
        <w:spacing w:after="0" w:line="596" w:lineRule="auto"/>
        <w:tabs>
          <w:tab w:leader="none" w:pos="5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Confidential treatment granted as to certain portions, which portions have been filed separately with the Securities and Exchange Commission. </w:t>
      </w: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52" w:name="page53"/>
    <w:bookmarkEnd w:id="52"/>
    <w:p>
      <w:pPr>
        <w:ind w:left="10340"/>
        <w:spacing w:after="0"/>
        <w:rPr>
          <w:sz w:val="20"/>
          <w:szCs w:val="20"/>
          <w:color w:val="auto"/>
        </w:rPr>
      </w:pPr>
      <w:r>
        <w:rPr>
          <w:rFonts w:ascii="Arial" w:cs="Arial" w:eastAsia="Arial" w:hAnsi="Arial"/>
          <w:sz w:val="17"/>
          <w:szCs w:val="17"/>
          <w:color w:val="auto"/>
        </w:rPr>
        <w:t>EXHIBIT 31.1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6, 2014</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3" w:name="page54"/>
    <w:bookmarkEnd w:id="53"/>
    <w:p>
      <w:pPr>
        <w:ind w:left="10340"/>
        <w:spacing w:after="0"/>
        <w:rPr>
          <w:sz w:val="20"/>
          <w:szCs w:val="20"/>
          <w:color w:val="auto"/>
        </w:rPr>
      </w:pPr>
      <w:r>
        <w:rPr>
          <w:rFonts w:ascii="Arial" w:cs="Arial" w:eastAsia="Arial" w:hAnsi="Arial"/>
          <w:sz w:val="17"/>
          <w:szCs w:val="17"/>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John (Jay) M. Sherwood Jr.,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6, 2014</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September 30, 2014,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6, 2014</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6, 2014</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upperLetter"/>
      <w:start w:val="5"/>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2019-12-08T04:16:21Z</dcterms:created>
  <dcterms:modified xsi:type="dcterms:W3CDTF">2019-12-08T04:16:21Z</dcterms:modified>
</cp:coreProperties>
</file>