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(Mark One)</w:t>
      </w:r>
    </w:p>
    <w:p>
      <w:pPr>
        <w:spacing w:after="0" w:line="39" w:lineRule="exact"/>
        <w:rPr>
          <w:sz w:val="24"/>
          <w:szCs w:val="24"/>
          <w:color w:val="auto"/>
        </w:rPr>
      </w:pPr>
    </w:p>
    <w:p>
      <w:pPr>
        <w:ind w:left="660" w:hanging="407"/>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47" w:lineRule="exact"/>
        <w:rPr>
          <w:sz w:val="24"/>
          <w:szCs w:val="24"/>
          <w:color w:val="auto"/>
        </w:rPr>
      </w:pPr>
    </w:p>
    <w:p>
      <w:pPr>
        <w:ind w:left="660"/>
        <w:spacing w:after="0"/>
        <w:tabs>
          <w:tab w:leader="none" w:pos="5940" w:val="left"/>
        </w:tabs>
        <w:rPr>
          <w:sz w:val="20"/>
          <w:szCs w:val="20"/>
          <w:color w:val="auto"/>
        </w:rPr>
      </w:pPr>
      <w:r>
        <w:rPr>
          <w:rFonts w:ascii="Times New Roman" w:cs="Times New Roman" w:eastAsia="Times New Roman" w:hAnsi="Times New Roman"/>
          <w:sz w:val="17"/>
          <w:szCs w:val="17"/>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June 30, 2025</w:t>
      </w:r>
    </w:p>
    <w:p>
      <w:pPr>
        <w:spacing w:after="0" w:line="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52" w:lineRule="exact"/>
        <w:rPr>
          <w:sz w:val="24"/>
          <w:szCs w:val="24"/>
          <w:color w:val="auto"/>
        </w:rPr>
      </w:pPr>
    </w:p>
    <w:p>
      <w:pPr>
        <w:ind w:left="640" w:right="2200" w:hanging="400"/>
        <w:spacing w:after="0" w:line="311" w:lineRule="auto"/>
        <w:tabs>
          <w:tab w:leader="none" w:pos="6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 For the transition period from ______ to 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001-36174</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32"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4340" w:type="dxa"/>
            <w:vAlign w:val="bottom"/>
            <w:gridSpan w:val="2"/>
          </w:tcPr>
          <w:p>
            <w:pPr>
              <w:jc w:val="center"/>
              <w:ind w:left="359"/>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tcPr>
          <w:p>
            <w:pPr>
              <w:jc w:val="right"/>
              <w:ind w:right="2656"/>
              <w:spacing w:after="0"/>
              <w:rPr>
                <w:sz w:val="20"/>
                <w:szCs w:val="20"/>
                <w:color w:val="auto"/>
              </w:rPr>
            </w:pPr>
            <w:r>
              <w:rPr>
                <w:rFonts w:ascii="Times New Roman" w:cs="Times New Roman" w:eastAsia="Times New Roman" w:hAnsi="Times New Roman"/>
                <w:sz w:val="17"/>
                <w:szCs w:val="17"/>
                <w:b w:val="1"/>
                <w:bCs w:val="1"/>
                <w:color w:val="auto"/>
              </w:rPr>
              <w:t>45-4914248</w:t>
            </w:r>
          </w:p>
        </w:tc>
      </w:tr>
      <w:tr>
        <w:trPr>
          <w:trHeight w:val="184"/>
        </w:trPr>
        <w:tc>
          <w:tcPr>
            <w:tcW w:w="4340" w:type="dxa"/>
            <w:vAlign w:val="bottom"/>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 incorporation or organization)</w:t>
            </w:r>
          </w:p>
        </w:tc>
        <w:tc>
          <w:tcPr>
            <w:tcW w:w="692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(I.R.S. Employer Identification No.)</w:t>
            </w:r>
          </w:p>
        </w:tc>
      </w:tr>
      <w:tr>
        <w:trPr>
          <w:trHeight w:val="339"/>
        </w:trPr>
        <w:tc>
          <w:tcPr>
            <w:tcW w:w="2500" w:type="dxa"/>
            <w:vAlign w:val="bottom"/>
          </w:tcPr>
          <w:p>
            <w:pPr>
              <w:ind w:left="920"/>
              <w:spacing w:after="0"/>
              <w:rPr>
                <w:sz w:val="20"/>
                <w:szCs w:val="20"/>
                <w:color w:val="auto"/>
              </w:rPr>
            </w:pPr>
            <w:r>
              <w:rPr>
                <w:rFonts w:ascii="Times New Roman" w:cs="Times New Roman" w:eastAsia="Times New Roman" w:hAnsi="Times New Roman"/>
                <w:sz w:val="17"/>
                <w:szCs w:val="17"/>
                <w:b w:val="1"/>
                <w:bCs w:val="1"/>
                <w:color w:val="auto"/>
              </w:rPr>
              <w:t>2100 Powell Street</w:t>
            </w:r>
          </w:p>
        </w:tc>
        <w:tc>
          <w:tcPr>
            <w:tcW w:w="184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Emeryville , CA</w:t>
            </w:r>
          </w:p>
        </w:tc>
        <w:tc>
          <w:tcPr>
            <w:tcW w:w="2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tcPr>
          <w:p>
            <w:pPr>
              <w:jc w:val="right"/>
              <w:ind w:right="2856"/>
              <w:spacing w:after="0"/>
              <w:rPr>
                <w:sz w:val="20"/>
                <w:szCs w:val="20"/>
                <w:color w:val="auto"/>
              </w:rPr>
            </w:pPr>
            <w:r>
              <w:rPr>
                <w:rFonts w:ascii="Times New Roman" w:cs="Times New Roman" w:eastAsia="Times New Roman" w:hAnsi="Times New Roman"/>
                <w:sz w:val="17"/>
                <w:szCs w:val="17"/>
                <w:b w:val="1"/>
                <w:bCs w:val="1"/>
                <w:color w:val="auto"/>
              </w:rPr>
              <w:t>94608</w:t>
            </w:r>
          </w:p>
        </w:tc>
      </w:tr>
      <w:tr>
        <w:trPr>
          <w:trHeight w:val="184"/>
        </w:trPr>
        <w:tc>
          <w:tcPr>
            <w:tcW w:w="4340" w:type="dxa"/>
            <w:vAlign w:val="bottom"/>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2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20" w:type="dxa"/>
            <w:vAlign w:val="bottom"/>
          </w:tcPr>
          <w:p>
            <w:pPr>
              <w:jc w:val="center"/>
              <w:ind w:right="2596"/>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35"/>
        </w:trPr>
        <w:tc>
          <w:tcPr>
            <w:tcW w:w="2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rPr>
              <w:t>(855) 530-6642</w:t>
            </w:r>
          </w:p>
        </w:tc>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84"/>
        </w:trPr>
        <w:tc>
          <w:tcPr>
            <w:tcW w:w="2500" w:type="dxa"/>
            <w:vAlign w:val="bottom"/>
          </w:tcPr>
          <w:p>
            <w:pPr>
              <w:spacing w:after="0"/>
              <w:rPr>
                <w:sz w:val="16"/>
                <w:szCs w:val="16"/>
                <w:color w:val="auto"/>
              </w:rPr>
            </w:pPr>
          </w:p>
        </w:tc>
        <w:tc>
          <w:tcPr>
            <w:tcW w:w="5140" w:type="dxa"/>
            <w:vAlign w:val="bottom"/>
            <w:gridSpan w:val="3"/>
          </w:tcPr>
          <w:p>
            <w:pPr>
              <w:jc w:val="center"/>
              <w:ind w:left="1039"/>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c>
          <w:tcPr>
            <w:tcW w:w="3620" w:type="dxa"/>
            <w:vAlign w:val="bottom"/>
          </w:tcPr>
          <w:p>
            <w:pPr>
              <w:spacing w:after="0"/>
              <w:rPr>
                <w:sz w:val="16"/>
                <w:szCs w:val="16"/>
                <w:color w:val="auto"/>
              </w:rPr>
            </w:pPr>
          </w:p>
        </w:tc>
      </w:tr>
      <w:tr>
        <w:trPr>
          <w:trHeight w:val="311"/>
        </w:trPr>
        <w:tc>
          <w:tcPr>
            <w:tcW w:w="2500" w:type="dxa"/>
            <w:vAlign w:val="bottom"/>
          </w:tcPr>
          <w:p>
            <w:pPr>
              <w:spacing w:after="0"/>
              <w:rPr>
                <w:sz w:val="24"/>
                <w:szCs w:val="24"/>
                <w:color w:val="auto"/>
              </w:rPr>
            </w:pPr>
          </w:p>
        </w:tc>
        <w:tc>
          <w:tcPr>
            <w:tcW w:w="5140" w:type="dxa"/>
            <w:vAlign w:val="bottom"/>
            <w:gridSpan w:val="3"/>
          </w:tcPr>
          <w:p>
            <w:pPr>
              <w:jc w:val="center"/>
              <w:ind w:left="103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620" w:type="dxa"/>
            <w:vAlign w:val="bottom"/>
          </w:tcPr>
          <w:p>
            <w:pPr>
              <w:spacing w:after="0"/>
              <w:rPr>
                <w:sz w:val="24"/>
                <w:szCs w:val="24"/>
                <w:color w:val="auto"/>
              </w:rPr>
            </w:pPr>
          </w:p>
        </w:tc>
      </w:tr>
      <w:tr>
        <w:trPr>
          <w:trHeight w:val="26"/>
        </w:trPr>
        <w:tc>
          <w:tcPr>
            <w:tcW w:w="4340" w:type="dxa"/>
            <w:vAlign w:val="bottom"/>
            <w:tcBorders>
              <w:bottom w:val="single" w:sz="8" w:color="auto"/>
            </w:tcBorders>
            <w:gridSpan w:val="2"/>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15"/>
        </w:trPr>
        <w:tc>
          <w:tcPr>
            <w:tcW w:w="43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500" w:type="dxa"/>
            <w:vAlign w:val="bottom"/>
            <w:tcBorders>
              <w:bottom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jc w:val="center"/>
              <w:ind w:right="436"/>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15"/>
        </w:trPr>
        <w:tc>
          <w:tcPr>
            <w:tcW w:w="43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Common Stock, par value $0.01</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NMIH</w:t>
            </w:r>
          </w:p>
        </w:tc>
        <w:tc>
          <w:tcPr>
            <w:tcW w:w="500" w:type="dxa"/>
            <w:vAlign w:val="bottom"/>
            <w:tcBorders>
              <w:bottom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jc w:val="center"/>
              <w:ind w:right="416"/>
              <w:spacing w:after="0"/>
              <w:rPr>
                <w:sz w:val="20"/>
                <w:szCs w:val="20"/>
                <w:color w:val="auto"/>
              </w:rPr>
            </w:pPr>
            <w:r>
              <w:rPr>
                <w:rFonts w:ascii="Times New Roman" w:cs="Times New Roman" w:eastAsia="Times New Roman" w:hAnsi="Times New Roman"/>
                <w:sz w:val="17"/>
                <w:szCs w:val="17"/>
                <w:color w:val="auto"/>
              </w:rPr>
              <w:t>Nasdaq</w:t>
            </w:r>
          </w:p>
        </w:tc>
      </w:tr>
    </w:tbl>
    <w:p>
      <w:pPr>
        <w:spacing w:after="0" w:line="178"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05" w:lineRule="exact"/>
        <w:rPr>
          <w:sz w:val="24"/>
          <w:szCs w:val="24"/>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05" w:lineRule="exact"/>
        <w:rPr>
          <w:sz w:val="24"/>
          <w:szCs w:val="24"/>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Large accelerated filer</w:t>
            </w:r>
          </w:p>
        </w:tc>
        <w:tc>
          <w:tcPr>
            <w:tcW w:w="166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464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Non-accelerated filer</w:t>
            </w:r>
          </w:p>
        </w:tc>
        <w:tc>
          <w:tcPr>
            <w:tcW w:w="166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94"/>
        </w:trPr>
        <w:tc>
          <w:tcPr>
            <w:tcW w:w="4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Rule 12b-2 of the Exchange Act.</w:t>
            </w:r>
          </w:p>
        </w:tc>
        <w:tc>
          <w:tcPr>
            <w:tcW w:w="1660" w:type="dxa"/>
            <w:vAlign w:val="bottom"/>
          </w:tcPr>
          <w:p>
            <w:pPr>
              <w:spacing w:after="0"/>
              <w:rPr>
                <w:sz w:val="24"/>
                <w:szCs w:val="24"/>
                <w:color w:val="auto"/>
              </w:rPr>
            </w:pPr>
          </w:p>
        </w:tc>
        <w:tc>
          <w:tcPr>
            <w:tcW w:w="32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77"/>
        </w:trPr>
        <w:tc>
          <w:tcPr>
            <w:tcW w:w="4640" w:type="dxa"/>
            <w:vAlign w:val="bottom"/>
            <w:vMerge w:val="continue"/>
          </w:tcPr>
          <w:p>
            <w:pPr>
              <w:spacing w:after="0"/>
              <w:rPr>
                <w:sz w:val="6"/>
                <w:szCs w:val="6"/>
                <w:color w:val="auto"/>
              </w:rPr>
            </w:pPr>
          </w:p>
        </w:tc>
        <w:tc>
          <w:tcPr>
            <w:tcW w:w="1660" w:type="dxa"/>
            <w:vAlign w:val="bottom"/>
          </w:tcPr>
          <w:p>
            <w:pPr>
              <w:spacing w:after="0"/>
              <w:rPr>
                <w:sz w:val="6"/>
                <w:szCs w:val="6"/>
                <w:color w:val="auto"/>
              </w:rPr>
            </w:pPr>
          </w:p>
        </w:tc>
        <w:tc>
          <w:tcPr>
            <w:tcW w:w="3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right="20"/>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32"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common stock, $0.01 par value per share, of the registrant outstanding on July 24, 2025 was 77,574,120 shares.</w:t>
      </w:r>
    </w:p>
    <w:p>
      <w:pPr>
        <w:spacing w:after="0" w:line="200" w:lineRule="exact"/>
        <w:rPr>
          <w:sz w:val="24"/>
          <w:szCs w:val="24"/>
          <w:color w:val="auto"/>
        </w:rPr>
      </w:pP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001"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72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4320" w:type="dxa"/>
            <w:vAlign w:val="bottom"/>
            <w:gridSpan w:val="10"/>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0000FF"/>
              </w:rPr>
              <w:t>Cautionary Note Regarding Forward-Looking Statements</w:t>
            </w:r>
          </w:p>
        </w:tc>
        <w:tc>
          <w:tcPr>
            <w:tcW w:w="6720" w:type="dxa"/>
            <w:vAlign w:val="bottom"/>
            <w:gridSpan w:val="3"/>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rPr>
              <w:t>3</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spacing w:after="0" w:line="183" w:lineRule="exact"/>
              <w:rPr>
                <w:sz w:val="20"/>
                <w:szCs w:val="20"/>
                <w:color w:val="auto"/>
              </w:rPr>
            </w:pPr>
            <w:r>
              <w:rPr>
                <w:rFonts w:ascii="Times New Roman" w:cs="Times New Roman" w:eastAsia="Times New Roman" w:hAnsi="Times New Roman"/>
                <w:sz w:val="17"/>
                <w:szCs w:val="17"/>
                <w:b w:val="1"/>
                <w:bCs w:val="1"/>
                <w:color w:val="0000FF"/>
              </w:rPr>
              <w:t>PART I</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rPr>
              <w:t>5</w:t>
            </w:r>
          </w:p>
        </w:tc>
      </w:tr>
      <w:tr>
        <w:trPr>
          <w:trHeight w:val="30"/>
        </w:trPr>
        <w:tc>
          <w:tcPr>
            <w:tcW w:w="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120"/>
              <w:spacing w:after="0" w:line="193" w:lineRule="exact"/>
              <w:rPr>
                <w:sz w:val="20"/>
                <w:szCs w:val="20"/>
                <w:color w:val="auto"/>
              </w:rPr>
            </w:pPr>
            <w:r>
              <w:rPr>
                <w:rFonts w:ascii="Times New Roman" w:cs="Times New Roman" w:eastAsia="Times New Roman" w:hAnsi="Times New Roman"/>
                <w:sz w:val="17"/>
                <w:szCs w:val="17"/>
                <w:color w:val="auto"/>
              </w:rPr>
              <w:t>Item 1.</w:t>
            </w:r>
          </w:p>
        </w:tc>
        <w:tc>
          <w:tcPr>
            <w:tcW w:w="1460" w:type="dxa"/>
            <w:vAlign w:val="bottom"/>
            <w:gridSpan w:val="4"/>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Financial Statements</w:t>
            </w:r>
          </w:p>
        </w:tc>
        <w:tc>
          <w:tcPr>
            <w:tcW w:w="8540" w:type="dxa"/>
            <w:vAlign w:val="bottom"/>
            <w:gridSpan w:val="5"/>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rPr>
              <w:t>5</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2.</w:t>
            </w:r>
          </w:p>
        </w:tc>
        <w:tc>
          <w:tcPr>
            <w:tcW w:w="1000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28</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20" w:type="dxa"/>
            <w:vAlign w:val="bottom"/>
            <w:tcBorders>
              <w:left w:val="single" w:sz="8" w:color="0000FF"/>
            </w:tcBorders>
            <w:shd w:val="clear" w:color="auto" w:fill="0000FF"/>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120"/>
              <w:spacing w:after="0" w:line="193" w:lineRule="exact"/>
              <w:rPr>
                <w:sz w:val="20"/>
                <w:szCs w:val="20"/>
                <w:color w:val="auto"/>
              </w:rPr>
            </w:pPr>
            <w:r>
              <w:rPr>
                <w:rFonts w:ascii="Times New Roman" w:cs="Times New Roman" w:eastAsia="Times New Roman" w:hAnsi="Times New Roman"/>
                <w:sz w:val="17"/>
                <w:szCs w:val="17"/>
                <w:color w:val="auto"/>
              </w:rPr>
              <w:t>Item 3.</w:t>
            </w:r>
          </w:p>
        </w:tc>
        <w:tc>
          <w:tcPr>
            <w:tcW w:w="4200" w:type="dxa"/>
            <w:vAlign w:val="bottom"/>
            <w:gridSpan w:val="7"/>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tcBorders>
              <w:left w:val="single" w:sz="8" w:color="CCEEFF"/>
            </w:tcBorders>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52</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2020" w:type="dxa"/>
            <w:vAlign w:val="bottom"/>
            <w:tcBorders>
              <w:left w:val="single" w:sz="8" w:color="0000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4.</w:t>
            </w:r>
          </w:p>
        </w:tc>
        <w:tc>
          <w:tcPr>
            <w:tcW w:w="4200" w:type="dxa"/>
            <w:vAlign w:val="bottom"/>
            <w:gridSpan w:val="7"/>
          </w:tcPr>
          <w:p>
            <w:pPr>
              <w:spacing w:after="0" w:line="183" w:lineRule="exact"/>
              <w:rPr>
                <w:sz w:val="20"/>
                <w:szCs w:val="20"/>
                <w:color w:val="auto"/>
              </w:rPr>
            </w:pPr>
            <w:r>
              <w:rPr>
                <w:rFonts w:ascii="Times New Roman" w:cs="Times New Roman" w:eastAsia="Times New Roman" w:hAnsi="Times New Roman"/>
                <w:sz w:val="17"/>
                <w:szCs w:val="17"/>
                <w:color w:val="0000FF"/>
              </w:rPr>
              <w:t>Controls and Procedures</w:t>
            </w:r>
          </w:p>
        </w:tc>
        <w:tc>
          <w:tcPr>
            <w:tcW w:w="5800" w:type="dxa"/>
            <w:vAlign w:val="bottom"/>
            <w:gridSpan w:val="2"/>
          </w:tcPr>
          <w:p>
            <w:pPr>
              <w:spacing w:after="0"/>
              <w:rPr>
                <w:sz w:val="15"/>
                <w:szCs w:val="15"/>
                <w:color w:val="auto"/>
              </w:rPr>
            </w:pP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53</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0000FF"/>
                <w:w w:val="97"/>
              </w:rPr>
              <w:t>PART II</w:t>
            </w:r>
          </w:p>
        </w:tc>
        <w:tc>
          <w:tcPr>
            <w:tcW w:w="400" w:type="dxa"/>
            <w:vAlign w:val="bottom"/>
            <w:gridSpan w:val="2"/>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20" w:type="dxa"/>
            <w:vAlign w:val="bottom"/>
            <w:tcBorders>
              <w:left w:val="single" w:sz="8" w:color="CCEEFF"/>
            </w:tcBorders>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54</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640" w:type="dxa"/>
            <w:vAlign w:val="bottom"/>
            <w:gridSpan w:val="2"/>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1.</w:t>
            </w:r>
          </w:p>
        </w:tc>
        <w:tc>
          <w:tcPr>
            <w:tcW w:w="400" w:type="dxa"/>
            <w:vAlign w:val="bottom"/>
            <w:gridSpan w:val="2"/>
          </w:tcPr>
          <w:p>
            <w:pPr>
              <w:spacing w:after="0"/>
              <w:rPr>
                <w:sz w:val="15"/>
                <w:szCs w:val="15"/>
                <w:color w:val="auto"/>
              </w:rPr>
            </w:pPr>
          </w:p>
        </w:tc>
        <w:tc>
          <w:tcPr>
            <w:tcW w:w="1000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FF"/>
              </w:rPr>
              <w:t>Legal Proceedings</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54</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ind w:left="120"/>
              <w:spacing w:after="0" w:line="182" w:lineRule="exact"/>
              <w:rPr>
                <w:sz w:val="20"/>
                <w:szCs w:val="20"/>
                <w:color w:val="auto"/>
              </w:rPr>
            </w:pPr>
            <w:r>
              <w:rPr>
                <w:rFonts w:ascii="Times New Roman" w:cs="Times New Roman" w:eastAsia="Times New Roman" w:hAnsi="Times New Roman"/>
                <w:sz w:val="17"/>
                <w:szCs w:val="17"/>
                <w:color w:val="auto"/>
              </w:rPr>
              <w:t>Item 1A.</w:t>
            </w:r>
          </w:p>
        </w:tc>
        <w:tc>
          <w:tcPr>
            <w:tcW w:w="8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FF"/>
                <w:w w:val="98"/>
                <w:shd w:val="clear" w:color="auto" w:fill="CCEEFF"/>
              </w:rPr>
              <w:t>Risk Factors</w:t>
            </w:r>
          </w:p>
        </w:tc>
        <w:tc>
          <w:tcPr>
            <w:tcW w:w="420" w:type="dxa"/>
            <w:vAlign w:val="bottom"/>
            <w:tcBorders>
              <w:right w:val="single" w:sz="8" w:color="CCEEFF"/>
            </w:tcBorders>
            <w:shd w:val="clear" w:color="auto" w:fill="CCEEFF"/>
          </w:tcPr>
          <w:p>
            <w:pPr>
              <w:spacing w:after="0"/>
              <w:rPr>
                <w:sz w:val="15"/>
                <w:szCs w:val="15"/>
                <w:color w:val="auto"/>
              </w:rPr>
            </w:pPr>
          </w:p>
        </w:tc>
        <w:tc>
          <w:tcPr>
            <w:tcW w:w="2920" w:type="dxa"/>
            <w:vAlign w:val="bottom"/>
            <w:gridSpan w:val="4"/>
            <w:shd w:val="clear" w:color="auto" w:fill="CCEEFF"/>
          </w:tcPr>
          <w:p>
            <w:pPr>
              <w:spacing w:after="0"/>
              <w:rPr>
                <w:sz w:val="15"/>
                <w:szCs w:val="15"/>
                <w:color w:val="auto"/>
              </w:rPr>
            </w:pPr>
          </w:p>
        </w:tc>
        <w:tc>
          <w:tcPr>
            <w:tcW w:w="5800" w:type="dxa"/>
            <w:vAlign w:val="bottom"/>
            <w:tcBorders>
              <w:left w:val="single" w:sz="8" w:color="CCEEFF"/>
            </w:tcBorders>
            <w:gridSpan w:val="2"/>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FF"/>
                <w:w w:val="82"/>
              </w:rPr>
              <w:t>54</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2.</w:t>
            </w:r>
          </w:p>
        </w:tc>
        <w:tc>
          <w:tcPr>
            <w:tcW w:w="1000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55</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120"/>
              <w:spacing w:after="0" w:line="193" w:lineRule="exact"/>
              <w:rPr>
                <w:sz w:val="20"/>
                <w:szCs w:val="20"/>
                <w:color w:val="auto"/>
              </w:rPr>
            </w:pPr>
            <w:r>
              <w:rPr>
                <w:rFonts w:ascii="Times New Roman" w:cs="Times New Roman" w:eastAsia="Times New Roman" w:hAnsi="Times New Roman"/>
                <w:sz w:val="17"/>
                <w:szCs w:val="17"/>
                <w:color w:val="auto"/>
              </w:rPr>
              <w:t>Item 5.</w:t>
            </w:r>
          </w:p>
        </w:tc>
        <w:tc>
          <w:tcPr>
            <w:tcW w:w="4200" w:type="dxa"/>
            <w:vAlign w:val="bottom"/>
            <w:gridSpan w:val="7"/>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Other Information</w:t>
            </w:r>
          </w:p>
        </w:tc>
        <w:tc>
          <w:tcPr>
            <w:tcW w:w="5800" w:type="dxa"/>
            <w:vAlign w:val="bottom"/>
            <w:tcBorders>
              <w:left w:val="single" w:sz="8" w:color="CCEEFF"/>
            </w:tcBorders>
            <w:gridSpan w:val="2"/>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55</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6.</w:t>
            </w:r>
          </w:p>
        </w:tc>
        <w:tc>
          <w:tcPr>
            <w:tcW w:w="5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0000FF"/>
                <w:w w:val="98"/>
              </w:rPr>
              <w:t>Exhibits</w:t>
            </w:r>
          </w:p>
        </w:tc>
        <w:tc>
          <w:tcPr>
            <w:tcW w:w="700" w:type="dxa"/>
            <w:vAlign w:val="bottom"/>
            <w:gridSpan w:val="2"/>
          </w:tcPr>
          <w:p>
            <w:pPr>
              <w:spacing w:after="0"/>
              <w:rPr>
                <w:sz w:val="15"/>
                <w:szCs w:val="15"/>
                <w:color w:val="auto"/>
              </w:rPr>
            </w:pPr>
          </w:p>
        </w:tc>
        <w:tc>
          <w:tcPr>
            <w:tcW w:w="8720" w:type="dxa"/>
            <w:vAlign w:val="bottom"/>
            <w:gridSpan w:val="6"/>
          </w:tcPr>
          <w:p>
            <w:pPr>
              <w:spacing w:after="0"/>
              <w:rPr>
                <w:sz w:val="15"/>
                <w:szCs w:val="15"/>
                <w:color w:val="auto"/>
              </w:rPr>
            </w:pP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56</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0000FF"/>
              </w:rPr>
              <w:t>Signatures</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20" w:type="dxa"/>
            <w:vAlign w:val="bottom"/>
            <w:tcBorders>
              <w:left w:val="single" w:sz="8" w:color="CCEEFF"/>
            </w:tcBorders>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59</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72" w:lineRule="exact"/>
        <w:rPr>
          <w:sz w:val="20"/>
          <w:szCs w:val="20"/>
          <w:color w:val="auto"/>
        </w:rPr>
      </w:pPr>
    </w:p>
    <w:p>
      <w:pPr>
        <w:jc w:val="both"/>
        <w:ind w:firstLine="171"/>
        <w:spacing w:after="0" w:line="259"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342" w:lineRule="exact"/>
        <w:rPr>
          <w:sz w:val="20"/>
          <w:szCs w:val="20"/>
          <w:color w:val="auto"/>
        </w:rPr>
      </w:pPr>
    </w:p>
    <w:p>
      <w:pPr>
        <w:jc w:val="both"/>
        <w:ind w:left="940" w:hanging="308"/>
        <w:spacing w:after="0" w:line="269"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and their impacts on our business, operations and personnel;</w:t>
      </w:r>
    </w:p>
    <w:p>
      <w:pPr>
        <w:spacing w:after="0" w:line="116" w:lineRule="exact"/>
        <w:rPr>
          <w:rFonts w:ascii="Times New Roman" w:cs="Times New Roman" w:eastAsia="Times New Roman" w:hAnsi="Times New Roman"/>
          <w:sz w:val="17"/>
          <w:szCs w:val="17"/>
          <w:color w:val="auto"/>
        </w:rPr>
      </w:pPr>
    </w:p>
    <w:p>
      <w:pPr>
        <w:jc w:val="both"/>
        <w:ind w:left="940" w:hanging="308"/>
        <w:spacing w:after="0" w:line="26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charters, business practices, policy, pricing or priorities of Fannie Mae and Freddie Mac (collectively, the GSEs), which may include decisions that have the impact of decreasing or discontinuing the use of mortgage insurance as credit enhancement generally, or with first time homebuyers or on very high- loan-to-value (LTV)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spacing w:after="0" w:line="119"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remain an eligible mortgage insurer under the private mortgage insurer eligibility requirements (PMIERs) and other requirements imposed by the GSEs, which they may change at any time;</w:t>
      </w:r>
    </w:p>
    <w:p>
      <w:pPr>
        <w:spacing w:after="0" w:line="94"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our existing certificates of authority in each state and the District of Columbia (D.C.) and our ability to remain a mortgage insurer in good standing in each state and D.C.;</w:t>
      </w:r>
    </w:p>
    <w:p>
      <w:pPr>
        <w:spacing w:after="0" w:line="94"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profitability, liquidity and capital resources;</w:t>
      </w:r>
    </w:p>
    <w:p>
      <w:pPr>
        <w:spacing w:after="0" w:line="170"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existing competitors, including other private mortgage insurers and government mortgage insurers such as the Federal Housing Administration, the U.S. Department of Agriculture's Rural Housing Service and the U.S. Department of Veterans Affairs (collectively, government MIs), and potential market entry by new competitors or consolidation of existing competitors;</w:t>
      </w:r>
    </w:p>
    <w:p>
      <w:pPr>
        <w:spacing w:after="0" w:line="109"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109"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federal tax reform and other potential changes in tax law and their impact on us and our operations;</w:t>
      </w:r>
    </w:p>
    <w:p>
      <w:pPr>
        <w:spacing w:after="0" w:line="170"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or regulatory changes to the GSEs' role in the secondary mortgage market or other changes that could affect the residential mortgage industry generally or mortgage insurance industry in particular;</w:t>
      </w:r>
    </w:p>
    <w:p>
      <w:pPr>
        <w:spacing w:after="0" w:line="94"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legal and regulatory claims, investigations, actions, audits or inquiries that could result in adverse judgements, settlements, fines or other reliefs that could require significant expenditures or have other negative effects on our business;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 w:name="page4"/>
    <w:bookmarkEnd w:id="3"/>
    <w:p>
      <w:pPr>
        <w:ind w:left="940" w:hanging="308"/>
        <w:spacing w:after="0" w:line="295"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spacing w:after="0" w:line="94"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the GSEs, or other market participants seeking alternatives to private mortgage insurance;</w:t>
      </w:r>
    </w:p>
    <w:p>
      <w:pPr>
        <w:spacing w:after="0" w:line="170"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109"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a diverse customer base, including the largest mortgage originators;</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risk management or pricing or investment strategies;</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in the length of time our insurance policies are in force;</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emergence of unexpected claim and coverage issues, including claims exceeding our reserves or amounts we had expected to experience;</w:t>
      </w:r>
    </w:p>
    <w:p>
      <w:pPr>
        <w:spacing w:after="0" w:line="170"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impacts arising from natural disasters including, with respect to affected areas, a decline in new business, adverse effects on home prices, and an increase in notices of default on insured mortgages;</w:t>
      </w:r>
    </w:p>
    <w:p>
      <w:pPr>
        <w:spacing w:after="0" w:line="94"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risk and efforts to manage or regulate climate risk by government agencies could affect our business and operations;</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impacts arising from the occurrence of any man-made disasters or public health emergencies, including pandemics;</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our counter-parties, including third-party reinsurers, to meet their obligations to us;</w:t>
      </w:r>
    </w:p>
    <w:p>
      <w:pPr>
        <w:spacing w:after="0" w:line="170" w:lineRule="exact"/>
        <w:rPr>
          <w:rFonts w:ascii="Times New Roman" w:cs="Times New Roman" w:eastAsia="Times New Roman" w:hAnsi="Times New Roman"/>
          <w:sz w:val="17"/>
          <w:szCs w:val="17"/>
          <w:color w:val="auto"/>
        </w:rPr>
      </w:pPr>
    </w:p>
    <w:p>
      <w:pPr>
        <w:ind w:left="940" w:hanging="308"/>
        <w:spacing w:after="0" w:line="26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improve and continue to develop necessary information technology (IT) systems or the failure of technology providers to perform;</w:t>
      </w:r>
    </w:p>
    <w:p>
      <w:pPr>
        <w:spacing w:after="0" w:line="357"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information); and</w:t>
      </w:r>
    </w:p>
    <w:p>
      <w:pPr>
        <w:spacing w:after="0" w:line="109"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recruit, train and retain key personnel.</w:t>
      </w:r>
    </w:p>
    <w:p>
      <w:pPr>
        <w:spacing w:after="0" w:line="170"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For further information regarding these risks and uncertainties as well as certain additional risks that we face, you should refer to Part I, Item 2,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Part II, Item 1A of this Report and in Part I, Item 1A, of our Annual Report on Form 10-K for the year ended December 31, 2024 (2024 10-K), as subsequently updated in other reports we file from time to time with the U.S. Securities and Exchange Commission (SEC).</w:t>
      </w:r>
    </w:p>
    <w:p>
      <w:pPr>
        <w:spacing w:after="0" w:line="12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6</w:t>
            </w:r>
          </w:p>
        </w:tc>
      </w:tr>
      <w:tr>
        <w:trPr>
          <w:trHeight w:val="39"/>
        </w:trPr>
        <w:tc>
          <w:tcPr>
            <w:tcW w:w="1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Condensed Consolidated Statements of Operations and Comprehensive Income (Unaudited)</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rPr>
              <w:t>7</w:t>
            </w:r>
          </w:p>
        </w:tc>
      </w:tr>
      <w:tr>
        <w:trPr>
          <w:trHeight w:val="30"/>
        </w:trPr>
        <w:tc>
          <w:tcPr>
            <w:tcW w:w="1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10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Condensed Consolidated Statements of Changes in Shareholders' Equity (Unaudited)</w:t>
            </w: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rPr>
              <w:t>8</w:t>
            </w:r>
          </w:p>
        </w:tc>
      </w:tr>
      <w:tr>
        <w:trPr>
          <w:trHeight w:val="39"/>
        </w:trPr>
        <w:tc>
          <w:tcPr>
            <w:tcW w:w="1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Condensed Consolidated Statements of Cash Flows (Unaudited)</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10</w:t>
            </w:r>
          </w:p>
        </w:tc>
      </w:tr>
      <w:tr>
        <w:trPr>
          <w:trHeight w:val="30"/>
        </w:trPr>
        <w:tc>
          <w:tcPr>
            <w:tcW w:w="110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10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Notes to Condensed Consolidated Financial Statements (Unaudited)</w:t>
            </w: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11</w:t>
            </w:r>
          </w:p>
        </w:tc>
      </w:tr>
      <w:tr>
        <w:trPr>
          <w:trHeight w:val="39"/>
        </w:trPr>
        <w:tc>
          <w:tcPr>
            <w:tcW w:w="110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6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326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Fixed maturities, available-for-sale, at fair value (amortized cost of $3,016,032 and $2,876,343)</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2,929,117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2,723,541</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 (including restricted cash of $0 and $90)</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54,308</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Premiums receivable, net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82,804</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22,386</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64,327</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25,681</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 and goodwill</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32,260</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federal income taxes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322,175</w:t>
            </w:r>
          </w:p>
        </w:tc>
        <w:tc>
          <w:tcPr>
            <w:tcW w:w="0" w:type="dxa"/>
            <w:vAlign w:val="bottom"/>
          </w:tcPr>
          <w:p>
            <w:pPr>
              <w:spacing w:after="0"/>
              <w:rPr>
                <w:sz w:val="1"/>
                <w:szCs w:val="1"/>
                <w:color w:val="auto"/>
              </w:rPr>
            </w:pPr>
          </w:p>
        </w:tc>
      </w:tr>
      <w:tr>
        <w:trPr>
          <w:trHeight w:val="222"/>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23,477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18,857</w:t>
            </w:r>
          </w:p>
        </w:tc>
        <w:tc>
          <w:tcPr>
            <w:tcW w:w="0" w:type="dxa"/>
            <w:vAlign w:val="bottom"/>
          </w:tcPr>
          <w:p>
            <w:pPr>
              <w:spacing w:after="0"/>
              <w:rPr>
                <w:sz w:val="1"/>
                <w:szCs w:val="1"/>
                <w:color w:val="auto"/>
              </w:rPr>
            </w:pPr>
          </w:p>
        </w:tc>
      </w:tr>
      <w:tr>
        <w:trPr>
          <w:trHeight w:val="24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3,591,085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3,349,973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416,073</w:t>
            </w:r>
          </w:p>
        </w:tc>
        <w:tc>
          <w:tcPr>
            <w:tcW w:w="8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415,146</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65,217</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103,164</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152,071</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441,389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386,192</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10,751</w:t>
            </w:r>
          </w:p>
        </w:tc>
        <w:tc>
          <w:tcPr>
            <w:tcW w:w="0" w:type="dxa"/>
            <w:vAlign w:val="bottom"/>
          </w:tcPr>
          <w:p>
            <w:pPr>
              <w:spacing w:after="0"/>
              <w:rPr>
                <w:sz w:val="1"/>
                <w:szCs w:val="1"/>
                <w:color w:val="auto"/>
              </w:rPr>
            </w:pPr>
          </w:p>
        </w:tc>
      </w:tr>
      <w:tr>
        <w:trPr>
          <w:trHeight w:val="215"/>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1,170,978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1,132,541</w:t>
            </w: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66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Common stock - $0.01 par value; 88,365,509 shares issued and 77,717,841 shares outstanding as of</w:t>
            </w: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660" w:type="dxa"/>
            <w:vAlign w:val="bottom"/>
          </w:tcPr>
          <w:p>
            <w:pPr>
              <w:ind w:left="220"/>
              <w:spacing w:after="0" w:line="178" w:lineRule="exact"/>
              <w:rPr>
                <w:sz w:val="20"/>
                <w:szCs w:val="20"/>
                <w:color w:val="auto"/>
              </w:rPr>
            </w:pPr>
            <w:r>
              <w:rPr>
                <w:rFonts w:ascii="Times New Roman" w:cs="Times New Roman" w:eastAsia="Times New Roman" w:hAnsi="Times New Roman"/>
                <w:sz w:val="17"/>
                <w:szCs w:val="17"/>
                <w:color w:val="auto"/>
              </w:rPr>
              <w:t>June 30, 2025 and 87,902,626 shares issued and 78,600,726 shares outstanding as of December 31, 2024</w:t>
            </w: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(250,000,000 shares authorized)</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1,006,058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1,004,692</w:t>
            </w:r>
          </w:p>
        </w:tc>
        <w:tc>
          <w:tcPr>
            <w:tcW w:w="0" w:type="dxa"/>
            <w:vAlign w:val="bottom"/>
          </w:tcPr>
          <w:p>
            <w:pPr>
              <w:spacing w:after="0"/>
              <w:rPr>
                <w:sz w:val="1"/>
                <w:szCs w:val="1"/>
                <w:color w:val="auto"/>
              </w:rPr>
            </w:pPr>
          </w:p>
        </w:tc>
      </w:tr>
      <w:tr>
        <w:trPr>
          <w:trHeight w:val="170"/>
        </w:trPr>
        <w:tc>
          <w:tcPr>
            <w:tcW w:w="766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Treasury Stock, at cost: 10,647,668 and 9,301,900 common shares as of June 30, 2025 and December 31,</w:t>
            </w: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2024, respectively</w:t>
            </w: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(296,047)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(246,594)</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net of tax</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(124,804)</w:t>
            </w:r>
          </w:p>
        </w:tc>
        <w:tc>
          <w:tcPr>
            <w:tcW w:w="0" w:type="dxa"/>
            <w:vAlign w:val="bottom"/>
          </w:tcPr>
          <w:p>
            <w:pPr>
              <w:spacing w:after="0"/>
              <w:rPr>
                <w:sz w:val="1"/>
                <w:szCs w:val="1"/>
                <w:color w:val="auto"/>
              </w:rPr>
            </w:pPr>
          </w:p>
        </w:tc>
      </w:tr>
      <w:tr>
        <w:trPr>
          <w:trHeight w:val="222"/>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1,781,969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1,583,259</w:t>
            </w: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2,420,107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2,217,432</w:t>
            </w:r>
          </w:p>
        </w:tc>
        <w:tc>
          <w:tcPr>
            <w:tcW w:w="0" w:type="dxa"/>
            <w:vAlign w:val="bottom"/>
          </w:tcPr>
          <w:p>
            <w:pPr>
              <w:spacing w:after="0"/>
              <w:rPr>
                <w:sz w:val="1"/>
                <w:szCs w:val="1"/>
                <w:color w:val="auto"/>
              </w:rPr>
            </w:pPr>
          </w:p>
        </w:tc>
      </w:tr>
      <w:tr>
        <w:trPr>
          <w:trHeight w:val="215"/>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3,591,085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3,349,973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ONDENSED CONSOLIDATED STATEMENTS OF OPERATIONS AND COMPREHENSIVE INCOME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26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 30,</w:t>
            </w:r>
          </w:p>
        </w:tc>
      </w:tr>
      <w:tr>
        <w:trPr>
          <w:trHeight w:val="23"/>
        </w:trPr>
        <w:tc>
          <w:tcPr>
            <w:tcW w:w="6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6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8"/>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2"/>
        </w:trPr>
        <w:tc>
          <w:tcPr>
            <w:tcW w:w="6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premiums earned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149,066</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298,432</w:t>
            </w: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277,825</w:t>
            </w:r>
          </w:p>
        </w:tc>
      </w:tr>
      <w:tr>
        <w:trPr>
          <w:trHeight w:val="22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40,124</w:t>
            </w:r>
          </w:p>
        </w:tc>
      </w:tr>
      <w:tr>
        <w:trPr>
          <w:trHeight w:val="222"/>
        </w:trPr>
        <w:tc>
          <w:tcPr>
            <w:tcW w:w="6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revenues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r>
      <w:tr>
        <w:trPr>
          <w:trHeight w:val="215"/>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173,779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162,122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347,025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318,375</w:t>
            </w:r>
          </w:p>
        </w:tc>
      </w:tr>
      <w:tr>
        <w:trPr>
          <w:trHeight w:val="20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2"/>
        </w:trPr>
        <w:tc>
          <w:tcPr>
            <w:tcW w:w="6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Insurance claims and claim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3,970</w:t>
            </w:r>
          </w:p>
        </w:tc>
      </w:tr>
      <w:tr>
        <w:trPr>
          <w:trHeight w:val="22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58,145</w:t>
            </w:r>
          </w:p>
        </w:tc>
      </w:tr>
      <w:tr>
        <w:trPr>
          <w:trHeight w:val="222"/>
        </w:trPr>
        <w:tc>
          <w:tcPr>
            <w:tcW w:w="6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Service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2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22,718</w:t>
            </w:r>
          </w:p>
        </w:tc>
      </w:tr>
      <w:tr>
        <w:trPr>
          <w:trHeight w:val="215"/>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50,178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43,478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92,053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85,164</w:t>
            </w:r>
          </w:p>
        </w:tc>
      </w:tr>
      <w:tr>
        <w:trPr>
          <w:trHeight w:val="241"/>
        </w:trPr>
        <w:tc>
          <w:tcPr>
            <w:tcW w:w="6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2"/>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118,644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254,972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233,211</w:t>
            </w:r>
          </w:p>
        </w:tc>
      </w:tr>
      <w:tr>
        <w:trPr>
          <w:trHeight w:val="22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56,262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52,082</w:t>
            </w:r>
          </w:p>
        </w:tc>
      </w:tr>
      <w:tr>
        <w:trPr>
          <w:trHeight w:val="215"/>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96,151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198,710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181,129</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8"/>
        </w:trPr>
        <w:tc>
          <w:tcPr>
            <w:tcW w:w="6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2"/>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22"/>
        </w:trPr>
        <w:tc>
          <w:tcPr>
            <w:tcW w:w="6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61"/>
        </w:trPr>
        <w:tc>
          <w:tcPr>
            <w:tcW w:w="6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22"/>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80,421</w:t>
            </w:r>
          </w:p>
        </w:tc>
      </w:tr>
      <w:tr>
        <w:trPr>
          <w:trHeight w:val="222"/>
        </w:trPr>
        <w:tc>
          <w:tcPr>
            <w:tcW w:w="6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81,703</w:t>
            </w:r>
          </w:p>
        </w:tc>
      </w:tr>
      <w:tr>
        <w:trPr>
          <w:trHeight w:val="261"/>
        </w:trPr>
        <w:tc>
          <w:tcPr>
            <w:tcW w:w="6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22"/>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96,151</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198,710</w:t>
            </w: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181,129</w:t>
            </w:r>
          </w:p>
        </w:tc>
      </w:tr>
      <w:tr>
        <w:trPr>
          <w:trHeight w:val="22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0"/>
        </w:trPr>
        <w:tc>
          <w:tcPr>
            <w:tcW w:w="618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Unrealized gains (losses) in accumulated other comprehensive loss, net of tax expense</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8"/>
        </w:trPr>
        <w:tc>
          <w:tcPr>
            <w:tcW w:w="618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auto"/>
              </w:rPr>
              <w:t>(benefit) of $5,570 and $(412) for the three months ended June 30, 2025 and 2024, and</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7"/>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$13,756 and $(3,141) for the six months ended June 30, 2025 and 2024, respectively</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(11,454)</w:t>
            </w:r>
          </w:p>
        </w:tc>
      </w:tr>
      <w:tr>
        <w:trPr>
          <w:trHeight w:val="170"/>
        </w:trPr>
        <w:tc>
          <w:tcPr>
            <w:tcW w:w="61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Reclassification adjustment for realized losses included in net income, net of tax benefit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 $84 and $79 for the three and six months ended June 30, 2025, respectively</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21,271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52,047</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(11,454)</w:t>
            </w:r>
          </w:p>
        </w:tc>
      </w:tr>
      <w:tr>
        <w:trPr>
          <w:trHeight w:val="240"/>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250,757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169,675</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74295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420" w:top="121"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820" w:type="dxa"/>
            <w:vAlign w:val="bottom"/>
            <w:gridSpan w:val="3"/>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8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restart"/>
          </w:tcPr>
          <w:p>
            <w:pPr>
              <w:jc w:val="right"/>
              <w:ind w:right="134"/>
              <w:spacing w:after="0" w:line="12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2"/>
            <w:vMerge w:val="restart"/>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9"/>
                <w:szCs w:val="9"/>
                <w:color w:val="auto"/>
              </w:rPr>
            </w:pPr>
          </w:p>
        </w:tc>
        <w:tc>
          <w:tcPr>
            <w:tcW w:w="1080" w:type="dxa"/>
            <w:vAlign w:val="bottom"/>
            <w:vMerge w:val="restart"/>
          </w:tcPr>
          <w:p>
            <w:pPr>
              <w:jc w:val="right"/>
              <w:ind w:right="55"/>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00" w:type="dxa"/>
            <w:vAlign w:val="bottom"/>
          </w:tcPr>
          <w:p>
            <w:pPr>
              <w:spacing w:after="0"/>
              <w:rPr>
                <w:sz w:val="9"/>
                <w:szCs w:val="9"/>
                <w:color w:val="auto"/>
              </w:rPr>
            </w:pPr>
          </w:p>
        </w:tc>
        <w:tc>
          <w:tcPr>
            <w:tcW w:w="840" w:type="dxa"/>
            <w:vAlign w:val="bottom"/>
            <w:vMerge w:val="restart"/>
          </w:tcPr>
          <w:p>
            <w:pPr>
              <w:jc w:val="right"/>
              <w:ind w:right="155"/>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5"/>
                <w:szCs w:val="15"/>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w w:val="96"/>
              </w:rPr>
              <w:t>(In Thousands)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December 31,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1,004,692</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(246,594)</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1,583,259</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2,217,432</w:t>
            </w:r>
          </w:p>
        </w:tc>
        <w:tc>
          <w:tcPr>
            <w:tcW w:w="0" w:type="dxa"/>
            <w:vAlign w:val="bottom"/>
          </w:tcPr>
          <w:p>
            <w:pPr>
              <w:spacing w:after="0"/>
              <w:rPr>
                <w:sz w:val="1"/>
                <w:szCs w:val="1"/>
                <w:color w:val="auto"/>
              </w:rPr>
            </w:pPr>
          </w:p>
        </w:tc>
      </w:tr>
      <w:tr>
        <w:trPr>
          <w:trHeight w:val="170"/>
        </w:trPr>
        <w:tc>
          <w:tcPr>
            <w:tcW w:w="386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Common stock: shares issued under stock plans, net of</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(7,650)</w:t>
            </w: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(26,053)</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(26,053)</w:t>
            </w:r>
          </w:p>
        </w:tc>
        <w:tc>
          <w:tcPr>
            <w:tcW w:w="0" w:type="dxa"/>
            <w:vAlign w:val="bottom"/>
          </w:tcPr>
          <w:p>
            <w:pPr>
              <w:spacing w:after="0"/>
              <w:rPr>
                <w:sz w:val="1"/>
                <w:szCs w:val="1"/>
                <w:color w:val="auto"/>
              </w:rPr>
            </w:pPr>
          </w:p>
        </w:tc>
      </w:tr>
      <w:tr>
        <w:trPr>
          <w:trHeight w:val="222"/>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4,507</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4,507</w:t>
            </w: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expense of $8,181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30,776</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30,776</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102,559</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102,559</w:t>
            </w:r>
          </w:p>
        </w:tc>
        <w:tc>
          <w:tcPr>
            <w:tcW w:w="0" w:type="dxa"/>
            <w:vAlign w:val="bottom"/>
          </w:tcPr>
          <w:p>
            <w:pPr>
              <w:spacing w:after="0"/>
              <w:rPr>
                <w:sz w:val="1"/>
                <w:szCs w:val="1"/>
                <w:color w:val="auto"/>
              </w:rPr>
            </w:pPr>
          </w:p>
        </w:tc>
      </w:tr>
      <w:tr>
        <w:trPr>
          <w:trHeight w:val="24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March 31, 2025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1,001,545</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(272,647)</w:t>
            </w: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1,685,818</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2,321,571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line="156" w:lineRule="exact"/>
              <w:rPr>
                <w:sz w:val="20"/>
                <w:szCs w:val="20"/>
                <w:color w:val="auto"/>
              </w:rPr>
            </w:pPr>
            <w:r>
              <w:rPr>
                <w:rFonts w:ascii="Times New Roman" w:cs="Times New Roman" w:eastAsia="Times New Roman" w:hAnsi="Times New Roman"/>
                <w:sz w:val="17"/>
                <w:szCs w:val="17"/>
                <w:color w:val="auto"/>
              </w:rPr>
              <w:t>Common stock: shares issued under stock plans, net of</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8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(23,400)</w:t>
            </w:r>
          </w:p>
        </w:tc>
        <w:tc>
          <w:tcPr>
            <w:tcW w:w="0" w:type="dxa"/>
            <w:vAlign w:val="bottom"/>
          </w:tcPr>
          <w:p>
            <w:pPr>
              <w:spacing w:after="0"/>
              <w:rPr>
                <w:sz w:val="1"/>
                <w:szCs w:val="1"/>
                <w:color w:val="auto"/>
              </w:rPr>
            </w:pPr>
          </w:p>
        </w:tc>
      </w:tr>
      <w:tr>
        <w:trPr>
          <w:trHeight w:val="222"/>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4,957</w:t>
            </w: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expense of $5,654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21,271</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21,271</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96,151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96,151</w:t>
            </w:r>
          </w:p>
        </w:tc>
        <w:tc>
          <w:tcPr>
            <w:tcW w:w="0" w:type="dxa"/>
            <w:vAlign w:val="bottom"/>
          </w:tcPr>
          <w:p>
            <w:pPr>
              <w:spacing w:after="0"/>
              <w:rPr>
                <w:sz w:val="1"/>
                <w:szCs w:val="1"/>
                <w:color w:val="auto"/>
              </w:rPr>
            </w:pPr>
          </w:p>
        </w:tc>
      </w:tr>
      <w:tr>
        <w:trPr>
          <w:trHeight w:val="24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June 30, 2025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1,006,058</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(296,047)</w:t>
            </w: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1,781,969</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2,420,107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860" w:type="dxa"/>
            <w:vAlign w:val="bottom"/>
            <w:gridSpan w:val="3"/>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92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ind w:right="94"/>
              <w:spacing w:after="0" w:line="12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2"/>
            <w:vMerge w:val="restart"/>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9"/>
                <w:szCs w:val="9"/>
                <w:color w:val="auto"/>
              </w:rPr>
            </w:pPr>
          </w:p>
        </w:tc>
        <w:tc>
          <w:tcPr>
            <w:tcW w:w="1120" w:type="dxa"/>
            <w:vAlign w:val="bottom"/>
            <w:vMerge w:val="restart"/>
          </w:tcPr>
          <w:p>
            <w:pPr>
              <w:jc w:val="right"/>
              <w:ind w:right="75"/>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840" w:type="dxa"/>
            <w:vAlign w:val="bottom"/>
            <w:vMerge w:val="restart"/>
          </w:tcPr>
          <w:p>
            <w:pPr>
              <w:jc w:val="right"/>
              <w:ind w:right="155"/>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5"/>
                <w:szCs w:val="15"/>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jc w:val="right"/>
              <w:ind w:right="97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December 31, 2023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990,816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(148,921)</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1,223,153</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1,926,004</w:t>
            </w:r>
          </w:p>
        </w:tc>
        <w:tc>
          <w:tcPr>
            <w:tcW w:w="0" w:type="dxa"/>
            <w:vAlign w:val="bottom"/>
          </w:tcPr>
          <w:p>
            <w:pPr>
              <w:spacing w:after="0"/>
              <w:rPr>
                <w:sz w:val="1"/>
                <w:szCs w:val="1"/>
                <w:color w:val="auto"/>
              </w:rPr>
            </w:pPr>
          </w:p>
        </w:tc>
      </w:tr>
      <w:tr>
        <w:trPr>
          <w:trHeight w:val="170"/>
        </w:trPr>
        <w:tc>
          <w:tcPr>
            <w:tcW w:w="39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Common stock: shares issued under stock plans, net of</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(5,584)</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(5,579)</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(25,306)</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4,117</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4,117</w:t>
            </w:r>
          </w:p>
        </w:tc>
        <w:tc>
          <w:tcPr>
            <w:tcW w:w="0" w:type="dxa"/>
            <w:vAlign w:val="bottom"/>
          </w:tcPr>
          <w:p>
            <w:pPr>
              <w:spacing w:after="0"/>
              <w:rPr>
                <w:sz w:val="1"/>
                <w:szCs w:val="1"/>
                <w:color w:val="auto"/>
              </w:rPr>
            </w:pPr>
          </w:p>
        </w:tc>
      </w:tr>
      <w:tr>
        <w:trPr>
          <w:trHeight w:val="170"/>
        </w:trPr>
        <w:tc>
          <w:tcPr>
            <w:tcW w:w="39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benefit of $2,729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(9,905)</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(9,905)</w:t>
            </w:r>
          </w:p>
        </w:tc>
        <w:tc>
          <w:tcPr>
            <w:tcW w:w="0" w:type="dxa"/>
            <w:vAlign w:val="bottom"/>
          </w:tcPr>
          <w:p>
            <w:pPr>
              <w:spacing w:after="0"/>
              <w:rPr>
                <w:sz w:val="1"/>
                <w:szCs w:val="1"/>
                <w:color w:val="auto"/>
              </w:rPr>
            </w:pPr>
          </w:p>
        </w:tc>
      </w:tr>
      <w:tr>
        <w:trPr>
          <w:trHeight w:val="222"/>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89,050</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89,050</w:t>
            </w:r>
          </w:p>
        </w:tc>
        <w:tc>
          <w:tcPr>
            <w:tcW w:w="0" w:type="dxa"/>
            <w:vAlign w:val="bottom"/>
          </w:tcPr>
          <w:p>
            <w:pPr>
              <w:spacing w:after="0"/>
              <w:rPr>
                <w:sz w:val="1"/>
                <w:szCs w:val="1"/>
                <w:color w:val="auto"/>
              </w:rPr>
            </w:pPr>
          </w:p>
        </w:tc>
      </w:tr>
      <w:tr>
        <w:trPr>
          <w:trHeight w:val="24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March 31,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989,349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(174,227)</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1,312,203</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1,978,381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spacing w:after="0" w:line="156" w:lineRule="exact"/>
              <w:rPr>
                <w:sz w:val="20"/>
                <w:szCs w:val="20"/>
                <w:color w:val="auto"/>
              </w:rPr>
            </w:pPr>
            <w:r>
              <w:rPr>
                <w:rFonts w:ascii="Times New Roman" w:cs="Times New Roman" w:eastAsia="Times New Roman" w:hAnsi="Times New Roman"/>
                <w:sz w:val="17"/>
                <w:szCs w:val="17"/>
                <w:color w:val="auto"/>
              </w:rPr>
              <w:t>Common stock: shares issued under stock plans, net of</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(27,096)</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4,114</w:t>
            </w:r>
          </w:p>
        </w:tc>
        <w:tc>
          <w:tcPr>
            <w:tcW w:w="0" w:type="dxa"/>
            <w:vAlign w:val="bottom"/>
          </w:tcPr>
          <w:p>
            <w:pPr>
              <w:spacing w:after="0"/>
              <w:rPr>
                <w:sz w:val="1"/>
                <w:szCs w:val="1"/>
                <w:color w:val="auto"/>
              </w:rPr>
            </w:pPr>
          </w:p>
        </w:tc>
      </w:tr>
      <w:tr>
        <w:trPr>
          <w:trHeight w:val="170"/>
        </w:trPr>
        <w:tc>
          <w:tcPr>
            <w:tcW w:w="39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benefit of $412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0" w:type="dxa"/>
            <w:vAlign w:val="bottom"/>
          </w:tcPr>
          <w:p>
            <w:pPr>
              <w:spacing w:after="0"/>
              <w:rPr>
                <w:sz w:val="1"/>
                <w:szCs w:val="1"/>
                <w:color w:val="auto"/>
              </w:rPr>
            </w:pPr>
          </w:p>
        </w:tc>
      </w:tr>
      <w:tr>
        <w:trPr>
          <w:trHeight w:val="222"/>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92,079</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92,079</w:t>
            </w:r>
          </w:p>
        </w:tc>
        <w:tc>
          <w:tcPr>
            <w:tcW w:w="0" w:type="dxa"/>
            <w:vAlign w:val="bottom"/>
          </w:tcPr>
          <w:p>
            <w:pPr>
              <w:spacing w:after="0"/>
              <w:rPr>
                <w:sz w:val="1"/>
                <w:szCs w:val="1"/>
                <w:color w:val="auto"/>
              </w:rPr>
            </w:pPr>
          </w:p>
        </w:tc>
      </w:tr>
      <w:tr>
        <w:trPr>
          <w:trHeight w:val="24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June 30,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993,143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(201,323)</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1,404,282</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2,045,610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ectPr>
          <w:pgSz w:w="11900" w:h="16838" w:orient="portrait"/>
          <w:cols w:equalWidth="0" w:num="1">
            <w:col w:w="11200"/>
          </w:cols>
          <w:pgMar w:left="36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60" w:top="121" w:right="339" w:bottom="1440" w:gutter="0" w:footer="0" w:header="0"/>
          <w:type w:val="continuous"/>
        </w:sectPr>
      </w:pPr>
    </w:p>
    <w:bookmarkStart w:id="9" w:name="page10"/>
    <w:bookmarkEnd w:id="9"/>
    <w:p>
      <w:pPr>
        <w:jc w:val="center"/>
        <w:ind w:right="6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00" w:type="dxa"/>
            <w:vAlign w:val="bottom"/>
          </w:tcPr>
          <w:p>
            <w:pPr>
              <w:spacing w:after="0"/>
              <w:rPr>
                <w:sz w:val="16"/>
                <w:szCs w:val="16"/>
                <w:color w:val="auto"/>
              </w:rPr>
            </w:pPr>
          </w:p>
        </w:tc>
      </w:tr>
      <w:tr>
        <w:trPr>
          <w:trHeight w:val="23"/>
        </w:trPr>
        <w:tc>
          <w:tcPr>
            <w:tcW w:w="7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2"/>
        </w:trPr>
        <w:tc>
          <w:tcPr>
            <w:tcW w:w="76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r>
      <w:tr>
        <w:trPr>
          <w:trHeight w:val="201"/>
        </w:trPr>
        <w:tc>
          <w:tcPr>
            <w:tcW w:w="76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Cash flows from operating activities</w:t>
            </w:r>
          </w:p>
        </w:tc>
        <w:tc>
          <w:tcPr>
            <w:tcW w:w="1020" w:type="dxa"/>
            <w:vAlign w:val="bottom"/>
          </w:tcPr>
          <w:p>
            <w:pPr>
              <w:spacing w:after="0"/>
              <w:rPr>
                <w:sz w:val="17"/>
                <w:szCs w:val="17"/>
                <w:color w:val="auto"/>
              </w:rPr>
            </w:pPr>
          </w:p>
        </w:tc>
        <w:tc>
          <w:tcPr>
            <w:tcW w:w="1800" w:type="dxa"/>
            <w:vAlign w:val="bottom"/>
            <w:gridSpan w:val="3"/>
          </w:tcPr>
          <w:p>
            <w:pPr>
              <w:jc w:val="right"/>
              <w:ind w:right="561"/>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7"/>
                <w:szCs w:val="17"/>
                <w:color w:val="auto"/>
              </w:rPr>
            </w:pPr>
          </w:p>
        </w:tc>
      </w:tr>
      <w:tr>
        <w:trPr>
          <w:trHeight w:val="230"/>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198,710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181,129</w:t>
            </w: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5,990</w:t>
            </w: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(accretion)/amortization of (discount)/premium on investment securities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r>
      <w:tr>
        <w:trPr>
          <w:trHeight w:val="219"/>
        </w:trPr>
        <w:tc>
          <w:tcPr>
            <w:tcW w:w="7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0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6,966</w:t>
            </w: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 and debt issuance costs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r>
      <w:tr>
        <w:trPr>
          <w:trHeight w:val="219"/>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41,361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49,861</w:t>
            </w: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8,231</w:t>
            </w:r>
          </w:p>
        </w:tc>
      </w:tr>
      <w:tr>
        <w:trPr>
          <w:trHeight w:val="219"/>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Premiums receivable, net</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(1,654)</w:t>
            </w: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19"/>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Reinsurance recoverable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assets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r>
      <w:tr>
        <w:trPr>
          <w:trHeight w:val="219"/>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Unearned premiums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(13,961)</w:t>
            </w: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w:t>
            </w:r>
          </w:p>
        </w:tc>
      </w:tr>
      <w:tr>
        <w:trPr>
          <w:trHeight w:val="219"/>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Reinsurance balances, net</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w:t>
            </w: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(9,234)</w:t>
            </w:r>
          </w:p>
        </w:tc>
      </w:tr>
      <w:tr>
        <w:trPr>
          <w:trHeight w:val="212"/>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229,507</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229,363</w:t>
            </w: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(91,711)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(101,545)</w:t>
            </w: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fixed-maturity investments, available-for-sale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(253,319)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(236,755)</w:t>
            </w: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maturities of short-term investments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55,100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37,700</w:t>
            </w: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maturities and redemptions of fixed-maturity investments, available-for-sale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137,935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92,260</w:t>
            </w: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sales of fixed-maturity investments, available-for-sale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13,563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Additions to software and equipment</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(4,026)</w:t>
            </w:r>
          </w:p>
        </w:tc>
      </w:tr>
      <w:tr>
        <w:trPr>
          <w:trHeight w:val="212"/>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(141,786)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(212,366)</w:t>
            </w: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common stock related to employee equity plans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4,280</w:t>
            </w: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(10,178)</w:t>
            </w: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senior unsecured notes</w:t>
            </w:r>
          </w:p>
        </w:tc>
        <w:tc>
          <w:tcPr>
            <w:tcW w:w="10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419,705</w:t>
            </w: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of senior secured notes</w:t>
            </w:r>
          </w:p>
        </w:tc>
        <w:tc>
          <w:tcPr>
            <w:tcW w:w="10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(405,080)</w:t>
            </w: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10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(7,730)</w:t>
            </w: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(49,923)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(52,054)</w:t>
            </w:r>
          </w:p>
        </w:tc>
      </w:tr>
      <w:tr>
        <w:trPr>
          <w:trHeight w:val="212"/>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(58,016)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(51,057)</w:t>
            </w:r>
          </w:p>
        </w:tc>
      </w:tr>
      <w:tr>
        <w:trPr>
          <w:trHeight w:val="179"/>
        </w:trPr>
        <w:tc>
          <w:tcPr>
            <w:tcW w:w="76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29,705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(34,060)</w:t>
            </w:r>
          </w:p>
        </w:tc>
      </w:tr>
      <w:tr>
        <w:trPr>
          <w:trHeight w:val="22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54,308</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96,689</w:t>
            </w: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02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84,013</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62,629</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2"/>
        </w:trPr>
        <w:tc>
          <w:tcPr>
            <w:tcW w:w="7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paid</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14,013</w:t>
            </w:r>
          </w:p>
        </w:tc>
      </w:tr>
      <w:tr>
        <w:trPr>
          <w:trHeight w:val="215"/>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paid</w:t>
            </w: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bl>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80" w:top="12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Basis of Presentation and Summary of Accounting Principles</w:t>
      </w:r>
    </w:p>
    <w:p>
      <w:pPr>
        <w:spacing w:after="0" w:line="17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10"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 We operate as a single segment for the purposes of assessing performance and making operating decisions.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74"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2024, included in our 2024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In the opinion of management, these unaudited condensed consolidated financial statements include all adjustments (including normal recurring adjustments) that are necessary to present a fair statement of financial position, results of operations and cash flows for the periods presented. The results of operations for the interim period may not be indicative of the results that may be expected for the full year ending December 31, 2025.</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Principles</w:t>
      </w:r>
    </w:p>
    <w:p>
      <w:pPr>
        <w:spacing w:after="0" w:line="172" w:lineRule="exact"/>
        <w:rPr>
          <w:sz w:val="20"/>
          <w:szCs w:val="20"/>
          <w:color w:val="auto"/>
        </w:rPr>
      </w:pPr>
    </w:p>
    <w:p>
      <w:pPr>
        <w:jc w:val="both"/>
        <w:ind w:firstLine="627"/>
        <w:spacing w:after="0" w:line="298" w:lineRule="auto"/>
        <w:rPr>
          <w:sz w:val="20"/>
          <w:szCs w:val="20"/>
          <w:color w:val="auto"/>
        </w:rPr>
      </w:pPr>
      <w:r>
        <w:rPr>
          <w:rFonts w:ascii="Times New Roman" w:cs="Times New Roman" w:eastAsia="Times New Roman" w:hAnsi="Times New Roman"/>
          <w:sz w:val="17"/>
          <w:szCs w:val="17"/>
          <w:color w:val="auto"/>
        </w:rPr>
        <w:t>There have been no changes to our significant accounting principles as described in Item 8, “</w:t>
      </w:r>
      <w:r>
        <w:rPr>
          <w:rFonts w:ascii="Times New Roman" w:cs="Times New Roman" w:eastAsia="Times New Roman" w:hAnsi="Times New Roman"/>
          <w:sz w:val="17"/>
          <w:szCs w:val="17"/>
          <w:i w:val="1"/>
          <w:iCs w:val="1"/>
          <w:color w:val="auto"/>
        </w:rPr>
        <w:t>Financial Statements and Supplementary Data - Notes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Consolidated Financial Statements - Note 2 - Summary of Accounting Principles” </w:t>
      </w:r>
      <w:r>
        <w:rPr>
          <w:rFonts w:ascii="Times New Roman" w:cs="Times New Roman" w:eastAsia="Times New Roman" w:hAnsi="Times New Roman"/>
          <w:sz w:val="17"/>
          <w:szCs w:val="17"/>
          <w:color w:val="auto"/>
        </w:rPr>
        <w:t>of our 2024 10-K.</w:t>
      </w:r>
    </w:p>
    <w:p>
      <w:pPr>
        <w:spacing w:after="0" w:line="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Recent Accounting Pronouncements – Adopted</w:t>
      </w:r>
    </w:p>
    <w:p>
      <w:pPr>
        <w:spacing w:after="0" w:line="159"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The update enhances the disclosure requirements related to tax rate reconciliations and income taxes paid, and took effect for all public business entities for annual reporting periods beginning after December 15, 2024. We adopted this ASU on January 1, 2025 and will include enhanced disclosures in our fiscal year-end 2025 annual consolidated financial statements, as applicable.</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Recent Accounting Pronouncements – Not Yet Adopted</w:t>
      </w:r>
    </w:p>
    <w:p>
      <w:pPr>
        <w:spacing w:after="0" w:line="172"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In November 2024, the FASB issued ASU 2024-03, Disaggregation of Income Statement Expense (Topic 220). The update expands disclosure requirements related to certain income statement expenses, including a requirement to provide a tabular disaggregation of certain operating expenses by category. The standard will take effect for all public business entities for annual reporting periods beginning after December 15, 2026, and interim reporting periods beginning after December 15, 2027. Early adoption is permitted. We are currently evaluating the impact the adoption of this ASU will have, if any,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2. Investments</w:t>
      </w:r>
    </w:p>
    <w:p>
      <w:pPr>
        <w:spacing w:after="0" w:line="172" w:lineRule="exact"/>
        <w:rPr>
          <w:sz w:val="20"/>
          <w:szCs w:val="20"/>
          <w:color w:val="auto"/>
        </w:rPr>
      </w:pPr>
    </w:p>
    <w:p>
      <w:pPr>
        <w:jc w:val="both"/>
        <w:ind w:left="120" w:firstLine="470"/>
        <w:spacing w:after="0" w:line="262" w:lineRule="auto"/>
        <w:rPr>
          <w:sz w:val="20"/>
          <w:szCs w:val="20"/>
          <w:color w:val="auto"/>
        </w:rPr>
      </w:pPr>
      <w:r>
        <w:rPr>
          <w:rFonts w:ascii="Times New Roman" w:cs="Times New Roman" w:eastAsia="Times New Roman" w:hAnsi="Times New Roman"/>
          <w:sz w:val="17"/>
          <w:szCs w:val="17"/>
          <w:color w:val="auto"/>
        </w:rPr>
        <w:t>We hold all investments on an available-for-sale basis at fair value on our condensed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condensed consolidated statements of operations and comprehensive income as a “</w:t>
      </w:r>
      <w:r>
        <w:rPr>
          <w:rFonts w:ascii="Times New Roman" w:cs="Times New Roman" w:eastAsia="Times New Roman" w:hAnsi="Times New Roman"/>
          <w:sz w:val="17"/>
          <w:szCs w:val="17"/>
          <w:i w:val="1"/>
          <w:iCs w:val="1"/>
          <w:color w:val="auto"/>
        </w:rPr>
        <w:t>Net Realized Investment Loss</w:t>
      </w:r>
      <w:r>
        <w:rPr>
          <w:rFonts w:ascii="Times New Roman" w:cs="Times New Roman" w:eastAsia="Times New Roman" w:hAnsi="Times New Roman"/>
          <w:sz w:val="17"/>
          <w:szCs w:val="17"/>
          <w:color w:val="auto"/>
        </w:rPr>
        <w:t>.”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Fair Values and Gross Unrealized Gains and Losses on Investments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80" w:type="dxa"/>
            <w:vAlign w:val="bottom"/>
          </w:tcPr>
          <w:p>
            <w:pPr>
              <w:spacing w:after="0"/>
              <w:rPr>
                <w:sz w:val="16"/>
                <w:szCs w:val="16"/>
                <w:color w:val="auto"/>
              </w:rPr>
            </w:pPr>
          </w:p>
        </w:tc>
        <w:tc>
          <w:tcPr>
            <w:tcW w:w="2000" w:type="dxa"/>
            <w:vAlign w:val="bottom"/>
            <w:gridSpan w:val="3"/>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3"/>
          </w:tcPr>
          <w:p>
            <w:pPr>
              <w:jc w:val="center"/>
              <w:ind w:left="678"/>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113,564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115,988</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669,223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634,962</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2,073,047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2,019,333</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38,557</w:t>
            </w:r>
          </w:p>
        </w:tc>
        <w:tc>
          <w:tcPr>
            <w:tcW w:w="0" w:type="dxa"/>
            <w:vAlign w:val="bottom"/>
          </w:tcPr>
          <w:p>
            <w:pPr>
              <w:spacing w:after="0"/>
              <w:rPr>
                <w:sz w:val="1"/>
                <w:szCs w:val="1"/>
                <w:color w:val="auto"/>
              </w:rPr>
            </w:pPr>
          </w:p>
        </w:tc>
      </w:tr>
      <w:tr>
        <w:trPr>
          <w:trHeight w:val="21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2,895,739</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22,992</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(109,891)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2,808,840</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120,277</w:t>
            </w:r>
          </w:p>
        </w:tc>
        <w:tc>
          <w:tcPr>
            <w:tcW w:w="0" w:type="dxa"/>
            <w:vAlign w:val="bottom"/>
          </w:tcPr>
          <w:p>
            <w:pPr>
              <w:spacing w:after="0"/>
              <w:rPr>
                <w:sz w:val="1"/>
                <w:szCs w:val="1"/>
                <w:color w:val="auto"/>
              </w:rPr>
            </w:pPr>
          </w:p>
        </w:tc>
      </w:tr>
      <w:tr>
        <w:trPr>
          <w:trHeight w:val="240"/>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3,016,032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2,929,117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80" w:type="dxa"/>
            <w:vAlign w:val="bottom"/>
          </w:tcPr>
          <w:p>
            <w:pPr>
              <w:spacing w:after="0"/>
              <w:rPr>
                <w:sz w:val="24"/>
                <w:szCs w:val="24"/>
                <w:color w:val="auto"/>
              </w:rPr>
            </w:pPr>
          </w:p>
        </w:tc>
        <w:tc>
          <w:tcPr>
            <w:tcW w:w="2000" w:type="dxa"/>
            <w:vAlign w:val="bottom"/>
            <w:gridSpan w:val="3"/>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3"/>
          </w:tcPr>
          <w:p>
            <w:pPr>
              <w:jc w:val="center"/>
              <w:ind w:left="678"/>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115,342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116,060</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684,523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635,245</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1,949,800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1,847,640</w:t>
            </w:r>
          </w:p>
        </w:tc>
        <w:tc>
          <w:tcPr>
            <w:tcW w:w="0" w:type="dxa"/>
            <w:vAlign w:val="bottom"/>
          </w:tcPr>
          <w:p>
            <w:pPr>
              <w:spacing w:after="0"/>
              <w:rPr>
                <w:sz w:val="1"/>
                <w:szCs w:val="1"/>
                <w:color w:val="auto"/>
              </w:rPr>
            </w:pPr>
          </w:p>
        </w:tc>
      </w:tr>
      <w:tr>
        <w:trPr>
          <w:trHeight w:val="222"/>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41,980</w:t>
            </w:r>
          </w:p>
        </w:tc>
        <w:tc>
          <w:tcPr>
            <w:tcW w:w="0" w:type="dxa"/>
            <w:vAlign w:val="bottom"/>
          </w:tcPr>
          <w:p>
            <w:pPr>
              <w:spacing w:after="0"/>
              <w:rPr>
                <w:sz w:val="1"/>
                <w:szCs w:val="1"/>
                <w:color w:val="auto"/>
              </w:rPr>
            </w:pPr>
          </w:p>
        </w:tc>
      </w:tr>
      <w:tr>
        <w:trPr>
          <w:trHeight w:val="21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2,793,769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2,640,925</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82,616</w:t>
            </w:r>
          </w:p>
        </w:tc>
        <w:tc>
          <w:tcPr>
            <w:tcW w:w="0" w:type="dxa"/>
            <w:vAlign w:val="bottom"/>
          </w:tcPr>
          <w:p>
            <w:pPr>
              <w:spacing w:after="0"/>
              <w:rPr>
                <w:sz w:val="1"/>
                <w:szCs w:val="1"/>
                <w:color w:val="auto"/>
              </w:rPr>
            </w:pPr>
          </w:p>
        </w:tc>
      </w:tr>
      <w:tr>
        <w:trPr>
          <w:trHeight w:val="240"/>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2,876,343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2,723,541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did not own any mortgage-backed securities in our asset-backed securities portfolio at June 30, 2025 or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a breakdown of the fair value of our corporate debt securities by issuer industry group as of June 30, 2025 and</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13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8"/>
              </w:rPr>
              <w:t>June 30, 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5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r>
      <w:tr>
        <w:trPr>
          <w:trHeight w:val="222"/>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4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26</w:t>
            </w:r>
          </w:p>
        </w:tc>
      </w:tr>
      <w:tr>
        <w:trPr>
          <w:trHeight w:val="222"/>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Utilities</w:t>
            </w:r>
          </w:p>
        </w:tc>
        <w:tc>
          <w:tcPr>
            <w:tcW w:w="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w:t>
            </w:r>
          </w:p>
        </w:tc>
      </w:tr>
      <w:tr>
        <w:trPr>
          <w:trHeight w:val="222"/>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Industrial</w:t>
            </w:r>
          </w:p>
        </w:tc>
        <w:tc>
          <w:tcPr>
            <w:tcW w:w="4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w:t>
            </w:r>
          </w:p>
        </w:tc>
      </w:tr>
      <w:tr>
        <w:trPr>
          <w:trHeight w:val="222"/>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w:t>
            </w:r>
          </w:p>
        </w:tc>
      </w:tr>
      <w:tr>
        <w:trPr>
          <w:trHeight w:val="222"/>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4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7</w:t>
            </w: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materials</w:t>
            </w:r>
          </w:p>
        </w:tc>
        <w:tc>
          <w:tcPr>
            <w:tcW w:w="13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5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120" w:firstLine="470"/>
        <w:spacing w:after="0" w:line="295" w:lineRule="auto"/>
        <w:rPr>
          <w:sz w:val="20"/>
          <w:szCs w:val="20"/>
          <w:color w:val="auto"/>
        </w:rPr>
      </w:pPr>
      <w:r>
        <w:rPr>
          <w:rFonts w:ascii="Times New Roman" w:cs="Times New Roman" w:eastAsia="Times New Roman" w:hAnsi="Times New Roman"/>
          <w:sz w:val="17"/>
          <w:szCs w:val="17"/>
          <w:color w:val="auto"/>
        </w:rPr>
        <w:t>As of June 30, 2025 and December 31, 2024, approximately $5.4 million and $5.3 million, respectively, of our cash and investments were held in the form of U.S. Treasury securities on deposit with various state insurance departments to satisfy regulatory requirements.</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Scheduled Maturities</w:t>
      </w:r>
    </w:p>
    <w:p>
      <w:pPr>
        <w:spacing w:after="0" w:line="17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The amortized cost and fair value of available-for-sale securities as of June 30, 2025 and December 31, 2024,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34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540" w:type="dxa"/>
            <w:vAlign w:val="bottom"/>
          </w:tcPr>
          <w:p>
            <w:pPr>
              <w:spacing w:after="0"/>
              <w:rPr>
                <w:sz w:val="13"/>
                <w:szCs w:val="13"/>
                <w:color w:val="auto"/>
              </w:rPr>
            </w:pPr>
          </w:p>
        </w:tc>
        <w:tc>
          <w:tcPr>
            <w:tcW w:w="1180" w:type="dxa"/>
            <w:vAlign w:val="bottom"/>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90"/>
        </w:trPr>
        <w:tc>
          <w:tcPr>
            <w:tcW w:w="76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339,885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338,500</w:t>
            </w: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through five years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1,706,517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1,655,362</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five through ten years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922,939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889,975</w:t>
            </w: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ten years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6,723</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39,905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38,557</w:t>
            </w:r>
          </w:p>
        </w:tc>
        <w:tc>
          <w:tcPr>
            <w:tcW w:w="0" w:type="dxa"/>
            <w:vAlign w:val="bottom"/>
          </w:tcPr>
          <w:p>
            <w:pPr>
              <w:spacing w:after="0"/>
              <w:rPr>
                <w:sz w:val="1"/>
                <w:szCs w:val="1"/>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3,016,032</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2,929,117</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4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540" w:type="dxa"/>
            <w:vAlign w:val="bottom"/>
          </w:tcPr>
          <w:p>
            <w:pPr>
              <w:spacing w:after="0"/>
              <w:rPr>
                <w:sz w:val="24"/>
                <w:szCs w:val="24"/>
                <w:color w:val="auto"/>
              </w:rPr>
            </w:pPr>
          </w:p>
        </w:tc>
        <w:tc>
          <w:tcPr>
            <w:tcW w:w="1180" w:type="dxa"/>
            <w:vAlign w:val="bottom"/>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89"/>
        </w:trPr>
        <w:tc>
          <w:tcPr>
            <w:tcW w:w="76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8"/>
        </w:trPr>
        <w:tc>
          <w:tcPr>
            <w:tcW w:w="7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261,492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260,132</w:t>
            </w: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through five years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1,549,468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1,479,220</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five through ten years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995,717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916,885</w:t>
            </w: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ten years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25,324</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44,104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41,980</w:t>
            </w:r>
          </w:p>
        </w:tc>
        <w:tc>
          <w:tcPr>
            <w:tcW w:w="0" w:type="dxa"/>
            <w:vAlign w:val="bottom"/>
          </w:tcPr>
          <w:p>
            <w:pPr>
              <w:spacing w:after="0"/>
              <w:rPr>
                <w:sz w:val="1"/>
                <w:szCs w:val="1"/>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2,876,343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2,723,541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Aging of Unrealized Losses</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As of June 30, 2025, the investment portfolio had gross unrealized losses of $109.9 million, of which $108.5 million were associated with securities that had been in an unrealized loss position for a period of twelve months or longer. As of December 31, 2024, the investment portfolio had gross unrealized losses of $158.6 million, of which $150.8 million were associated with securities that had been in an unrealized loss position for a period of twelve months or longer. For those securities in an unrealized loss position, the length of time the securities were in such a position is as follows: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8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2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tcPr>
          <w:p>
            <w:pPr>
              <w:jc w:val="right"/>
              <w:ind w:right="159"/>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7"/>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8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7"/>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w w:val="98"/>
              </w:rPr>
              <w:t>($ In Thousands)</w:t>
            </w: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U.S. Treasury securities and</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obligations of U.S. government</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agencies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10,760</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12,776</w:t>
            </w: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475,672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(36,314)</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488,448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138,522</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(1,273)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919,380</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(70,643)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1,057,902</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38,324</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38,557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111,046</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111,046</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265,436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(1,382)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1,444,136</w:t>
            </w: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(108,525)</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1,709,572</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2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77"/>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gridSpan w:val="2"/>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19"/>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7"/>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8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w w:val="98"/>
              </w:rPr>
              <w:t>($ In Thousands)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U.S. Treasury securities and</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3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obligations of U.S. government</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agencies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11,510</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(489)</w:t>
            </w:r>
          </w:p>
        </w:tc>
        <w:tc>
          <w:tcPr>
            <w:tcW w:w="0" w:type="dxa"/>
            <w:vAlign w:val="bottom"/>
          </w:tcPr>
          <w:p>
            <w:pPr>
              <w:spacing w:after="0"/>
              <w:rPr>
                <w:sz w:val="1"/>
                <w:szCs w:val="1"/>
                <w:color w:val="auto"/>
              </w:rPr>
            </w:pP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110,648</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471,770</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(47,939)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582,418</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(49,867)</w:t>
            </w: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366,113</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1,053,862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(100,319)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1,419,975</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(106,141)</w:t>
            </w:r>
          </w:p>
        </w:tc>
        <w:tc>
          <w:tcPr>
            <w:tcW w:w="0" w:type="dxa"/>
            <w:vAlign w:val="bottom"/>
          </w:tcPr>
          <w:p>
            <w:pPr>
              <w:spacing w:after="0"/>
              <w:rPr>
                <w:sz w:val="1"/>
                <w:szCs w:val="1"/>
                <w:color w:val="auto"/>
              </w:rPr>
            </w:pP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4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41,559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41,559</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(2,125)</w:t>
            </w: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486,314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1,578,701</w:t>
            </w: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(150,774)</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2,065,015</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(158,622)</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Amounts not identifiable due to rounding.</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Allowance for Credit Losses</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As of June 30, 2025 and December 31, 2024, we did not recognize an allowance for credit loss for any security in the investment portfolio and we did not record any provision for credit loss for investment securities during the three or six months ended June 30, 2025 or 2024.</w:t>
      </w:r>
    </w:p>
    <w:p>
      <w:pPr>
        <w:spacing w:after="0" w:line="94"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evaluated the securities in an unrealized loss position as of June 30, 2025, assessing their credit ratings as well as any adverse conditions specifically related to the security. Based upon our assessment of the amount and timing of cash flows to be collected over the remaining life of each instrument, we believe the unrealized losses as of June 30, 2025 are not indicative of the ultimate collectability of the current amortized cost of the securities. Rather, the unrealized losses on securities held as of June 30, 2025 were primarily driven by fluctuations in interest rates, and to a lesser extent, movements in credit spreads following the purchase of those securities.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Net Investment Income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components of net investment income: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32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60" w:type="dxa"/>
            <w:vAlign w:val="bottom"/>
          </w:tcPr>
          <w:p>
            <w:pPr>
              <w:spacing w:after="0"/>
              <w:rPr>
                <w:sz w:val="16"/>
                <w:szCs w:val="16"/>
                <w:color w:val="auto"/>
              </w:rPr>
            </w:pPr>
          </w:p>
        </w:tc>
        <w:tc>
          <w:tcPr>
            <w:tcW w:w="2640" w:type="dxa"/>
            <w:vAlign w:val="bottom"/>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49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4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49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Investment income </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40,651</w:t>
            </w:r>
          </w:p>
        </w:tc>
      </w:tr>
      <w:tr>
        <w:trPr>
          <w:trHeight w:val="222"/>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Investment expenses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4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investment income</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20,688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40,124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320" w:hanging="315"/>
        <w:spacing w:after="0" w:line="265"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recognized on cash and cash equivalents of $1.1 million and $2.0 million during the three and six months ended June 30, 2025, respectively, and $1.8 million and $2.9 million during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components of net realized investment gains (losses):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4940" w:type="dxa"/>
            <w:vAlign w:val="bottom"/>
          </w:tcPr>
          <w:p>
            <w:pPr>
              <w:spacing w:after="0"/>
              <w:rPr>
                <w:sz w:val="15"/>
                <w:szCs w:val="15"/>
                <w:color w:val="auto"/>
              </w:rPr>
            </w:pPr>
          </w:p>
        </w:tc>
        <w:tc>
          <w:tcPr>
            <w:tcW w:w="9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4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realized investment gains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realized investment losses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investment gains (losses)</w:t>
            </w:r>
          </w:p>
        </w:tc>
        <w:tc>
          <w:tcPr>
            <w:tcW w:w="98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Fair Value of Financial Instruments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describes the valuation techniques used by us to determine the fair value of our financial instruments:</w:t>
      </w:r>
    </w:p>
    <w:p>
      <w:pPr>
        <w:spacing w:after="0" w:line="17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10" w:lineRule="exact"/>
        <w:rPr>
          <w:sz w:val="20"/>
          <w:szCs w:val="20"/>
          <w:color w:val="auto"/>
        </w:rPr>
      </w:pPr>
    </w:p>
    <w:p>
      <w:pPr>
        <w:jc w:val="both"/>
        <w:ind w:left="640"/>
        <w:spacing w:after="0" w:line="295" w:lineRule="auto"/>
        <w:rPr>
          <w:sz w:val="20"/>
          <w:szCs w:val="20"/>
          <w:color w:val="auto"/>
        </w:rPr>
      </w:pPr>
      <w:r>
        <w:rPr>
          <w:rFonts w:ascii="Times New Roman" w:cs="Times New Roman" w:eastAsia="Times New Roman" w:hAnsi="Times New Roman"/>
          <w:sz w:val="17"/>
          <w:szCs w:val="17"/>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94"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7"/>
          <w:szCs w:val="17"/>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17"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7"/>
          <w:szCs w:val="17"/>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1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Assets Classified as Level 1 and Level 2</w:t>
      </w:r>
    </w:p>
    <w:p>
      <w:pPr>
        <w:spacing w:after="0" w:line="172"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tables present the level within the fair value hierarchy at which our financial instruments were measured: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Measurements Using</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2"/>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420" w:type="dxa"/>
            <w:vAlign w:val="bottom"/>
          </w:tcPr>
          <w:p>
            <w:pPr>
              <w:spacing w:after="0"/>
              <w:rPr>
                <w:sz w:val="12"/>
                <w:szCs w:val="12"/>
                <w:color w:val="auto"/>
              </w:rPr>
            </w:pPr>
          </w:p>
        </w:tc>
        <w:tc>
          <w:tcPr>
            <w:tcW w:w="1420" w:type="dxa"/>
            <w:vAlign w:val="bottom"/>
            <w:gridSpan w:val="2"/>
          </w:tcPr>
          <w:p>
            <w:pPr>
              <w:jc w:val="center"/>
              <w:ind w:right="5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2"/>
                <w:szCs w:val="12"/>
                <w:color w:val="auto"/>
              </w:rPr>
            </w:pPr>
          </w:p>
        </w:tc>
        <w:tc>
          <w:tcPr>
            <w:tcW w:w="14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115,988</w:t>
            </w:r>
          </w:p>
        </w:tc>
        <w:tc>
          <w:tcPr>
            <w:tcW w:w="3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115,988</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634,962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634,962</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2,019,333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2,019,333</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38,557</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204,290</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320,278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2,692,852</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3,013,130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Measurements Using</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0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2"/>
          </w:tcPr>
          <w:p>
            <w:pPr>
              <w:jc w:val="center"/>
              <w:ind w:right="5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420" w:type="dxa"/>
            <w:vAlign w:val="bottom"/>
          </w:tcPr>
          <w:p>
            <w:pPr>
              <w:spacing w:after="0"/>
              <w:rPr>
                <w:sz w:val="11"/>
                <w:szCs w:val="11"/>
                <w:color w:val="auto"/>
              </w:rPr>
            </w:pPr>
          </w:p>
        </w:tc>
        <w:tc>
          <w:tcPr>
            <w:tcW w:w="1420" w:type="dxa"/>
            <w:vAlign w:val="bottom"/>
            <w:gridSpan w:val="2"/>
          </w:tcPr>
          <w:p>
            <w:pPr>
              <w:jc w:val="center"/>
              <w:ind w:right="520"/>
              <w:spacing w:after="0" w:line="133"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1"/>
                <w:szCs w:val="11"/>
                <w:color w:val="auto"/>
              </w:rPr>
            </w:pPr>
          </w:p>
        </w:tc>
        <w:tc>
          <w:tcPr>
            <w:tcW w:w="14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20" w:type="dxa"/>
            <w:vAlign w:val="bottom"/>
          </w:tcPr>
          <w:p>
            <w:pPr>
              <w:spacing w:after="0"/>
              <w:rPr>
                <w:sz w:val="16"/>
                <w:szCs w:val="16"/>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116,060</w:t>
            </w:r>
          </w:p>
        </w:tc>
        <w:tc>
          <w:tcPr>
            <w:tcW w:w="3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116,060</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635,245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635,245</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1,847,640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1,847,640</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41,980</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136,924</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252,984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2,524,865</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2,777,849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There were no transfers between Level 2 and Level 3 of the fair value hierarchy during the six months ended June 30, 2025 or the year ended December 31, 2024.</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Financial Instruments Not Measured at Fair Value</w:t>
      </w:r>
    </w:p>
    <w:p>
      <w:pPr>
        <w:spacing w:after="0" w:line="172"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On May 21, 2024, we issued $425 million aggregate principal amount of senior unsecured notes that mature on August 15, 2029 (the 2024 Notes). Proceeds from the 2024 Notes offering were primarily used to repay our then outstanding $400 million senior secured notes (the 2020 Notes). At June 30, 2025, the 2024 Notes were carried at a cost of $416.1 million, net of unamortized debt issuance costs and an original issue discount totaling $8.9 million, and had a fair value of $437.2 million as assessed under our Level 2 hierarchy. At December 31, 2024, the 2024 Notes were carried at a cost of $415.1 million, net of unamortized debt issuance costs and an original issue discount totaling $9.9 million, and had a fair value of $429.6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Senior Unsecured Notes</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At June 30, 2025, we had $425 million aggregate principal amount of senior unsecured notes outstanding. The 2024 Notes were issued pursuant to an indenture dated May 21, 2024 and bear interest at a rate of 6.00%, payable semi-annually on February 15 and August 15.</w:t>
      </w:r>
    </w:p>
    <w:p>
      <w:pPr>
        <w:spacing w:after="0" w:line="9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2024 Notes mature on August 15, 2029. We may elect to redeem the 2024 Notes in whole or in part at any time prior to July 15, 2029 at a price equal to the greater of (1) the aggregate principal balance outstanding plus the present value of all future interest payments due through July 15, 2029, and (2) the aggregate principal balance due plus any accrued and unpaid interest. We may elect to redeem the 2024 Notes in whole or in part at any time on or after July 15, 2029 at a price equal to 100%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aggregate principal amount of the 2024 Notes to be redeemed plus accrued and unpaid interest thereon</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In connection with the 2024 Notes offering, we recorded capitalized debt issuance costs and an original issue discount of $10.9 million. Such amount will be amortized over the contractual life of the 2024 Notes using the effective interest method and included in interest expense. The effective interest rate on the 2024 Notes is 6.583%. At June 30, 2025 and December 31, 2024, $8.9 million and $9.9 million, respectively, of unamortized debt issuance costs and original issue discount remained.</w:t>
      </w:r>
    </w:p>
    <w:p>
      <w:pPr>
        <w:spacing w:after="0" w:line="11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 xml:space="preserve">At June 30, 2025 and December 31, 2024, $9.6 million and $15.6 million, respectively, of accrued and unpaid interest on the 2024 Notes was included in </w:t>
      </w:r>
      <w:r>
        <w:rPr>
          <w:rFonts w:ascii="Times New Roman" w:cs="Times New Roman" w:eastAsia="Times New Roman" w:hAnsi="Times New Roman"/>
          <w:sz w:val="17"/>
          <w:szCs w:val="17"/>
          <w:i w:val="1"/>
          <w:iCs w:val="1"/>
          <w:color w:val="auto"/>
        </w:rPr>
        <w:t>“Accounts Payable and Accrued Expenses”</w:t>
      </w:r>
      <w:r>
        <w:rPr>
          <w:rFonts w:ascii="Times New Roman" w:cs="Times New Roman" w:eastAsia="Times New Roman" w:hAnsi="Times New Roman"/>
          <w:sz w:val="17"/>
          <w:szCs w:val="17"/>
          <w:color w:val="auto"/>
        </w:rPr>
        <w:t xml:space="preserve"> on our condensed consolidated balance sheets.</w:t>
      </w:r>
    </w:p>
    <w:p>
      <w:pPr>
        <w:spacing w:after="0" w:line="92" w:lineRule="exact"/>
        <w:rPr>
          <w:sz w:val="20"/>
          <w:szCs w:val="20"/>
          <w:color w:val="auto"/>
        </w:rPr>
      </w:pPr>
    </w:p>
    <w:p>
      <w:pPr>
        <w:jc w:val="both"/>
        <w:ind w:firstLine="627"/>
        <w:spacing w:after="0" w:line="298" w:lineRule="auto"/>
        <w:rPr>
          <w:sz w:val="20"/>
          <w:szCs w:val="20"/>
          <w:color w:val="auto"/>
        </w:rPr>
      </w:pPr>
      <w:r>
        <w:rPr>
          <w:rFonts w:ascii="Times New Roman" w:cs="Times New Roman" w:eastAsia="Times New Roman" w:hAnsi="Times New Roman"/>
          <w:sz w:val="17"/>
          <w:szCs w:val="17"/>
          <w:color w:val="auto"/>
        </w:rPr>
        <w:t>During the three and six months ended June 30, 2024, we recorded a $6.8 million loss related to the redemption of the 2020 Notes in “</w:t>
      </w: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xml:space="preserve"> on our condensed consolidated statements of comprehensive income.</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Revolving Credit Facility</w:t>
      </w:r>
    </w:p>
    <w:p>
      <w:pPr>
        <w:spacing w:after="0" w:line="172"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On April 29, 2024, we entered into a new $250 million five-year unsecured revolving credit facility (the 2024 Revolving Credit Facility) to replace our then outstanding $250 million four-year secured revolving credit facility (the 2021 Revolving Credit Facility). The 2024 Revolving Credit Facility matures on May 21, 2029. Borrowings under the 2024 Revolving Credit Facility may be used for general corporate purposes, including to support growth, new business production and operations, and accrue interest at a variable rate equal to, at our discretion, (i) a Base Rate (as defined in the 2024 Revolving Credit Facility) subject to a floor of 1.00% per annum plus a margin of 0.375% to 1.875% per annum, or (ii) the Adjusted Term Secured Overnight Financing Rate (SOFR, as defined in the 2024 Revolving Credit Facility) plus a margin of 1.375% to 2.875% per annum, with the margin in each of (i) or (ii) based on our applicable corporate credit rating at the time. As of June 30, 2025 and December 31, 2024, no amounts were drawn under the 2024 Revolving Credit Facility.</w:t>
      </w:r>
    </w:p>
    <w:p>
      <w:pPr>
        <w:spacing w:after="0" w:line="121"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the 2024 Revolving Credit Facility, we are required to pay a quarterly commitment fee on the average daily undrawn amount of 0.175% to 0.525%, based on the applicable corporate credit rating at the time. As of June 30, 2025, the applicable commitment fee was 0.225%. For the three and six months ended June 30, 2025, we recorded $0.1 million and $0.3 million, respectively, of commitment fees in interest expense.</w:t>
      </w:r>
    </w:p>
    <w:p>
      <w:pPr>
        <w:spacing w:after="0" w:line="110"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 xml:space="preserve">We incurred debt issuance costs of $2.1 million in connection with the 2024 Revolving Credit Facility and had $0.6 million of unamortized debt issuance costs associated with the 2021 Revolving Credit Facility remaining at the time of its replacement. Combined unamortized debt issuance costs are amortized through interest expense on a straight-line basis over the contractual life of the 2024 Revolving Credit Facility. At June 30, 2025 and December 31, 2024, remaining unamortized deferred debt issuance costs of $2.1 million and $2.3 million, respectively, were recorded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on our condensed consolidated balance sheets.</w:t>
      </w:r>
    </w:p>
    <w:p>
      <w:pPr>
        <w:spacing w:after="0" w:line="119"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the 2024 Revolving Credit Facility we are subject to certain covenants, including a maximum debt-to-total capitalization ratio of 35%, a minimum consolidated net worth requirement (as defined therein), and a requirement to maintain compliance with the financial standards prescribed by the private mortgage insurer eligibility requirements (PMIERs). We were in compliance with all covenants at June 30,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Reinsurance</w:t>
      </w:r>
    </w:p>
    <w:p>
      <w:pPr>
        <w:spacing w:after="0" w:line="17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effect of our reinsurance agreements on premiums written and earned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20" w:type="dxa"/>
            <w:vAlign w:val="bottom"/>
          </w:tcPr>
          <w:p>
            <w:pPr>
              <w:spacing w:after="0"/>
              <w:rPr>
                <w:sz w:val="16"/>
                <w:szCs w:val="16"/>
                <w:color w:val="auto"/>
              </w:rPr>
            </w:pPr>
          </w:p>
        </w:tc>
        <w:tc>
          <w:tcPr>
            <w:tcW w:w="25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5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ind w:left="7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premiums written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177,914</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166,183</w:t>
            </w:r>
          </w:p>
        </w:tc>
        <w:tc>
          <w:tcPr>
            <w:tcW w:w="8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352,329</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329,390</w:t>
            </w:r>
          </w:p>
        </w:tc>
      </w:tr>
      <w:tr>
        <w:trPr>
          <w:trHeight w:val="222"/>
        </w:trPr>
        <w:tc>
          <w:tcPr>
            <w:tcW w:w="5340" w:type="dxa"/>
            <w:vAlign w:val="bottom"/>
            <w:shd w:val="clear" w:color="auto" w:fill="CCEEFF"/>
          </w:tcPr>
          <w:p>
            <w:pPr>
              <w:ind w:left="140"/>
              <w:spacing w:after="0" w:line="222" w:lineRule="exact"/>
              <w:rPr>
                <w:sz w:val="20"/>
                <w:szCs w:val="20"/>
                <w:color w:val="auto"/>
              </w:rPr>
            </w:pPr>
            <w:r>
              <w:rPr>
                <w:rFonts w:ascii="Times New Roman" w:cs="Times New Roman" w:eastAsia="Times New Roman" w:hAnsi="Times New Roman"/>
                <w:sz w:val="17"/>
                <w:szCs w:val="17"/>
                <w:color w:val="auto"/>
              </w:rPr>
              <w:t xml:space="preserve">Ceded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(33,861)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(32,369)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(64,890)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(65,331)</w:t>
            </w:r>
          </w:p>
        </w:tc>
      </w:tr>
      <w:tr>
        <w:trPr>
          <w:trHeight w:val="215"/>
        </w:trPr>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premiums written</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144,053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133,814</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287,439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264,059</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8"/>
        </w:trPr>
        <w:tc>
          <w:tcPr>
            <w:tcW w:w="5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Direct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182,931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173,633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363,387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343,351</w:t>
            </w:r>
          </w:p>
        </w:tc>
      </w:tr>
      <w:tr>
        <w:trPr>
          <w:trHeight w:val="222"/>
        </w:trPr>
        <w:tc>
          <w:tcPr>
            <w:tcW w:w="5340" w:type="dxa"/>
            <w:vAlign w:val="bottom"/>
            <w:tcBorders>
              <w:bottom w:val="single" w:sz="8" w:color="CCEEFF"/>
            </w:tcBorders>
          </w:tcPr>
          <w:p>
            <w:pPr>
              <w:ind w:left="140"/>
              <w:spacing w:after="0" w:line="222" w:lineRule="exact"/>
              <w:rPr>
                <w:sz w:val="20"/>
                <w:szCs w:val="20"/>
                <w:color w:val="auto"/>
              </w:rPr>
            </w:pPr>
            <w:r>
              <w:rPr>
                <w:rFonts w:ascii="Times New Roman" w:cs="Times New Roman" w:eastAsia="Times New Roman" w:hAnsi="Times New Roman"/>
                <w:sz w:val="17"/>
                <w:szCs w:val="17"/>
                <w:color w:val="auto"/>
              </w:rPr>
              <w:t xml:space="preserve">Ceded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(33,865)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(32,465)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(64,955)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(65,526)</w:t>
            </w:r>
          </w:p>
        </w:tc>
      </w:tr>
      <w:tr>
        <w:trPr>
          <w:trHeight w:val="240"/>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premiums earned</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149,066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141,168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298,432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277,825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Net of profit commission.</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Quota Share Reinsurance</w:t>
      </w:r>
    </w:p>
    <w:p>
      <w:pPr>
        <w:spacing w:after="0" w:line="174"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NMIC is party to nine quota share reinsurance treaties – the 2016 QSR Transaction, effective September 1, 2016 and as modified April 1, 2025, the 2018 QSR Transaction, effective January 1, 2018 and as modified April 1, 2025, the 2020 QSR Transaction, effective April 1, 2020 and as amended January 1, 2024, the 2021 QSR Transaction, effective January 1, 2021 and as modified January 1, 2025, the 2022 QSR Transaction, effective October 1, 2021, the 2022 Seasoned QSR Transaction, effective July 1, 2022, the 2023 QSR Transaction, effective January 1, 2023, the 2024 QSR Transaction, effective January 1, 2024, and the 2025 QSR Transaction, effective January 1, 2025 – which we refer to collectively as the QSR Transactions.</w:t>
      </w:r>
    </w:p>
    <w:p>
      <w:pPr>
        <w:spacing w:after="0" w:line="119"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each of the QSR Transactions, NMIC cedes a proportional share of its risk on eligible policies to panels of third-party reinsurance providers in exchange for reimbursement of ceded claims and claim expenses on covered policies, a ceding commission and a profit commission (up to a contractually defined maximum) that varies directly and inversely with ceded claims.</w:t>
      </w:r>
    </w:p>
    <w:p>
      <w:pPr>
        <w:spacing w:after="0" w:line="110"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Each of the third-party reinsurance providers that is party to the QSR Transactions has an insurer financial strength rating of A- or better by S&amp;P, A.M.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Best or both.</w:t>
      </w:r>
    </w:p>
    <w:p>
      <w:pPr>
        <w:spacing w:after="0" w:line="15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contractual and optional termination dates, current cession rate, ceding commission and profit commission for each outstanding QSR Transaction. Current amounts are presented as of June 30, 2025.</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22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Optional</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Ceding</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Ceding</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Profit Commission</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Termination date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Termination date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2016</w:t>
            </w:r>
          </w:p>
        </w:tc>
        <w:tc>
          <w:tcPr>
            <w:tcW w:w="1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9/1/2016</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1/1/2013 – 12/31/2017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12/31/2027</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line="221" w:lineRule="exact"/>
              <w:rPr>
                <w:sz w:val="20"/>
                <w:szCs w:val="20"/>
                <w:color w:val="auto"/>
              </w:rPr>
            </w:pPr>
            <w:r>
              <w:rPr>
                <w:rFonts w:ascii="Times New Roman" w:cs="Times New Roman" w:eastAsia="Times New Roman" w:hAnsi="Times New Roman"/>
                <w:sz w:val="17"/>
                <w:szCs w:val="17"/>
                <w:color w:val="auto"/>
                <w:w w:val="93"/>
              </w:rPr>
              <w:t xml:space="preserve">12/31/2020 </w:t>
            </w:r>
            <w:r>
              <w:rPr>
                <w:rFonts w:ascii="Times New Roman" w:cs="Times New Roman" w:eastAsia="Times New Roman" w:hAnsi="Times New Roman"/>
                <w:sz w:val="21"/>
                <w:szCs w:val="21"/>
                <w:color w:val="auto"/>
                <w:w w:val="93"/>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up to 60%</w:t>
            </w:r>
          </w:p>
        </w:tc>
        <w:tc>
          <w:tcPr>
            <w:tcW w:w="0" w:type="dxa"/>
            <w:vAlign w:val="bottom"/>
          </w:tcPr>
          <w:p>
            <w:pPr>
              <w:spacing w:after="0"/>
              <w:rPr>
                <w:sz w:val="1"/>
                <w:szCs w:val="1"/>
                <w:color w:val="auto"/>
              </w:rPr>
            </w:pPr>
          </w:p>
        </w:tc>
      </w:tr>
      <w:tr>
        <w:trPr>
          <w:trHeight w:val="161"/>
        </w:trPr>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9"/>
              </w:rPr>
              <w:t>2018</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1/1/2018</w:t>
            </w:r>
          </w:p>
        </w:tc>
        <w:tc>
          <w:tcPr>
            <w:tcW w:w="22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7"/>
                <w:szCs w:val="17"/>
                <w:color w:val="auto"/>
                <w:w w:val="96"/>
              </w:rPr>
              <w:t>1/1/2018 – 12/31/2018</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12/31/2029</w:t>
            </w:r>
          </w:p>
        </w:tc>
        <w:tc>
          <w:tcPr>
            <w:tcW w:w="1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 xml:space="preserve">12/31/2022 </w:t>
            </w:r>
            <w:r>
              <w:rPr>
                <w:rFonts w:ascii="Times New Roman" w:cs="Times New Roman" w:eastAsia="Times New Roman" w:hAnsi="Times New Roman"/>
                <w:sz w:val="21"/>
                <w:szCs w:val="21"/>
                <w:color w:val="auto"/>
                <w:w w:val="93"/>
                <w:vertAlign w:val="superscript"/>
              </w:rPr>
              <w:t>(1)</w:t>
            </w: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4"/>
              </w:rPr>
              <w:t xml:space="preserve">21% 17% </w:t>
            </w:r>
            <w:r>
              <w:rPr>
                <w:rFonts w:ascii="Times New Roman" w:cs="Times New Roman" w:eastAsia="Times New Roman" w:hAnsi="Times New Roman"/>
                <w:sz w:val="21"/>
                <w:szCs w:val="21"/>
                <w:color w:val="auto"/>
                <w:w w:val="94"/>
                <w:vertAlign w:val="superscript"/>
              </w:rPr>
              <w:t>(5)</w:t>
            </w:r>
          </w:p>
        </w:tc>
        <w:tc>
          <w:tcPr>
            <w:tcW w:w="8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up to 61%</w:t>
            </w:r>
          </w:p>
        </w:tc>
        <w:tc>
          <w:tcPr>
            <w:tcW w:w="0" w:type="dxa"/>
            <w:vAlign w:val="bottom"/>
          </w:tcPr>
          <w:p>
            <w:pPr>
              <w:spacing w:after="0"/>
              <w:rPr>
                <w:sz w:val="1"/>
                <w:szCs w:val="1"/>
                <w:color w:val="auto"/>
              </w:rPr>
            </w:pPr>
          </w:p>
        </w:tc>
      </w:tr>
      <w:tr>
        <w:trPr>
          <w:trHeight w:val="218"/>
        </w:trPr>
        <w:tc>
          <w:tcPr>
            <w:tcW w:w="3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22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6"/>
              </w:rPr>
              <w:t>1/1/2019 – 12/31/2019</w:t>
            </w: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2020</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4/1/2020</w:t>
            </w:r>
          </w:p>
        </w:tc>
        <w:tc>
          <w:tcPr>
            <w:tcW w:w="2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6"/>
              </w:rPr>
              <w:t>4/1/2020 – 12/31/2020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12/31/2030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line="222" w:lineRule="exact"/>
              <w:rPr>
                <w:sz w:val="20"/>
                <w:szCs w:val="20"/>
                <w:color w:val="auto"/>
              </w:rPr>
            </w:pPr>
            <w:r>
              <w:rPr>
                <w:rFonts w:ascii="Times New Roman" w:cs="Times New Roman" w:eastAsia="Times New Roman" w:hAnsi="Times New Roman"/>
                <w:sz w:val="17"/>
                <w:szCs w:val="17"/>
                <w:color w:val="auto"/>
                <w:w w:val="93"/>
              </w:rPr>
              <w:t xml:space="preserve">12/31/2025 </w:t>
            </w:r>
            <w:r>
              <w:rPr>
                <w:rFonts w:ascii="Times New Roman" w:cs="Times New Roman" w:eastAsia="Times New Roman" w:hAnsi="Times New Roman"/>
                <w:sz w:val="21"/>
                <w:szCs w:val="21"/>
                <w:color w:val="auto"/>
                <w:w w:val="93"/>
                <w:vertAlign w:val="superscript"/>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21%</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up to 50%</w:t>
            </w:r>
          </w:p>
        </w:tc>
        <w:tc>
          <w:tcPr>
            <w:tcW w:w="0" w:type="dxa"/>
            <w:vAlign w:val="bottom"/>
          </w:tcPr>
          <w:p>
            <w:pPr>
              <w:spacing w:after="0"/>
              <w:rPr>
                <w:sz w:val="1"/>
                <w:szCs w:val="1"/>
                <w:color w:val="auto"/>
              </w:rPr>
            </w:pPr>
          </w:p>
        </w:tc>
      </w:tr>
      <w:tr>
        <w:trPr>
          <w:trHeight w:val="222"/>
        </w:trPr>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2021</w:t>
            </w: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1/1/2021</w:t>
            </w:r>
          </w:p>
        </w:tc>
        <w:tc>
          <w:tcPr>
            <w:tcW w:w="22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6"/>
              </w:rPr>
              <w:t>1/1/2021 – 10/30/2021</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12/31/2031</w:t>
            </w:r>
          </w:p>
        </w:tc>
        <w:tc>
          <w:tcPr>
            <w:tcW w:w="100" w:type="dxa"/>
            <w:vAlign w:val="bottom"/>
          </w:tcPr>
          <w:p>
            <w:pPr>
              <w:spacing w:after="0"/>
              <w:rPr>
                <w:sz w:val="19"/>
                <w:szCs w:val="19"/>
                <w:color w:val="auto"/>
              </w:rPr>
            </w:pPr>
          </w:p>
        </w:tc>
        <w:tc>
          <w:tcPr>
            <w:tcW w:w="1280" w:type="dxa"/>
            <w:vAlign w:val="bottom"/>
          </w:tcPr>
          <w:p>
            <w:pPr>
              <w:jc w:val="center"/>
              <w:spacing w:after="0" w:line="222" w:lineRule="exact"/>
              <w:rPr>
                <w:sz w:val="20"/>
                <w:szCs w:val="20"/>
                <w:color w:val="auto"/>
              </w:rPr>
            </w:pPr>
            <w:r>
              <w:rPr>
                <w:rFonts w:ascii="Times New Roman" w:cs="Times New Roman" w:eastAsia="Times New Roman" w:hAnsi="Times New Roman"/>
                <w:sz w:val="17"/>
                <w:szCs w:val="17"/>
                <w:color w:val="auto"/>
                <w:w w:val="93"/>
              </w:rPr>
              <w:t xml:space="preserve">12/31/2024 </w:t>
            </w:r>
            <w:r>
              <w:rPr>
                <w:rFonts w:ascii="Times New Roman" w:cs="Times New Roman" w:eastAsia="Times New Roman" w:hAnsi="Times New Roman"/>
                <w:sz w:val="21"/>
                <w:szCs w:val="21"/>
                <w:color w:val="auto"/>
                <w:w w:val="93"/>
                <w:vertAlign w:val="superscript"/>
              </w:rPr>
              <w:t>(1)</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22%</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up to 58%</w:t>
            </w:r>
          </w:p>
        </w:tc>
        <w:tc>
          <w:tcPr>
            <w:tcW w:w="0" w:type="dxa"/>
            <w:vAlign w:val="bottom"/>
          </w:tcPr>
          <w:p>
            <w:pPr>
              <w:spacing w:after="0"/>
              <w:rPr>
                <w:sz w:val="1"/>
                <w:szCs w:val="1"/>
                <w:color w:val="auto"/>
              </w:rPr>
            </w:pPr>
          </w:p>
        </w:tc>
      </w:tr>
      <w:tr>
        <w:trPr>
          <w:trHeight w:val="222"/>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2022</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10/1/2021</w:t>
            </w:r>
          </w:p>
        </w:tc>
        <w:tc>
          <w:tcPr>
            <w:tcW w:w="2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7"/>
              </w:rPr>
              <w:t>10/30/2021 – 12/31/2022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12/31/2032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line="222" w:lineRule="exact"/>
              <w:rPr>
                <w:sz w:val="20"/>
                <w:szCs w:val="20"/>
                <w:color w:val="auto"/>
              </w:rPr>
            </w:pPr>
            <w:r>
              <w:rPr>
                <w:rFonts w:ascii="Times New Roman" w:cs="Times New Roman" w:eastAsia="Times New Roman" w:hAnsi="Times New Roman"/>
                <w:sz w:val="17"/>
                <w:szCs w:val="17"/>
                <w:color w:val="auto"/>
                <w:w w:val="93"/>
              </w:rPr>
              <w:t xml:space="preserve">12/31/2024 </w:t>
            </w:r>
            <w:r>
              <w:rPr>
                <w:rFonts w:ascii="Times New Roman" w:cs="Times New Roman" w:eastAsia="Times New Roman" w:hAnsi="Times New Roman"/>
                <w:sz w:val="21"/>
                <w:szCs w:val="21"/>
                <w:color w:val="auto"/>
                <w:w w:val="93"/>
                <w:vertAlign w:val="superscript"/>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up to 62%</w:t>
            </w:r>
          </w:p>
        </w:tc>
        <w:tc>
          <w:tcPr>
            <w:tcW w:w="0" w:type="dxa"/>
            <w:vAlign w:val="bottom"/>
          </w:tcPr>
          <w:p>
            <w:pPr>
              <w:spacing w:after="0"/>
              <w:rPr>
                <w:sz w:val="1"/>
                <w:szCs w:val="1"/>
                <w:color w:val="auto"/>
              </w:rPr>
            </w:pPr>
          </w:p>
        </w:tc>
      </w:tr>
      <w:tr>
        <w:trPr>
          <w:trHeight w:val="161"/>
        </w:trPr>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9"/>
              </w:rPr>
              <w:t>2022</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96"/>
              </w:rPr>
              <w:t>Seasoned QSR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7/1/2022</w:t>
            </w:r>
          </w:p>
        </w:tc>
        <w:tc>
          <w:tcPr>
            <w:tcW w:w="22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7"/>
                <w:szCs w:val="17"/>
                <w:color w:val="auto"/>
                <w:w w:val="96"/>
              </w:rPr>
              <w:t>1/1/2013 – 12/31/2016</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6/30/2032</w:t>
            </w:r>
          </w:p>
        </w:tc>
        <w:tc>
          <w:tcPr>
            <w:tcW w:w="1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 xml:space="preserve">6/30/2025 </w:t>
            </w:r>
            <w:r>
              <w:rPr>
                <w:rFonts w:ascii="Times New Roman" w:cs="Times New Roman" w:eastAsia="Times New Roman" w:hAnsi="Times New Roman"/>
                <w:sz w:val="21"/>
                <w:szCs w:val="21"/>
                <w:color w:val="auto"/>
                <w:w w:val="93"/>
                <w:vertAlign w:val="superscript"/>
              </w:rPr>
              <w:t>(3)</w:t>
            </w: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95%</w:t>
            </w:r>
          </w:p>
        </w:tc>
        <w:tc>
          <w:tcPr>
            <w:tcW w:w="8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35%</w:t>
            </w:r>
          </w:p>
        </w:tc>
        <w:tc>
          <w:tcPr>
            <w:tcW w:w="1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up to 55%</w:t>
            </w:r>
          </w:p>
        </w:tc>
        <w:tc>
          <w:tcPr>
            <w:tcW w:w="0" w:type="dxa"/>
            <w:vAlign w:val="bottom"/>
          </w:tcPr>
          <w:p>
            <w:pPr>
              <w:spacing w:after="0"/>
              <w:rPr>
                <w:sz w:val="1"/>
                <w:szCs w:val="1"/>
                <w:color w:val="auto"/>
              </w:rPr>
            </w:pPr>
          </w:p>
        </w:tc>
      </w:tr>
      <w:tr>
        <w:trPr>
          <w:trHeight w:val="218"/>
        </w:trPr>
        <w:tc>
          <w:tcPr>
            <w:tcW w:w="3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22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7/1/2019 –3/31/2020</w:t>
            </w: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2023</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1/1/2023</w:t>
            </w:r>
          </w:p>
        </w:tc>
        <w:tc>
          <w:tcPr>
            <w:tcW w:w="2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6"/>
              </w:rPr>
              <w:t>1/1/2023 – 12/31/2023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12/31/2033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line="222" w:lineRule="exact"/>
              <w:rPr>
                <w:sz w:val="20"/>
                <w:szCs w:val="20"/>
                <w:color w:val="auto"/>
              </w:rPr>
            </w:pPr>
            <w:r>
              <w:rPr>
                <w:rFonts w:ascii="Times New Roman" w:cs="Times New Roman" w:eastAsia="Times New Roman" w:hAnsi="Times New Roman"/>
                <w:sz w:val="17"/>
                <w:szCs w:val="17"/>
                <w:color w:val="auto"/>
                <w:w w:val="93"/>
              </w:rPr>
              <w:t xml:space="preserve">12/31/2025 </w:t>
            </w:r>
            <w:r>
              <w:rPr>
                <w:rFonts w:ascii="Times New Roman" w:cs="Times New Roman" w:eastAsia="Times New Roman" w:hAnsi="Times New Roman"/>
                <w:sz w:val="21"/>
                <w:szCs w:val="21"/>
                <w:color w:val="auto"/>
                <w:w w:val="93"/>
                <w:vertAlign w:val="superscript"/>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up to 62%</w:t>
            </w:r>
          </w:p>
        </w:tc>
        <w:tc>
          <w:tcPr>
            <w:tcW w:w="0" w:type="dxa"/>
            <w:vAlign w:val="bottom"/>
          </w:tcPr>
          <w:p>
            <w:pPr>
              <w:spacing w:after="0"/>
              <w:rPr>
                <w:sz w:val="1"/>
                <w:szCs w:val="1"/>
                <w:color w:val="auto"/>
              </w:rPr>
            </w:pPr>
          </w:p>
        </w:tc>
      </w:tr>
      <w:tr>
        <w:trPr>
          <w:trHeight w:val="222"/>
        </w:trPr>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2024</w:t>
            </w: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1/1/2024</w:t>
            </w:r>
          </w:p>
        </w:tc>
        <w:tc>
          <w:tcPr>
            <w:tcW w:w="22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6"/>
              </w:rPr>
              <w:t>1/1/2024 – 12/31/2024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12/31/2034</w:t>
            </w:r>
          </w:p>
        </w:tc>
        <w:tc>
          <w:tcPr>
            <w:tcW w:w="100" w:type="dxa"/>
            <w:vAlign w:val="bottom"/>
          </w:tcPr>
          <w:p>
            <w:pPr>
              <w:spacing w:after="0"/>
              <w:rPr>
                <w:sz w:val="19"/>
                <w:szCs w:val="19"/>
                <w:color w:val="auto"/>
              </w:rPr>
            </w:pPr>
          </w:p>
        </w:tc>
        <w:tc>
          <w:tcPr>
            <w:tcW w:w="1280" w:type="dxa"/>
            <w:vAlign w:val="bottom"/>
          </w:tcPr>
          <w:p>
            <w:pPr>
              <w:jc w:val="center"/>
              <w:spacing w:after="0" w:line="222" w:lineRule="exact"/>
              <w:rPr>
                <w:sz w:val="20"/>
                <w:szCs w:val="20"/>
                <w:color w:val="auto"/>
              </w:rPr>
            </w:pPr>
            <w:r>
              <w:rPr>
                <w:rFonts w:ascii="Times New Roman" w:cs="Times New Roman" w:eastAsia="Times New Roman" w:hAnsi="Times New Roman"/>
                <w:sz w:val="17"/>
                <w:szCs w:val="17"/>
                <w:color w:val="auto"/>
                <w:w w:val="93"/>
              </w:rPr>
              <w:t xml:space="preserve">12/31/2027 </w:t>
            </w:r>
            <w:r>
              <w:rPr>
                <w:rFonts w:ascii="Times New Roman" w:cs="Times New Roman" w:eastAsia="Times New Roman" w:hAnsi="Times New Roman"/>
                <w:sz w:val="21"/>
                <w:szCs w:val="21"/>
                <w:color w:val="auto"/>
                <w:w w:val="93"/>
                <w:vertAlign w:val="superscript"/>
              </w:rPr>
              <w:t>(1)</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up to 56%</w:t>
            </w:r>
          </w:p>
        </w:tc>
        <w:tc>
          <w:tcPr>
            <w:tcW w:w="0" w:type="dxa"/>
            <w:vAlign w:val="bottom"/>
          </w:tcPr>
          <w:p>
            <w:pPr>
              <w:spacing w:after="0"/>
              <w:rPr>
                <w:sz w:val="1"/>
                <w:szCs w:val="1"/>
                <w:color w:val="auto"/>
              </w:rPr>
            </w:pPr>
          </w:p>
        </w:tc>
      </w:tr>
      <w:tr>
        <w:trPr>
          <w:trHeight w:val="222"/>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2025</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QSR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1/1/2025</w:t>
            </w:r>
          </w:p>
        </w:tc>
        <w:tc>
          <w:tcPr>
            <w:tcW w:w="2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6"/>
              </w:rPr>
              <w:t>1/1/2025 – 12/31/2025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12/31/2035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line="222" w:lineRule="exact"/>
              <w:rPr>
                <w:sz w:val="20"/>
                <w:szCs w:val="20"/>
                <w:color w:val="auto"/>
              </w:rPr>
            </w:pPr>
            <w:r>
              <w:rPr>
                <w:rFonts w:ascii="Times New Roman" w:cs="Times New Roman" w:eastAsia="Times New Roman" w:hAnsi="Times New Roman"/>
                <w:sz w:val="17"/>
                <w:szCs w:val="17"/>
                <w:color w:val="auto"/>
                <w:w w:val="93"/>
              </w:rPr>
              <w:t xml:space="preserve">12/31/2027 </w:t>
            </w:r>
            <w:r>
              <w:rPr>
                <w:rFonts w:ascii="Times New Roman" w:cs="Times New Roman" w:eastAsia="Times New Roman" w:hAnsi="Times New Roman"/>
                <w:sz w:val="21"/>
                <w:szCs w:val="21"/>
                <w:color w:val="auto"/>
                <w:w w:val="93"/>
                <w:vertAlign w:val="superscript"/>
              </w:rPr>
              <w:t>(4)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up to 62%</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hanging="315"/>
        <w:spacing w:after="0" w:line="252" w:lineRule="auto"/>
        <w:tabs>
          <w:tab w:leader="none" w:pos="33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has the option, based on certain conditions and subject to a termination fee, to terminate the agreement as of the optional termination date, or at the end of any calendar quarter thereafter which could result in NMIC recapturing the related risk.</w:t>
      </w:r>
    </w:p>
    <w:p>
      <w:pPr>
        <w:ind w:left="320" w:hanging="315"/>
        <w:spacing w:after="0" w:line="253" w:lineRule="auto"/>
        <w:tabs>
          <w:tab w:leader="none" w:pos="34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has the option, based on certain conditions and subject to a termination fee, to terminate the agreement as of the optional termination, or semi-annually thereafter, which could result in NMIC recapturing the related risk.</w:t>
      </w:r>
    </w:p>
    <w:p>
      <w:pPr>
        <w:ind w:left="320" w:hanging="315"/>
        <w:spacing w:after="0" w:line="246" w:lineRule="auto"/>
        <w:tabs>
          <w:tab w:leader="none" w:pos="31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has the option, based on certain conditions, to terminate the agreement as of June 30, 2025 or quarterly thereafter through December 31, 2027 with the payment of a termination fee, and as of March 31, 2028 or quarterly thereafter without the payment of a termination fee. Such termination could result in NMIC recapturing the related risk.</w:t>
      </w:r>
    </w:p>
    <w:p>
      <w:pPr>
        <w:ind w:left="320" w:hanging="315"/>
        <w:spacing w:after="0" w:line="250" w:lineRule="auto"/>
        <w:tabs>
          <w:tab w:leader="none" w:pos="32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also holds a clean-up call that provides for termination of the agreement at its election at any time on or after the date the risk on remaining covered policies falls to 10% or less of the risk on covered policies at December 31, 2025.</w:t>
      </w:r>
    </w:p>
    <w:p>
      <w:pPr>
        <w:ind w:left="300" w:hanging="295"/>
        <w:spacing w:after="0"/>
        <w:tabs>
          <w:tab w:leader="none" w:pos="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terms of the 2018 QSR Transaction, NMIC cedes premiums earned related to 21% of the risk on eligible policies written in 2018 and 17% of the risk on eligible policies written in 2019.</w:t>
      </w:r>
    </w:p>
    <w:p>
      <w:pPr>
        <w:spacing w:after="0" w:line="234"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212529"/>
        </w:rPr>
        <w:t xml:space="preserve">Effective April 1, 2025, </w:t>
      </w:r>
      <w:r>
        <w:rPr>
          <w:rFonts w:ascii="Times New Roman" w:cs="Times New Roman" w:eastAsia="Times New Roman" w:hAnsi="Times New Roman"/>
          <w:sz w:val="17"/>
          <w:szCs w:val="17"/>
          <w:color w:val="000000"/>
        </w:rPr>
        <w:t>NMIC terminated its engagement with substantially all reinsurers under the 2016 QSR Transaction by mutual agreement on a</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 xml:space="preserve">cut-off basis. Upon termination, NMIC recaptured approximately $180.1 million of previously ceded primary risk-in-force. The cession rate under the 2016 QSR Transaction decreased from 20% to 1% of the remaining at-risk portfolio. </w:t>
      </w:r>
      <w:r>
        <w:rPr>
          <w:rFonts w:ascii="Times New Roman" w:cs="Times New Roman" w:eastAsia="Times New Roman" w:hAnsi="Times New Roman"/>
          <w:sz w:val="17"/>
          <w:szCs w:val="17"/>
          <w:color w:val="212529"/>
        </w:rPr>
        <w:t>Effective July 1, 2025,</w:t>
      </w:r>
      <w:r>
        <w:rPr>
          <w:rFonts w:ascii="Times New Roman" w:cs="Times New Roman" w:eastAsia="Times New Roman" w:hAnsi="Times New Roman"/>
          <w:sz w:val="17"/>
          <w:szCs w:val="17"/>
          <w:color w:val="000000"/>
        </w:rPr>
        <w:t xml:space="preserve"> the remaining coverage under the 2016 QSR Transaction was terminated by mutual agreement on a cut-off basis.</w:t>
      </w:r>
    </w:p>
    <w:p>
      <w:pPr>
        <w:spacing w:after="0" w:line="130"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Effective April 1, 2025, NMIC terminated one reinsurer under the 2018 QSR Transaction by mutual agreement on a cut-off basis, resulting in a recapture of approximately $59.7 million of previously ceded primary RIF to that reinsurer. The cession rate under the 2018 QSR Transaction decreased from 24% to 21% on covered policies written in 2018, and from 20% to 17% on covered policies written in 2019.</w:t>
      </w:r>
    </w:p>
    <w:p>
      <w:pPr>
        <w:spacing w:after="0" w:line="123"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Effective June 30, 2025, NMIC elected to selectively terminate its engagement with certain reinsurers under the 2021 QSR Transaction and concurrently entered into an amended agreement effective July 1, 2025 (the Amended 2021 QSR Transaction) with the remaining reinsurance participants. Under the Amended 2021 QSR Transaction, NMIC will cede premiums earned related to 20% of the risk on eligible policies. NMIC will receive an enhanced ceding commission under the Amended 2021 QSR Transaction.</w:t>
      </w:r>
    </w:p>
    <w:p>
      <w:pPr>
        <w:spacing w:after="0" w:line="146" w:lineRule="exact"/>
        <w:rPr>
          <w:sz w:val="20"/>
          <w:szCs w:val="20"/>
          <w:color w:val="auto"/>
        </w:rPr>
      </w:pPr>
    </w:p>
    <w:p>
      <w:pPr>
        <w:jc w:val="both"/>
        <w:ind w:firstLine="627"/>
        <w:spacing w:after="0" w:line="246" w:lineRule="auto"/>
        <w:rPr>
          <w:sz w:val="20"/>
          <w:szCs w:val="20"/>
          <w:color w:val="auto"/>
        </w:rPr>
      </w:pPr>
      <w:r>
        <w:rPr>
          <w:rFonts w:ascii="Times New Roman" w:cs="Times New Roman" w:eastAsia="Times New Roman" w:hAnsi="Times New Roman"/>
          <w:sz w:val="17"/>
          <w:szCs w:val="17"/>
          <w:color w:val="auto"/>
        </w:rPr>
        <w:t>Concurrent with the placement of the 2025 QSR Transaction, NMIC entered into two additional sequential quota share reinsurance treaties that will provide coverage for mortgage insurance policies to be written in 2026 and 2027 (the 2026 QSR Transaction and 2027 QSR Transaction). Under the terms of the 2026 QSR Transaction, NMIC will cede premiums earned related to 20% of the risk on eligible policies written between January 1, 2026 and December 31, 2026. Under the terms of the 2027 QSR Transaction, NMIC will cede premiums earned related to 12% of the risk on eligible policies written between January 1, 2027 and December 31,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amounts related to the QSR Transactions: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20" w:type="dxa"/>
            <w:vAlign w:val="bottom"/>
          </w:tcPr>
          <w:p>
            <w:pPr>
              <w:spacing w:after="0"/>
              <w:rPr>
                <w:sz w:val="16"/>
                <w:szCs w:val="16"/>
                <w:color w:val="auto"/>
              </w:rPr>
            </w:pPr>
          </w:p>
        </w:tc>
        <w:tc>
          <w:tcPr>
            <w:tcW w:w="270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of and for the six months ended</w:t>
            </w:r>
          </w:p>
        </w:tc>
      </w:tr>
      <w:tr>
        <w:trPr>
          <w:trHeight w:val="23"/>
        </w:trPr>
        <w:tc>
          <w:tcPr>
            <w:tcW w:w="5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5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89"/>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jc w:val="right"/>
              <w:ind w:right="99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8"/>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Ceded risk-in-force</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12,764,708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12,815,434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12,764,708</w:t>
            </w:r>
          </w:p>
        </w:tc>
        <w:tc>
          <w:tcPr>
            <w:tcW w:w="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12,815,434</w:t>
            </w:r>
          </w:p>
        </w:tc>
      </w:tr>
      <w:tr>
        <w:trPr>
          <w:trHeight w:val="222"/>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Ceded premiums earned</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(40,227)</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(81,238)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(82,824)</w:t>
            </w:r>
          </w:p>
        </w:tc>
      </w:tr>
      <w:tr>
        <w:trPr>
          <w:trHeight w:val="222"/>
        </w:trPr>
        <w:tc>
          <w:tcPr>
            <w:tcW w:w="53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Ceded claims and claim expenses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3,253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3,776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r>
      <w:tr>
        <w:trPr>
          <w:trHeight w:val="222"/>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Ceding commission earned</w:t>
            </w:r>
          </w:p>
        </w:tc>
        <w:tc>
          <w:tcPr>
            <w:tcW w:w="20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9,669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19,437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20,514</w:t>
            </w:r>
          </w:p>
        </w:tc>
      </w:tr>
      <w:tr>
        <w:trPr>
          <w:trHeight w:val="22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Profit commission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19,958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43,356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47,758</w:t>
            </w:r>
          </w:p>
        </w:tc>
      </w:tr>
    </w:tbl>
    <w:p>
      <w:pPr>
        <w:spacing w:after="0" w:line="17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Includes a $0.3 million termination fee for the three and six months ended June 30, 2025 incurred in connection with the amendments of the 2016, 2018 and 2021 QSR Transactions.</w:t>
      </w:r>
    </w:p>
    <w:p>
      <w:pPr>
        <w:spacing w:after="0" w:line="155" w:lineRule="exact"/>
        <w:rPr>
          <w:sz w:val="20"/>
          <w:szCs w:val="20"/>
          <w:color w:val="auto"/>
        </w:rPr>
      </w:pPr>
    </w:p>
    <w:p>
      <w:pPr>
        <w:jc w:val="both"/>
        <w:ind w:firstLine="627"/>
        <w:spacing w:after="0" w:line="270" w:lineRule="auto"/>
        <w:rPr>
          <w:sz w:val="20"/>
          <w:szCs w:val="20"/>
          <w:color w:val="auto"/>
        </w:rPr>
      </w:pPr>
      <w:r>
        <w:rPr>
          <w:rFonts w:ascii="Times New Roman" w:cs="Times New Roman" w:eastAsia="Times New Roman" w:hAnsi="Times New Roman"/>
          <w:sz w:val="17"/>
          <w:szCs w:val="17"/>
          <w:color w:val="auto"/>
        </w:rPr>
        <w:t xml:space="preserve">Ceded premiums written under the 2016 QSR Transaction are recorded as prepaid reinsurance premiums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on our consolidated balance sheets and amortized to ceded premiums earned in a manner consistent with the recognition of revenue on direct premiums. Under all other QSR Transactions, premiums are ceded on an earned basis as defined in the agreement. Ceded claims and claim expenses under each of the QSR Transactions reduce the respective profit commission received by NMIC on a dollar-for-dollar basis.</w:t>
      </w:r>
    </w:p>
    <w:p>
      <w:pPr>
        <w:spacing w:after="0" w:line="116"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are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$0.1 million and $1.1 million as of June 30, 2025 and December 31, 2024, respectively.</w:t>
      </w:r>
    </w:p>
    <w:p>
      <w:pPr>
        <w:spacing w:after="0" w:line="119"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In accordance with the terms of the 2018, 2020, 2021, 2022, 2022 Seasoned, 2023, 2024 and 2025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2022, 2022 Seasoned, 2023, 2024 and 2025 QSR Transactions was $32.7 million and $31.2 million as of June 30, 2025 and December 31, 2024, respectively.</w:t>
      </w:r>
    </w:p>
    <w:p>
      <w:pPr>
        <w:spacing w:after="0" w:line="33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 if we do not expect to recover amounts due from one or more of our reinsurance counterparties, and report our reinsurance recoverable net of such allowance, if any. We actively monitor the counterparty credit profiles of our reinsurers and each is required to partially collateralize its obligations under the terms of the QSR Transactions. The allowance for credit loss established against our reinsurance recoverable was deemed immaterial as of June 30, 2025 and December 31, 2024.</w:t>
      </w:r>
    </w:p>
    <w:p>
      <w:pPr>
        <w:spacing w:after="0" w:line="3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Excess-of-loss Reinsurance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Traditional Reinsurance</w:t>
      </w:r>
    </w:p>
    <w:p>
      <w:pPr>
        <w:spacing w:after="0" w:line="172"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NMIC is party to seven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the 2024 XOL Transaction, effective January 1, 2024, and the 2025 XOL Transaction, effective January 1, 2025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Under the terms of the XOL Transactions, NMIC makes risk premium payments to its third-party reinsurance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for the outstanding reinsurance coverage amount and ceded aggregate premiums of $10.4 million and $20.5 million during the three and six months ended June 30, 2025, respectively, and $9.4 million and $18.6 million during the three and six months ended June 30, 2024, respectively. NMIC applies claims paid on covered policies against its first layer aggregate retained loss exposure under each agreement. NMIC did not cede any incurred losses on covered policies under the XOL Transactions during the three and six months ended June 30, 2025 and 2024, as the aggregate first layer risk retention for each agreement was not exhausted during such periods.</w:t>
      </w:r>
    </w:p>
    <w:p>
      <w:pPr>
        <w:spacing w:after="0" w:line="119"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2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Each of the third-party reinsurance providers that is party to the XOL Transactions has an insurer financial strength rating of A- or better by S&amp;P Global Ratings (S&amp;P), A.M. Best Company Inc. (A.M. Best) or both.</w:t>
      </w:r>
    </w:p>
    <w:p>
      <w:pPr>
        <w:spacing w:after="0" w:line="9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June 30,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40" w:type="dxa"/>
            <w:vAlign w:val="bottom"/>
          </w:tcPr>
          <w:p>
            <w:pPr>
              <w:spacing w:after="0"/>
              <w:rPr>
                <w:sz w:val="13"/>
                <w:szCs w:val="13"/>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Initial First Layer</w:t>
            </w:r>
          </w:p>
        </w:tc>
        <w:tc>
          <w:tcPr>
            <w:tcW w:w="100" w:type="dxa"/>
            <w:vAlign w:val="bottom"/>
          </w:tcPr>
          <w:p>
            <w:pPr>
              <w:spacing w:after="0"/>
              <w:rPr>
                <w:sz w:val="13"/>
                <w:szCs w:val="13"/>
                <w:color w:val="auto"/>
              </w:rPr>
            </w:pPr>
          </w:p>
        </w:tc>
        <w:tc>
          <w:tcPr>
            <w:tcW w:w="132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7"/>
              </w:rPr>
              <w:t>Current First Layer</w:t>
            </w:r>
          </w:p>
        </w:tc>
        <w:tc>
          <w:tcPr>
            <w:tcW w:w="0" w:type="dxa"/>
            <w:vAlign w:val="bottom"/>
          </w:tcPr>
          <w:p>
            <w:pPr>
              <w:spacing w:after="0"/>
              <w:rPr>
                <w:sz w:val="1"/>
                <w:szCs w:val="1"/>
                <w:color w:val="auto"/>
              </w:rPr>
            </w:pPr>
          </w:p>
        </w:tc>
      </w:tr>
      <w:tr>
        <w:trPr>
          <w:trHeight w:val="142"/>
        </w:trPr>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5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2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25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Retained Loss</w:t>
            </w:r>
          </w:p>
        </w:tc>
        <w:tc>
          <w:tcPr>
            <w:tcW w:w="100" w:type="dxa"/>
            <w:vAlign w:val="bottom"/>
          </w:tcPr>
          <w:p>
            <w:pPr>
              <w:spacing w:after="0"/>
              <w:rPr>
                <w:sz w:val="17"/>
                <w:szCs w:val="17"/>
                <w:color w:val="auto"/>
              </w:rPr>
            </w:pPr>
          </w:p>
        </w:tc>
        <w:tc>
          <w:tcPr>
            <w:tcW w:w="1320" w:type="dxa"/>
            <w:vAlign w:val="bottom"/>
          </w:tcPr>
          <w:p>
            <w:pPr>
              <w:jc w:val="right"/>
              <w:ind w:right="137"/>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Retained Loss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15"/>
        </w:trPr>
        <w:tc>
          <w:tcPr>
            <w:tcW w:w="1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2022-1 XOL</w:t>
            </w: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c>
          <w:tcPr>
            <w:tcW w:w="2400" w:type="dxa"/>
            <w:vAlign w:val="bottom"/>
            <w:tcBorders>
              <w:top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 xml:space="preserve">10/1/2021 – 3/31/2022 </w:t>
            </w:r>
            <w:r>
              <w:rPr>
                <w:rFonts w:ascii="Times New Roman" w:cs="Times New Roman" w:eastAsia="Times New Roman" w:hAnsi="Times New Roman"/>
                <w:sz w:val="22"/>
                <w:szCs w:val="22"/>
                <w:color w:val="auto"/>
                <w:w w:val="99"/>
                <w:vertAlign w:val="superscript"/>
              </w:rPr>
              <w:t>(2)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162,837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133,366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130,834</w:t>
            </w:r>
          </w:p>
        </w:tc>
        <w:tc>
          <w:tcPr>
            <w:tcW w:w="0" w:type="dxa"/>
            <w:vAlign w:val="bottom"/>
          </w:tcPr>
          <w:p>
            <w:pPr>
              <w:spacing w:after="0"/>
              <w:rPr>
                <w:sz w:val="1"/>
                <w:szCs w:val="1"/>
                <w:color w:val="auto"/>
              </w:rPr>
            </w:pPr>
          </w:p>
        </w:tc>
      </w:tr>
      <w:tr>
        <w:trPr>
          <w:trHeight w:val="222"/>
        </w:trPr>
        <w:tc>
          <w:tcPr>
            <w:tcW w:w="1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2022-2 XOL</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1, 2022</w:t>
            </w:r>
          </w:p>
        </w:tc>
        <w:tc>
          <w:tcPr>
            <w:tcW w:w="2500" w:type="dxa"/>
            <w:vAlign w:val="bottom"/>
            <w:gridSpan w:val="2"/>
          </w:tcPr>
          <w:p>
            <w:pPr>
              <w:jc w:val="center"/>
              <w:ind w:right="140"/>
              <w:spacing w:after="0" w:line="222" w:lineRule="exact"/>
              <w:rPr>
                <w:sz w:val="20"/>
                <w:szCs w:val="20"/>
                <w:color w:val="auto"/>
              </w:rPr>
            </w:pPr>
            <w:r>
              <w:rPr>
                <w:rFonts w:ascii="Times New Roman" w:cs="Times New Roman" w:eastAsia="Times New Roman" w:hAnsi="Times New Roman"/>
                <w:sz w:val="17"/>
                <w:szCs w:val="17"/>
                <w:color w:val="auto"/>
              </w:rPr>
              <w:t xml:space="preserve">4/1/2022 – 6/30/2022 </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75,934</w:t>
            </w:r>
          </w:p>
        </w:tc>
        <w:tc>
          <w:tcPr>
            <w:tcW w:w="0" w:type="dxa"/>
            <w:vAlign w:val="bottom"/>
          </w:tcPr>
          <w:p>
            <w:pPr>
              <w:spacing w:after="0"/>
              <w:rPr>
                <w:sz w:val="1"/>
                <w:szCs w:val="1"/>
                <w:color w:val="auto"/>
              </w:rPr>
            </w:pPr>
          </w:p>
        </w:tc>
      </w:tr>
      <w:tr>
        <w:trPr>
          <w:trHeight w:val="222"/>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2022-3 XOL</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1, 2022</w:t>
            </w:r>
          </w:p>
        </w:tc>
        <w:tc>
          <w:tcPr>
            <w:tcW w:w="2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7/1/2022 – 9/30/2022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103,453</w:t>
            </w:r>
          </w:p>
        </w:tc>
        <w:tc>
          <w:tcPr>
            <w:tcW w:w="0" w:type="dxa"/>
            <w:vAlign w:val="bottom"/>
          </w:tcPr>
          <w:p>
            <w:pPr>
              <w:spacing w:after="0"/>
              <w:rPr>
                <w:sz w:val="1"/>
                <w:szCs w:val="1"/>
                <w:color w:val="auto"/>
              </w:rPr>
            </w:pPr>
          </w:p>
        </w:tc>
      </w:tr>
      <w:tr>
        <w:trPr>
          <w:trHeight w:val="222"/>
        </w:trPr>
        <w:tc>
          <w:tcPr>
            <w:tcW w:w="1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2023-1 XOL</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1, 2023</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10/1/2022 – 6/30/2023</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144,245</w:t>
            </w:r>
          </w:p>
        </w:tc>
        <w:tc>
          <w:tcPr>
            <w:tcW w:w="0" w:type="dxa"/>
            <w:vAlign w:val="bottom"/>
          </w:tcPr>
          <w:p>
            <w:pPr>
              <w:spacing w:after="0"/>
              <w:rPr>
                <w:sz w:val="1"/>
                <w:szCs w:val="1"/>
                <w:color w:val="auto"/>
              </w:rPr>
            </w:pPr>
          </w:p>
        </w:tc>
      </w:tr>
      <w:tr>
        <w:trPr>
          <w:trHeight w:val="222"/>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2023-2 XOL</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1, 2023</w:t>
            </w:r>
          </w:p>
        </w:tc>
        <w:tc>
          <w:tcPr>
            <w:tcW w:w="2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7/1/2023 – 12/31/2023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136,240</w:t>
            </w:r>
          </w:p>
        </w:tc>
        <w:tc>
          <w:tcPr>
            <w:tcW w:w="0" w:type="dxa"/>
            <w:vAlign w:val="bottom"/>
          </w:tcPr>
          <w:p>
            <w:pPr>
              <w:spacing w:after="0"/>
              <w:rPr>
                <w:sz w:val="1"/>
                <w:szCs w:val="1"/>
                <w:color w:val="auto"/>
              </w:rPr>
            </w:pPr>
          </w:p>
        </w:tc>
      </w:tr>
      <w:tr>
        <w:trPr>
          <w:trHeight w:val="222"/>
        </w:trPr>
        <w:tc>
          <w:tcPr>
            <w:tcW w:w="1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 XOL</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1, 2024</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1/1/2024 – 12/31/2024</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312,172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312,124</w:t>
            </w:r>
          </w:p>
        </w:tc>
        <w:tc>
          <w:tcPr>
            <w:tcW w:w="0" w:type="dxa"/>
            <w:vAlign w:val="bottom"/>
          </w:tcPr>
          <w:p>
            <w:pPr>
              <w:spacing w:after="0"/>
              <w:rPr>
                <w:sz w:val="1"/>
                <w:szCs w:val="1"/>
                <w:color w:val="auto"/>
              </w:rPr>
            </w:pPr>
          </w:p>
        </w:tc>
      </w:tr>
      <w:tr>
        <w:trPr>
          <w:trHeight w:val="222"/>
        </w:trPr>
        <w:tc>
          <w:tcPr>
            <w:tcW w:w="18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2025 XOL</w:t>
            </w:r>
            <w:r>
              <w:rPr>
                <w:rFonts w:ascii="Times New Roman" w:cs="Times New Roman" w:eastAsia="Times New Roman" w:hAnsi="Times New Roman"/>
                <w:sz w:val="22"/>
                <w:szCs w:val="22"/>
                <w:color w:val="auto"/>
                <w:vertAlign w:val="superscript"/>
              </w:rPr>
              <w:t>(4)</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1, 2025</w:t>
            </w:r>
          </w:p>
        </w:tc>
        <w:tc>
          <w:tcPr>
            <w:tcW w:w="2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1/1/2025 – 12/31/2025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147,520</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hanging="315"/>
        <w:spacing w:after="0" w:line="252" w:lineRule="auto"/>
        <w:tabs>
          <w:tab w:leader="none" w:pos="3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00" w:hanging="295"/>
        <w:spacing w:after="0"/>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spacing w:after="0" w:line="8" w:lineRule="exact"/>
        <w:rPr>
          <w:rFonts w:ascii="Times New Roman" w:cs="Times New Roman" w:eastAsia="Times New Roman" w:hAnsi="Times New Roman"/>
          <w:sz w:val="14"/>
          <w:szCs w:val="14"/>
          <w:color w:val="auto"/>
        </w:rPr>
      </w:pPr>
    </w:p>
    <w:p>
      <w:pPr>
        <w:ind w:left="320" w:hanging="315"/>
        <w:spacing w:after="0" w:line="266" w:lineRule="auto"/>
        <w:tabs>
          <w:tab w:leader="none" w:pos="30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reinsurance coverage, current reinsurance coverage, initial first layer retained loss and current first layer retained loss for the 2025 XOL Transaction will increase as incremental covered production is ceded under the transaction through December 31, 2025.</w:t>
      </w:r>
    </w:p>
    <w:p>
      <w:pPr>
        <w:spacing w:after="0" w:line="119"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7"/>
          <w:szCs w:val="17"/>
          <w:color w:val="auto"/>
        </w:rPr>
        <w:t>Concurrent with the placement of the 2025 XOL, NMIC entered into an excess-of-loss reinsurance treaty that will provide aggregate coverage for mortgage insurance policies to be written in 2026 (the 2026 XOL Transaction). Under the terms of the agreement, NMIC will retain a first layer of aggregate loss exposure on covered policies and its reinsurance counterparties will then provide second layer loss protection up to a defined reinsurance coverage amount of $164.2 million. NMIC retains losses in excess of the respective reinsurance coverage amounts.</w:t>
      </w:r>
    </w:p>
    <w:p>
      <w:pPr>
        <w:spacing w:after="0" w:line="110" w:lineRule="exact"/>
        <w:rPr>
          <w:sz w:val="20"/>
          <w:szCs w:val="20"/>
          <w:color w:val="auto"/>
        </w:rPr>
      </w:pPr>
    </w:p>
    <w:p>
      <w:pPr>
        <w:jc w:val="both"/>
        <w:ind w:firstLine="627"/>
        <w:spacing w:after="0" w:line="246" w:lineRule="auto"/>
        <w:rPr>
          <w:sz w:val="20"/>
          <w:szCs w:val="20"/>
          <w:color w:val="auto"/>
        </w:rPr>
      </w:pPr>
      <w:r>
        <w:rPr>
          <w:rFonts w:ascii="Times New Roman" w:cs="Times New Roman" w:eastAsia="Times New Roman" w:hAnsi="Times New Roman"/>
          <w:sz w:val="17"/>
          <w:szCs w:val="17"/>
          <w:color w:val="auto"/>
        </w:rPr>
        <w:t>NMIC entered into an additional excess-of-loss reinsurance treaty that will provide aggregate coverage for mortgage insurance policies covered under the existing 2021-1 ILN Transaction from April 1, 2026 (the 2026-2 XOL Transaction), at the time of its early redemption. The treaty incepts on April 1, 2026 and will expire on March 31, 2036. Under the terms of the agreement, NMIC will retain a first layer of aggregate loss exposure on covered policies, and its reinsurance counterparties will then provide second layer loss protection up to a defined reinsurance coverage amount of $160 million subject to adjustment on the date of inception based on the persistency of the underlying reference pool through such date. NMIC retains losses in excess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respective reinsurance coverage amounts.</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Insurance-Linked Notes</w:t>
      </w:r>
    </w:p>
    <w:p>
      <w:pPr>
        <w:spacing w:after="0" w:line="15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NMIC is a party to reinsurance agreements with Oaktown Re VI Ltd. and Oaktown Re VII Ltd. (special purpose reinsurance entities collectively referred to as the Oaktown Re Vehicles) effective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9"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NMIC makes risk premium payments to the Oaktown Re Vehicles for the applicable outstanding reinsurance coverage amount and pays an additional amount for anticipated operating expenses (capped at $250 thousand per year). NMIC ceded aggregate premiums to the Oaktown Re Vehicles of $3.2 million and $6.6 million during the three and six months ended June 30, 2025, respectively, and $5.9 million and $11.8 million during the three and six months ended June 30, 2024, respectively.</w:t>
      </w:r>
    </w:p>
    <w:p>
      <w:pPr>
        <w:spacing w:after="0" w:line="11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NMIC applies claims paid on covered policies against its first layer aggregate retained loss exposure under each excess-of-loss agreement. NMIC did not cede any incurred losses on covered policies to the Oaktown Re Vehicles during the three and six months ended June 30, 2025 and 2024, as the aggregate first layer risk retention for each applicable agreement was not exhausted during such periods.</w:t>
      </w:r>
    </w:p>
    <w:p>
      <w:pPr>
        <w:spacing w:after="0" w:line="110"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12.5 years from the inception date of their associated reinsurance agreement. We refer to NMIC’s reinsurance agreements with and the insurance-linked note issuances by Oaktown Re Vehicles individually as the 2021-1 ILN Transaction and 2021-2 ILN Transaction, and collectively as the ILN Transactions.</w:t>
      </w:r>
    </w:p>
    <w:p>
      <w:pPr>
        <w:spacing w:after="0" w:line="121"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The respective reinsurance coverage amounts provided by the Oaktown Re Vehicles decrease over a 12.5-year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w:t>
      </w:r>
    </w:p>
    <w:p>
      <w:pPr>
        <w:spacing w:after="0" w:line="33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33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June 30, 2025.</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Initial First Layer</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 First Layer</w:t>
            </w:r>
          </w:p>
        </w:tc>
        <w:tc>
          <w:tcPr>
            <w:tcW w:w="0" w:type="dxa"/>
            <w:vAlign w:val="bottom"/>
          </w:tcPr>
          <w:p>
            <w:pPr>
              <w:spacing w:after="0"/>
              <w:rPr>
                <w:sz w:val="1"/>
                <w:szCs w:val="1"/>
                <w:color w:val="auto"/>
              </w:rPr>
            </w:pPr>
          </w:p>
        </w:tc>
      </w:tr>
      <w:tr>
        <w:trPr>
          <w:trHeight w:val="142"/>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3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Reinsurance</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2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Retained Loss</w:t>
            </w:r>
          </w:p>
        </w:tc>
        <w:tc>
          <w:tcPr>
            <w:tcW w:w="140" w:type="dxa"/>
            <w:vAlign w:val="bottom"/>
          </w:tcPr>
          <w:p>
            <w:pPr>
              <w:spacing w:after="0"/>
              <w:rPr>
                <w:sz w:val="17"/>
                <w:szCs w:val="17"/>
                <w:color w:val="auto"/>
              </w:rPr>
            </w:pPr>
          </w:p>
        </w:tc>
        <w:tc>
          <w:tcPr>
            <w:tcW w:w="1160" w:type="dxa"/>
            <w:vAlign w:val="bottom"/>
          </w:tcPr>
          <w:p>
            <w:pPr>
              <w:jc w:val="right"/>
              <w:ind w:right="79"/>
              <w:spacing w:after="0" w:line="196" w:lineRule="exact"/>
              <w:rPr>
                <w:sz w:val="20"/>
                <w:szCs w:val="20"/>
                <w:color w:val="auto"/>
              </w:rPr>
            </w:pPr>
            <w:r>
              <w:rPr>
                <w:rFonts w:ascii="Times New Roman" w:cs="Times New Roman" w:eastAsia="Times New Roman" w:hAnsi="Times New Roman"/>
                <w:sz w:val="14"/>
                <w:szCs w:val="14"/>
                <w:b w:val="1"/>
                <w:bCs w:val="1"/>
                <w:color w:val="auto"/>
                <w:w w:val="96"/>
              </w:rPr>
              <w:t xml:space="preserve">Retained Loss </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15"/>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2021-1 ILN</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27, 2021</w:t>
            </w:r>
          </w:p>
        </w:tc>
        <w:tc>
          <w:tcPr>
            <w:tcW w:w="2200" w:type="dxa"/>
            <w:vAlign w:val="bottom"/>
            <w:tcBorders>
              <w:top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 xml:space="preserve">10/1/2020 – 3/31/2021 </w:t>
            </w:r>
            <w:r>
              <w:rPr>
                <w:rFonts w:ascii="Times New Roman" w:cs="Times New Roman" w:eastAsia="Times New Roman" w:hAnsi="Times New Roman"/>
                <w:sz w:val="22"/>
                <w:szCs w:val="22"/>
                <w:color w:val="auto"/>
                <w:w w:val="99"/>
                <w:vertAlign w:val="superscript"/>
              </w:rPr>
              <w:t>(2)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367,238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115,702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163,708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162,547</w:t>
            </w:r>
          </w:p>
        </w:tc>
        <w:tc>
          <w:tcPr>
            <w:tcW w:w="0" w:type="dxa"/>
            <w:vAlign w:val="bottom"/>
          </w:tcPr>
          <w:p>
            <w:pPr>
              <w:spacing w:after="0"/>
              <w:rPr>
                <w:sz w:val="1"/>
                <w:szCs w:val="1"/>
                <w:color w:val="auto"/>
              </w:rPr>
            </w:pPr>
          </w:p>
        </w:tc>
      </w:tr>
      <w:tr>
        <w:trPr>
          <w:trHeight w:val="298"/>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2021-2 ILN</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26, 2021</w:t>
            </w: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 xml:space="preserve">4/1/2021 – 9/30/2021 </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363,596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205,070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146,229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144,736</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20" w:hanging="315"/>
        <w:spacing w:after="0" w:line="252" w:lineRule="auto"/>
        <w:tabs>
          <w:tab w:leader="none" w:pos="31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00" w:hanging="295"/>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236"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 xml:space="preserve">Under the terms of our ILN Transactions, we are required to maintain a certain level of restricted funds in premium deposit accounts with Bank of New York Mellon until the respective notes have been redeemed in full. </w:t>
      </w:r>
      <w:r>
        <w:rPr>
          <w:rFonts w:ascii="Times New Roman" w:cs="Times New Roman" w:eastAsia="Times New Roman" w:hAnsi="Times New Roman"/>
          <w:sz w:val="17"/>
          <w:szCs w:val="17"/>
          <w:i w:val="1"/>
          <w:iCs w:val="1"/>
          <w:color w:val="auto"/>
        </w:rPr>
        <w:t>“Cash and Cash Equivalents”</w:t>
      </w:r>
      <w:r>
        <w:rPr>
          <w:rFonts w:ascii="Times New Roman" w:cs="Times New Roman" w:eastAsia="Times New Roman" w:hAnsi="Times New Roman"/>
          <w:sz w:val="17"/>
          <w:szCs w:val="17"/>
          <w:color w:val="auto"/>
        </w:rPr>
        <w:t xml:space="preserve"> on our condensed consolidated balance sheets includes a de minimis restricted amount as of June 30, 2025 and $0.1 million as of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Reserves for Insurance Claims and Claim Expenses</w:t>
      </w:r>
    </w:p>
    <w:p>
      <w:pPr>
        <w:spacing w:after="0" w:line="172" w:lineRule="exact"/>
        <w:rPr>
          <w:sz w:val="20"/>
          <w:szCs w:val="20"/>
          <w:color w:val="auto"/>
        </w:rPr>
      </w:pPr>
    </w:p>
    <w:p>
      <w:pPr>
        <w:jc w:val="both"/>
        <w:ind w:firstLine="627"/>
        <w:spacing w:after="0" w:line="272" w:lineRule="auto"/>
        <w:rPr>
          <w:sz w:val="20"/>
          <w:szCs w:val="20"/>
          <w:color w:val="auto"/>
        </w:rPr>
      </w:pPr>
      <w:r>
        <w:rPr>
          <w:rFonts w:ascii="Times New Roman" w:cs="Times New Roman" w:eastAsia="Times New Roman" w:hAnsi="Times New Roman"/>
          <w:sz w:val="17"/>
          <w:szCs w:val="17"/>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June 30, 2025, we held gross reserves for insurance claims and claim expenses of $163.0 million. During the six months ended June 30, 2025, we paid 188 claims totaling $10.7 million, including 182 claims covered under the QSR Transactions representing $2.2 million of ceded claims and claim expenses.</w:t>
      </w:r>
    </w:p>
    <w:p>
      <w:pPr>
        <w:spacing w:after="0" w:line="119"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We had 6,709 loans in default in our primary insured portfolio as of June 30, 2025, which represented a 1.00% default rate against 668,638 total policies in-force, and 6,642 loans in default in our primary portfolio as of December 31, 2024, which represented a 1.01% default rate against 659,567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gross reserve balances for insurance claims and claim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8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77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5"/>
                <w:szCs w:val="15"/>
                <w:color w:val="auto"/>
              </w:rPr>
            </w:pPr>
          </w:p>
        </w:tc>
      </w:tr>
      <w:tr>
        <w:trPr>
          <w:trHeight w:val="189"/>
        </w:trPr>
        <w:tc>
          <w:tcPr>
            <w:tcW w:w="7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6"/>
                <w:szCs w:val="16"/>
                <w:color w:val="auto"/>
              </w:rPr>
            </w:pPr>
          </w:p>
        </w:tc>
      </w:tr>
      <w:tr>
        <w:trPr>
          <w:trHeight w:val="22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152,071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123,974</w:t>
            </w:r>
          </w:p>
        </w:tc>
      </w:tr>
      <w:tr>
        <w:trPr>
          <w:trHeight w:val="222"/>
        </w:trPr>
        <w:tc>
          <w:tcPr>
            <w:tcW w:w="770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(32,260)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(27,514)</w:t>
            </w:r>
          </w:p>
        </w:tc>
      </w:tr>
      <w:tr>
        <w:trPr>
          <w:trHeight w:val="21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net of reinsurance recoverables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119,811</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96,460</w:t>
            </w:r>
          </w:p>
        </w:tc>
      </w:tr>
      <w:tr>
        <w:trPr>
          <w:trHeight w:val="241"/>
        </w:trPr>
        <w:tc>
          <w:tcPr>
            <w:tcW w:w="7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claims incurred: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2"/>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incurred: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2"/>
        </w:trPr>
        <w:tc>
          <w:tcPr>
            <w:tcW w:w="770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61,356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50,372</w:t>
            </w:r>
          </w:p>
        </w:tc>
      </w:tr>
      <w:tr>
        <w:trPr>
          <w:trHeight w:val="222"/>
        </w:trPr>
        <w:tc>
          <w:tcPr>
            <w:tcW w:w="7700" w:type="dxa"/>
            <w:vAlign w:val="bottom"/>
            <w:tcBorders>
              <w:bottom w:val="single" w:sz="8" w:color="CCEEFF"/>
            </w:tcBorders>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(43,766)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(46,402)</w:t>
            </w:r>
          </w:p>
        </w:tc>
      </w:tr>
      <w:tr>
        <w:trPr>
          <w:trHeight w:val="215"/>
        </w:trPr>
        <w:tc>
          <w:tcPr>
            <w:tcW w:w="7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 xml:space="preserve">Total claims and claim expenses incurred </w:t>
            </w:r>
            <w:r>
              <w:rPr>
                <w:rFonts w:ascii="Times New Roman" w:cs="Times New Roman" w:eastAsia="Times New Roman" w:hAnsi="Times New Roman"/>
                <w:sz w:val="22"/>
                <w:szCs w:val="22"/>
                <w:color w:val="auto"/>
                <w:vertAlign w:val="superscript"/>
              </w:rPr>
              <w:t>(4)</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3,970</w:t>
            </w:r>
          </w:p>
        </w:tc>
      </w:tr>
      <w:tr>
        <w:trPr>
          <w:trHeight w:val="124"/>
        </w:trPr>
        <w:tc>
          <w:tcPr>
            <w:tcW w:w="7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2"/>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paid: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2"/>
        </w:trPr>
        <w:tc>
          <w:tcPr>
            <w:tcW w:w="770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700" w:type="dxa"/>
            <w:vAlign w:val="bottom"/>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2,323</w:t>
            </w:r>
          </w:p>
        </w:tc>
      </w:tr>
      <w:tr>
        <w:trPr>
          <w:trHeight w:val="222"/>
        </w:trPr>
        <w:tc>
          <w:tcPr>
            <w:tcW w:w="770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Reinsurance terminations </w:t>
            </w:r>
            <w:r>
              <w:rPr>
                <w:rFonts w:ascii="Times New Roman" w:cs="Times New Roman" w:eastAsia="Times New Roman" w:hAnsi="Times New Roman"/>
                <w:sz w:val="22"/>
                <w:szCs w:val="22"/>
                <w:color w:val="auto"/>
                <w:vertAlign w:val="superscript"/>
              </w:rPr>
              <w:t>(5)</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claims and claim expenses paid</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2,323</w:t>
            </w:r>
          </w:p>
        </w:tc>
      </w:tr>
      <w:tr>
        <w:trPr>
          <w:trHeight w:val="241"/>
        </w:trPr>
        <w:tc>
          <w:tcPr>
            <w:tcW w:w="7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2"/>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Reserve at end of period, net of reinsurance recoverables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130,328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98,107</w:t>
            </w:r>
          </w:p>
        </w:tc>
      </w:tr>
      <w:tr>
        <w:trPr>
          <w:trHeight w:val="222"/>
        </w:trPr>
        <w:tc>
          <w:tcPr>
            <w:tcW w:w="77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32,705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27,336</w:t>
            </w:r>
          </w:p>
        </w:tc>
      </w:tr>
      <w:tr>
        <w:trPr>
          <w:trHeight w:val="215"/>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163,033</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125,443</w:t>
            </w: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00" w:hanging="295"/>
        <w:spacing w:after="0"/>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Note 5, “</w:t>
      </w:r>
      <w:r>
        <w:rPr>
          <w:rFonts w:ascii="Times New Roman" w:cs="Times New Roman" w:eastAsia="Times New Roman" w:hAnsi="Times New Roman"/>
          <w:sz w:val="14"/>
          <w:szCs w:val="14"/>
          <w:i w:val="1"/>
          <w:iCs w:val="1"/>
          <w:color w:val="auto"/>
        </w:rPr>
        <w:t>Reinsurance”</w:t>
      </w:r>
      <w:r>
        <w:rPr>
          <w:rFonts w:ascii="Times New Roman" w:cs="Times New Roman" w:eastAsia="Times New Roman" w:hAnsi="Times New Roman"/>
          <w:sz w:val="14"/>
          <w:szCs w:val="14"/>
          <w:color w:val="auto"/>
        </w:rPr>
        <w:t xml:space="preserve"> for additional information.</w:t>
      </w:r>
    </w:p>
    <w:p>
      <w:pPr>
        <w:spacing w:after="0" w:line="13" w:lineRule="exact"/>
        <w:rPr>
          <w:rFonts w:ascii="Times New Roman" w:cs="Times New Roman" w:eastAsia="Times New Roman" w:hAnsi="Times New Roman"/>
          <w:sz w:val="14"/>
          <w:szCs w:val="14"/>
          <w:color w:val="auto"/>
        </w:rPr>
      </w:pPr>
    </w:p>
    <w:p>
      <w:pPr>
        <w:jc w:val="both"/>
        <w:ind w:left="320" w:hanging="315"/>
        <w:spacing w:after="0" w:line="251" w:lineRule="auto"/>
        <w:tabs>
          <w:tab w:leader="none" w:pos="33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$51.5 million attributed to net case reserves and $8.8 million attributed to net IBNR reserves for the six months ended June 30, 2025 and $43.1 million attributed to net case reserves and $6.4 million attributed to net IBNR reserves for the six months ended June 30, 2024.</w:t>
      </w:r>
    </w:p>
    <w:p>
      <w:pPr>
        <w:jc w:val="both"/>
        <w:ind w:left="320" w:hanging="315"/>
        <w:spacing w:after="0" w:line="246" w:lineRule="auto"/>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$34.9 million attributed to net case reserves and $8.1 million attributed to net IBNR reserves for the six months ended June 30, 2025 and $39.2 million attributed to net case reserves and $6.3 million attributed to net IBNR reserves for the six months ended June 30, 2024.</w:t>
      </w:r>
    </w:p>
    <w:p>
      <w:pPr>
        <w:spacing w:after="0" w:line="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aggregate termination fees of $0.3 million for the six months ended June 30, 2025 incurred in connection with the respective amendments of the 2016, 2018 and 2021 QSR Transactions.</w:t>
      </w:r>
    </w:p>
    <w:p>
      <w:pPr>
        <w:spacing w:after="0" w:line="8" w:lineRule="exact"/>
        <w:rPr>
          <w:rFonts w:ascii="Times New Roman" w:cs="Times New Roman" w:eastAsia="Times New Roman" w:hAnsi="Times New Roman"/>
          <w:sz w:val="14"/>
          <w:szCs w:val="14"/>
          <w:color w:val="auto"/>
        </w:rPr>
      </w:pPr>
    </w:p>
    <w:p>
      <w:pPr>
        <w:ind w:left="320" w:hanging="315"/>
        <w:spacing w:after="0" w:line="266" w:lineRule="auto"/>
        <w:tabs>
          <w:tab w:leader="none" w:pos="34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settlement of reinsurance recoverables in conjunction with the respective amendments of the 2016, 2018 and 2021 QSR Transactions. See Note 5</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Reinsurance”</w:t>
      </w:r>
      <w:r>
        <w:rPr>
          <w:rFonts w:ascii="Times New Roman" w:cs="Times New Roman" w:eastAsia="Times New Roman" w:hAnsi="Times New Roman"/>
          <w:sz w:val="14"/>
          <w:szCs w:val="14"/>
          <w:color w:val="auto"/>
        </w:rPr>
        <w:t xml:space="preserve"> for additional information.</w:t>
      </w:r>
    </w:p>
    <w:p>
      <w:pPr>
        <w:spacing w:after="0" w:line="210"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The “claims incurred” section of the table above shows claims and claim expenses incurred on defaults occurring in current and prior years, including IBNR reserves, and is presented net of reinsurance. The amount of claims incurred relating to current year defaults increased during the six months ended June 30, 2025 compared to the six months ended June 30, 2024, primarily due to an increase in the total number of new delinquencies emerging during the period tied to the growth and natural seasoning of our portfolio, partially offset by a decrease in the average case reserve established against newly defaulted loans. Our provision for claims and claim expenses during both the six months ended June 30, 2025 and 2024 benefited from favorable development on prior year defaults. We recognized $43.8 million and $46.4 million of favorable prior year development during the six months ended June 30, 2025 and 2024,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$86.5 million related to prior year defaults remained as of June 30,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Earnings per Share (EPS)</w:t>
      </w:r>
    </w:p>
    <w:p>
      <w:pPr>
        <w:spacing w:after="0" w:line="17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restricted stock units (RSUs), and the exercise of vested and unvested stock options.</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reconciles the net income and the weighted average shares of common stock outstanding used in the computations of basic and diluted EPS of common stock:</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30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 w:type="dxa"/>
            <w:vAlign w:val="bottom"/>
          </w:tcPr>
          <w:p>
            <w:pPr>
              <w:spacing w:after="0"/>
              <w:rPr>
                <w:sz w:val="16"/>
                <w:szCs w:val="16"/>
                <w:color w:val="auto"/>
              </w:rPr>
            </w:pPr>
          </w:p>
        </w:tc>
        <w:tc>
          <w:tcPr>
            <w:tcW w:w="264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53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5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 basic and diluted</w:t>
            </w: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96,151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181,129</w:t>
            </w:r>
          </w:p>
        </w:tc>
      </w:tr>
      <w:tr>
        <w:trPr>
          <w:trHeight w:val="261"/>
        </w:trPr>
        <w:tc>
          <w:tcPr>
            <w:tcW w:w="5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77,987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80,421</w:t>
            </w:r>
          </w:p>
        </w:tc>
      </w:tr>
      <w:tr>
        <w:trPr>
          <w:trHeight w:val="222"/>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Dilutive effect of issuable shares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w:t>
            </w:r>
          </w:p>
        </w:tc>
      </w:tr>
      <w:tr>
        <w:trPr>
          <w:trHeight w:val="24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shares outstanding</w:t>
            </w:r>
          </w:p>
        </w:tc>
        <w:tc>
          <w:tcPr>
            <w:tcW w:w="8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79,256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81,703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5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53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Basic</w:t>
            </w: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22"/>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Diluted</w:t>
            </w: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61"/>
        </w:trPr>
        <w:tc>
          <w:tcPr>
            <w:tcW w:w="5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Anti-dilutive shares</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Segment Reporting</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We manage our business activities on a consolidated basis under a single reportable operating segment and our Chief Executive Officer (CEO) serves as our Chief Operating Decision Maker (CODM).</w:t>
      </w:r>
    </w:p>
    <w:p>
      <w:pPr>
        <w:spacing w:after="0" w:line="9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Our Mortgage Insurance segment provides private mortgage insurance and ancillary loan review services, and our CODM evaluates our performance and allocates resources based on our consolidated financial results, including consolidated revenue, expenses, net income, assets and shareholders' equity. Our CODM reviews these financial metrics to gauge our performance and make strategic decisions, such as whether to reinvest profits in our Mortgage Insurance segment or return capital to shareholders.</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significant revenue and expense categories that are regularly reviewed by our CODM align with those presented on our condensed consolidated statements of operations and comprehensive income, and segment assets align with total assets as those presented on our condensed consolidated balance sheets. The accounting policies governing our Mortgage Insurance segment are the same as those described in Item 8, “</w:t>
      </w:r>
      <w:r>
        <w:rPr>
          <w:rFonts w:ascii="Times New Roman" w:cs="Times New Roman" w:eastAsia="Times New Roman" w:hAnsi="Times New Roman"/>
          <w:sz w:val="17"/>
          <w:szCs w:val="17"/>
          <w:i w:val="1"/>
          <w:iCs w:val="1"/>
          <w:color w:val="auto"/>
        </w:rPr>
        <w:t>Financial Statements and Supplementary Data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Notes to Consolidated Financial Statements - Note 2 - Summary of Accounting Principles” </w:t>
      </w:r>
      <w:r>
        <w:rPr>
          <w:rFonts w:ascii="Times New Roman" w:cs="Times New Roman" w:eastAsia="Times New Roman" w:hAnsi="Times New Roman"/>
          <w:sz w:val="17"/>
          <w:szCs w:val="17"/>
          <w:color w:val="auto"/>
        </w:rPr>
        <w:t>of our 2024 10-K.</w:t>
      </w:r>
    </w:p>
    <w:p>
      <w:pPr>
        <w:spacing w:after="0" w:line="115" w:lineRule="exact"/>
        <w:rPr>
          <w:sz w:val="20"/>
          <w:szCs w:val="20"/>
          <w:color w:val="auto"/>
        </w:rPr>
      </w:pPr>
    </w:p>
    <w:p>
      <w:pPr>
        <w:jc w:val="both"/>
        <w:ind w:firstLine="627"/>
        <w:spacing w:after="0" w:line="267" w:lineRule="auto"/>
        <w:rPr>
          <w:sz w:val="20"/>
          <w:szCs w:val="20"/>
          <w:color w:val="auto"/>
        </w:rPr>
      </w:pPr>
      <w:r>
        <w:rPr>
          <w:rFonts w:ascii="Times New Roman" w:cs="Times New Roman" w:eastAsia="Times New Roman" w:hAnsi="Times New Roman"/>
          <w:sz w:val="17"/>
          <w:szCs w:val="17"/>
          <w:color w:val="auto"/>
        </w:rPr>
        <w:t>Investment income, also referred to as interest revenue, is reported within “</w:t>
      </w:r>
      <w:r>
        <w:rPr>
          <w:rFonts w:ascii="Times New Roman" w:cs="Times New Roman" w:eastAsia="Times New Roman" w:hAnsi="Times New Roman"/>
          <w:sz w:val="17"/>
          <w:szCs w:val="17"/>
          <w:i w:val="1"/>
          <w:iCs w:val="1"/>
          <w:color w:val="auto"/>
        </w:rPr>
        <w:t>Net Investment Income</w:t>
      </w:r>
      <w:r>
        <w:rPr>
          <w:rFonts w:ascii="Times New Roman" w:cs="Times New Roman" w:eastAsia="Times New Roman" w:hAnsi="Times New Roman"/>
          <w:sz w:val="17"/>
          <w:szCs w:val="17"/>
          <w:color w:val="auto"/>
        </w:rPr>
        <w:t>” on our condensed consolidated statements of operations and was $25.3 million and $49.3 million for the three and six months ended June 30, 2025, respectively, and $21.0 million and $40.7 million for the three and six months ended June 30, 2024, respectively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Amortization and depreciation expense for software, equipment, and leasehold improvements was $2.8 million and $5.7 million for the three and six months ended June 30, 2025, respectively, and $3.0 million and $6.0 million for the three and six months ended June 30, 2024,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Income Taxes</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We are a U.S. taxpayer and are subject to a statutory U.S. federal corporate income tax rate of 21%. Taxable income is reported on our consolidated U.S. federal and various state income tax returns, filed by NMIH on behalf of itself and its subsidiaries. Our effective tax rate on pre-tax income was 22.2% and 22.1% for the three and six months ended June 30, 2025, respectively, compared to 22.4% and 22.3% for the three and six months ended June 30, 2024, respectively. Our provision for income taxes for interim reporting periods is established based on our estimated annual effective tax rate for a given year. Our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effective tax rate may fluctuate between interim periods due to the impact of discrete items not included in our estimated annual effective tax rate, including the tax effects associated with the vesting of RSUs and exercise of options. Such items are treated on a discrete basis in the reporting period in which they occur.</w:t>
      </w:r>
    </w:p>
    <w:p>
      <w:pPr>
        <w:spacing w:after="0" w:line="94"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 xml:space="preserve">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six months ended June 30, 2025 and 2024 primarily represents a change in our net deferred tax liability. As of June 30, 2025 and December 31, 2024, we held $322.2 million of tax and loss bonds in </w:t>
      </w:r>
      <w:r>
        <w:rPr>
          <w:rFonts w:ascii="Times New Roman" w:cs="Times New Roman" w:eastAsia="Times New Roman" w:hAnsi="Times New Roman"/>
          <w:sz w:val="17"/>
          <w:szCs w:val="17"/>
          <w:i w:val="1"/>
          <w:iCs w:val="1"/>
          <w:color w:val="auto"/>
        </w:rPr>
        <w:t>“Prepaid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Federal Income Taxes” </w:t>
      </w:r>
      <w:r>
        <w:rPr>
          <w:rFonts w:ascii="Times New Roman" w:cs="Times New Roman" w:eastAsia="Times New Roman" w:hAnsi="Times New Roman"/>
          <w:sz w:val="17"/>
          <w:szCs w:val="17"/>
          <w:color w:val="auto"/>
        </w:rPr>
        <w:t>on our condensed consolidated balance sheets.</w:t>
      </w:r>
    </w:p>
    <w:p>
      <w:pPr>
        <w:spacing w:after="0" w:line="119"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On July 4, 2025, the United States enacted tax reform legislation through the One Big Beautiful Bill Act. Included in this legislation are provisions that allow for the immediate expensing of domestic United States research and development expenses, immediate expensing of certain capital expenditures, and other changes to the U.S. taxation of profits derived from foreign operations. We do not currently expect that the Act will have a material impact on our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Stockholders' Equity</w:t>
      </w:r>
    </w:p>
    <w:p>
      <w:pPr>
        <w:spacing w:after="0" w:line="172"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On July 31, 2023, our Board of Directors authorized the $200 million 2023 Repurchase Program (excluding associated costs and applicable taxes) effective through December 31, 2025. On February 5, 2025, our Board of Directors authorized the new $250 million 2025 Repurchase Program (excluding associated costs and applicable taxes) effective through December 31, 2027 and extended the 2023 Repurchase Program through December 31, 2027 to align its remaining tenor with that of the 2025 Repurchase Program. The authorization provides us the flexibility, based on market and business conditions, stock price and other factors, to repurchase stock from time to time through open market purchases, privately negotiated transactions, or other means, including pursuant to Rule 10b5-1 trading plans.</w:t>
      </w:r>
    </w:p>
    <w:p>
      <w:pPr>
        <w:spacing w:after="0" w:line="12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During the six months ended June 30, 2025, we repurchased 1.3 million shares at an average price of $36.49 per share (excluding associated costs and applicable taxes). As of June 30, 2025, we had $281.0 million of repurchase authority remaining.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Litigation</w:t>
      </w:r>
    </w:p>
    <w:p>
      <w:pPr>
        <w:spacing w:after="0" w:line="17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We record a litigation liability when we determine that it is probable a litigation loss will be incurred and the amount of such anticipated loss can be reasonably estimated. In the event we determine that a litigation loss is reasonably possible (though not probable), we disclose an estimate of the possible loss if such estimate can be reasonably established or disclose the matter with no estimate if such estimate cannot be reasonably made. We evaluate litigation and other legal developments that could affect our accrual for probable losses or our estimated disclosure of possible losses and make ongoing adjustments to our accruals and disclosures as appropriate. Significant judgment is required to determine both the likelihood and the estimated amount of potential losses related to such matters.</w:t>
      </w:r>
    </w:p>
    <w:p>
      <w:pPr>
        <w:spacing w:after="0" w:line="33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were named as a defendant in a litigation proceeding pertaining to the refund of certain mortgage insurance premiums under the Homeowners Protection Act. The case was dismissed in September 2023 and the dismissal was affirmed on appeal in June 2025. We do not currently expect that we will incur a material loss in connection with the case and have not recorded a litigation liability for this matter.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Premiums Receivable, Net</w:t>
      </w:r>
    </w:p>
    <w:p>
      <w:pPr>
        <w:spacing w:after="0" w:line="251"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Premiums receivable consists of premiums due on our mortgage insurance policies. If a mortgage insurance premium is unpaid for more than 120 days, the associated receivable is written off against earned premium and the related insurance policy is canceled. Premiums receivable may be written off prior to 120 days in the ordinary course of business for non-credit events including, but not limited to, the modification or refinancing of an underlying insured loan. We established a $1.6 million and $2.2 million reserve for premium write-offs at June 30, 2025 and December 31, 2024, respectively.</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We separately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Regulatory Information</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Statutory Requirements</w:t>
      </w:r>
    </w:p>
    <w:p>
      <w:pPr>
        <w:spacing w:after="0" w:line="172"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19"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NMIC and Re One generated combined statutory net income of $30.5 million and $67.3 million for the three and six months ended June 30, 2025, respectively, compared to $36.0 million and $70.7 million for the three and six months ended June 30, 2024, respectively.</w:t>
      </w:r>
    </w:p>
    <w:p>
      <w:pPr>
        <w:spacing w:after="0" w:line="94"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119"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NMIC's statutory surplus, contingency reserve, statutory capital and risk-to-capital (RTC) ratio as of June 30, 2025 and December 31,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60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83"/>
        </w:trPr>
        <w:tc>
          <w:tcPr>
            <w:tcW w:w="6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6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20" w:type="dxa"/>
            <w:vAlign w:val="bottom"/>
          </w:tcPr>
          <w:p>
            <w:pPr>
              <w:spacing w:after="0"/>
              <w:rPr>
                <w:sz w:val="15"/>
                <w:szCs w:val="15"/>
                <w:color w:val="auto"/>
              </w:rPr>
            </w:pPr>
          </w:p>
        </w:tc>
      </w:tr>
      <w:tr>
        <w:trPr>
          <w:trHeight w:val="22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surplus</w:t>
            </w:r>
          </w:p>
        </w:tc>
        <w:tc>
          <w:tcPr>
            <w:tcW w:w="176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951,592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984,362</w:t>
            </w:r>
          </w:p>
        </w:tc>
      </w:tr>
      <w:tr>
        <w:trPr>
          <w:trHeight w:val="222"/>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Contingency reserve</w:t>
            </w:r>
          </w:p>
        </w:tc>
        <w:tc>
          <w:tcPr>
            <w:tcW w:w="1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2,076,510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1,905,990</w:t>
            </w:r>
          </w:p>
        </w:tc>
      </w:tr>
      <w:tr>
        <w:trPr>
          <w:trHeight w:val="240"/>
        </w:trPr>
        <w:tc>
          <w:tcPr>
            <w:tcW w:w="600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Statutory capital </w:t>
            </w:r>
            <w:r>
              <w:rPr>
                <w:rFonts w:ascii="Times New Roman" w:cs="Times New Roman" w:eastAsia="Times New Roman" w:hAnsi="Times New Roman"/>
                <w:sz w:val="22"/>
                <w:szCs w:val="22"/>
                <w:color w:val="auto"/>
                <w:vertAlign w:val="superscript"/>
              </w:rPr>
              <w:t>(1)</w:t>
            </w:r>
          </w:p>
        </w:tc>
        <w:tc>
          <w:tcPr>
            <w:tcW w:w="1760" w:type="dxa"/>
            <w:vAlign w:val="bottom"/>
            <w:tcBorders>
              <w:bottom w:val="single" w:sz="8" w:color="auto"/>
            </w:tcBorders>
            <w:shd w:val="clear" w:color="auto" w:fill="CCEEFF"/>
          </w:tcPr>
          <w:p>
            <w:pPr>
              <w:jc w:val="right"/>
              <w:ind w:right="157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3,028,102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2,890,352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0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22"/>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Risk-to-capital</w:t>
            </w:r>
          </w:p>
        </w:tc>
        <w:tc>
          <w:tcPr>
            <w:tcW w:w="17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r>
    </w:tbl>
    <w:p>
      <w:pPr>
        <w:spacing w:after="0" w:line="22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Represents the total of the statutory surplus and contingency reserve.</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 One had $2.1 million of statutory capital at June 30, 2025 and December 31, 2024.</w:t>
      </w:r>
    </w:p>
    <w:p>
      <w:pPr>
        <w:spacing w:after="0" w:line="17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p>
    <w:p>
      <w:pPr>
        <w:spacing w:after="0" w:line="94" w:lineRule="exact"/>
        <w:rPr>
          <w:sz w:val="20"/>
          <w:szCs w:val="20"/>
          <w:color w:val="auto"/>
        </w:rPr>
      </w:pPr>
    </w:p>
    <w:p>
      <w:pPr>
        <w:jc w:val="both"/>
        <w:ind w:firstLine="627"/>
        <w:spacing w:after="0" w:line="308" w:lineRule="auto"/>
        <w:rPr>
          <w:sz w:val="20"/>
          <w:szCs w:val="20"/>
          <w:color w:val="auto"/>
        </w:rPr>
      </w:pPr>
      <w:r>
        <w:rPr>
          <w:rFonts w:ascii="Times New Roman" w:cs="Times New Roman" w:eastAsia="Times New Roman" w:hAnsi="Times New Roman"/>
          <w:sz w:val="17"/>
          <w:szCs w:val="17"/>
          <w:color w:val="auto"/>
        </w:rPr>
        <w:t>NMIC and Re One are subject to certain rules and regulations prescribed by jurisdictions in which they are authorized to operate and the GSEs that may restrict their ability to pay dividends to NMIH. NMIC has the capacity to pay $98.4 million of aggregate ordinary dividends to NMIH during the twelve-month period ending December 31, 2025, and, on June 2, 2025, NMIC paid a $98.4 million ordinary course dividend to NMIH.</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70" w:lineRule="exact"/>
        <w:rPr>
          <w:sz w:val="20"/>
          <w:szCs w:val="20"/>
          <w:color w:val="auto"/>
        </w:rPr>
      </w:pPr>
    </w:p>
    <w:p>
      <w:pPr>
        <w:jc w:val="both"/>
        <w:ind w:firstLine="200"/>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2024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2024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72"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1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1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June 30, 2025, we had issued master policies with 2,138 customers, including national and regional mortgage banks, money center banks, credit unions, community banks, builder-owned mortgage lenders, internet-sourced lenders and other non-bank lenders. As of June 30, 2025, we had $214.7 billion of primary insurance-in-force (IIF) and $57.5 billion of primary risk-in-force (RIF).</w:t>
      </w:r>
    </w:p>
    <w:p>
      <w:pPr>
        <w:spacing w:after="0" w:line="119"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3"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 xml:space="preserve">Our common stock trades on the Nasdaq under the symbol “NMIH.” Our headquarters is located in Emeryville, California. As of June 30, 2025, we had 233 employees. Our corporate website is located at </w:t>
      </w:r>
      <w:r>
        <w:rPr>
          <w:rFonts w:ascii="Times New Roman" w:cs="Times New Roman" w:eastAsia="Times New Roman" w:hAnsi="Times New Roman"/>
          <w:sz w:val="17"/>
          <w:szCs w:val="17"/>
          <w:i w:val="1"/>
          <w:iCs w:val="1"/>
          <w:color w:val="auto"/>
        </w:rPr>
        <w:t>www.nationalmi.com</w:t>
      </w:r>
      <w:r>
        <w:rPr>
          <w:rFonts w:ascii="Times New Roman" w:cs="Times New Roman" w:eastAsia="Times New Roman" w:hAnsi="Times New Roman"/>
          <w:sz w:val="17"/>
          <w:szCs w:val="17"/>
          <w:color w:val="auto"/>
        </w:rPr>
        <w:t>. Our website and the information contained on or accessible through our website are not incorporated by reference into this report.</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8" w:name="page29"/>
    <w:bookmarkEnd w:id="28"/>
    <w:p>
      <w:pPr>
        <w:jc w:val="center"/>
        <w:ind w:right="7780"/>
        <w:spacing w:after="0"/>
        <w:rPr>
          <w:sz w:val="20"/>
          <w:szCs w:val="20"/>
          <w:color w:val="auto"/>
        </w:rPr>
      </w:pPr>
      <w:r>
        <w:rPr>
          <w:rFonts w:ascii="Times New Roman" w:cs="Times New Roman" w:eastAsia="Times New Roman" w:hAnsi="Times New Roman"/>
          <w:sz w:val="17"/>
          <w:szCs w:val="17"/>
          <w:b w:val="1"/>
          <w:bCs w:val="1"/>
          <w:color w:val="auto"/>
        </w:rPr>
        <w:t>Conditions and Trends Affecting Our Business</w:t>
      </w:r>
    </w:p>
    <w:p>
      <w:pPr>
        <w:spacing w:after="0" w:line="168" w:lineRule="exact"/>
        <w:rPr>
          <w:sz w:val="20"/>
          <w:szCs w:val="20"/>
          <w:color w:val="auto"/>
        </w:rPr>
      </w:pPr>
    </w:p>
    <w:p>
      <w:pPr>
        <w:jc w:val="center"/>
        <w:ind w:right="7780"/>
        <w:spacing w:after="0"/>
        <w:rPr>
          <w:sz w:val="20"/>
          <w:szCs w:val="20"/>
          <w:color w:val="auto"/>
        </w:rPr>
      </w:pPr>
      <w:r>
        <w:rPr>
          <w:rFonts w:ascii="Times New Roman" w:cs="Times New Roman" w:eastAsia="Times New Roman" w:hAnsi="Times New Roman"/>
          <w:sz w:val="17"/>
          <w:szCs w:val="17"/>
          <w:b w:val="1"/>
          <w:bCs w:val="1"/>
          <w:i w:val="1"/>
          <w:iCs w:val="1"/>
          <w:color w:val="auto"/>
        </w:rPr>
        <w:t>Macroeconomic Developments</w:t>
      </w:r>
    </w:p>
    <w:p>
      <w:pPr>
        <w:spacing w:after="0" w:line="174"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7"/>
          <w:szCs w:val="17"/>
          <w:color w:val="auto"/>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new insurance written (NIW) volume, or contribute to an increase in our future default and claim experience.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Results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New Insurance Written, Insurance-In-Force and Risk-In-Force</w:t>
      </w:r>
    </w:p>
    <w:p>
      <w:pPr>
        <w:spacing w:after="0" w:line="174"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3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Net Premiums Written and Net Premiums Earned</w:t>
      </w:r>
    </w:p>
    <w:p>
      <w:pPr>
        <w:spacing w:after="0" w:line="174" w:lineRule="exact"/>
        <w:rPr>
          <w:sz w:val="20"/>
          <w:szCs w:val="20"/>
          <w:color w:val="auto"/>
        </w:rPr>
      </w:pPr>
    </w:p>
    <w:p>
      <w:pPr>
        <w:jc w:val="both"/>
        <w:ind w:firstLine="627"/>
        <w:spacing w:after="0" w:line="222" w:lineRule="auto"/>
        <w:rPr>
          <w:sz w:val="20"/>
          <w:szCs w:val="20"/>
          <w:color w:val="auto"/>
        </w:rPr>
      </w:pPr>
      <w:r>
        <w:rPr>
          <w:rFonts w:ascii="Times New Roman" w:cs="Times New Roman" w:eastAsia="Times New Roman" w:hAnsi="Times New Roman"/>
          <w:sz w:val="17"/>
          <w:szCs w:val="17"/>
          <w:color w:val="auto"/>
        </w:rPr>
        <w:t>We set our premium rates on individual policies based on the risk characteristics of the underlying mortgage loans and borrowers, and in accordance with our filed rates and applicable rating rules. We primarily price our policies through a proprietary risk-based pricing platform, which we refer to as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7"/>
          <w:szCs w:val="17"/>
          <w:color w:val="auto"/>
        </w:rPr>
        <w:t xml:space="preserve">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While most of our new business is priced through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we also offer a rate card pricing option to a limited number of lender customers who require a rate card for operational reasons. We believe that the utilization of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4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10" w:lineRule="exact"/>
        <w:rPr>
          <w:sz w:val="20"/>
          <w:szCs w:val="20"/>
          <w:color w:val="auto"/>
        </w:rPr>
      </w:pPr>
    </w:p>
    <w:p>
      <w:pPr>
        <w:ind w:left="940" w:hanging="308"/>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NIW;</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 rates and the mix of premium payment type, which are either single, monthly or annual premiums, as described below;</w:t>
      </w:r>
    </w:p>
    <w:p>
      <w:pPr>
        <w:spacing w:after="0" w:line="170"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109"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cession of premiums under third-party reinsurance arrangements.</w:t>
      </w:r>
    </w:p>
    <w:p>
      <w:pPr>
        <w:spacing w:after="0" w:line="170"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Premiums are paid either by the borrower (borrower-paid mortgage insurance or BPMI) or the lender (lender-paid mortgage insurance or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June 30, 2025 were non-refundable under most cancellation scenarios. If non-refundable single premium policies are canceled, we immediately recognize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9" w:name="page30"/>
    <w:bookmarkEnd w:id="29"/>
    <w:p>
      <w:pPr>
        <w:jc w:val="both"/>
        <w:spacing w:after="0" w:line="288" w:lineRule="auto"/>
        <w:rPr>
          <w:sz w:val="20"/>
          <w:szCs w:val="20"/>
          <w:color w:val="auto"/>
        </w:rPr>
      </w:pPr>
      <w:r>
        <w:rPr>
          <w:rFonts w:ascii="Times New Roman" w:cs="Times New Roman" w:eastAsia="Times New Roman" w:hAnsi="Times New Roman"/>
          <w:sz w:val="17"/>
          <w:szCs w:val="17"/>
          <w:color w:val="auto"/>
        </w:rPr>
        <w:t>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315"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Effect of Reinsurance on Our Results</w:t>
      </w:r>
    </w:p>
    <w:p>
      <w:pPr>
        <w:spacing w:after="0" w:line="174"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23" w:lineRule="exact"/>
        <w:rPr>
          <w:sz w:val="20"/>
          <w:szCs w:val="20"/>
          <w:color w:val="auto"/>
        </w:rPr>
      </w:pPr>
    </w:p>
    <w:p>
      <w:pPr>
        <w:jc w:val="both"/>
        <w:ind w:firstLine="627"/>
        <w:spacing w:after="0" w:line="298" w:lineRule="auto"/>
        <w:rPr>
          <w:sz w:val="20"/>
          <w:szCs w:val="20"/>
          <w:color w:val="auto"/>
        </w:rPr>
      </w:pPr>
      <w:r>
        <w:rPr>
          <w:rFonts w:ascii="Times New Roman" w:cs="Times New Roman" w:eastAsia="Times New Roman" w:hAnsi="Times New Roman"/>
          <w:sz w:val="17"/>
          <w:szCs w:val="17"/>
          <w:color w:val="auto"/>
        </w:rPr>
        <w:t>See Item 1, “</w:t>
      </w:r>
      <w:r>
        <w:rPr>
          <w:rFonts w:ascii="Times New Roman" w:cs="Times New Roman" w:eastAsia="Times New Roman" w:hAnsi="Times New Roman"/>
          <w:sz w:val="17"/>
          <w:szCs w:val="17"/>
          <w:i w:val="1"/>
          <w:iCs w:val="1"/>
          <w:color w:val="auto"/>
        </w:rPr>
        <w:t>Financial Statements - Notes to Condensed Consolidated Financial Statements - Note 5, Reinsurance”</w:t>
      </w:r>
      <w:r>
        <w:rPr>
          <w:rFonts w:ascii="Times New Roman" w:cs="Times New Roman" w:eastAsia="Times New Roman" w:hAnsi="Times New Roman"/>
          <w:sz w:val="17"/>
          <w:szCs w:val="17"/>
          <w:color w:val="auto"/>
        </w:rPr>
        <w:t xml:space="preserve"> for further discussion of these third-party reinsurance arrangements.</w:t>
      </w: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Portfolio Data</w:t>
      </w:r>
    </w:p>
    <w:p>
      <w:pPr>
        <w:spacing w:after="0" w:line="17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NIW and primary IIF as of the dates and for the periods indicated. Unless otherwise noted, the tables below do not include the effects of our third-party reinsurance arrangements described above.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NIW and primary IIF</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3"/>
        </w:trPr>
        <w:tc>
          <w:tcPr>
            <w:tcW w:w="3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3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0" w:type="dxa"/>
            <w:vAlign w:val="bottom"/>
          </w:tcPr>
          <w:p>
            <w:pPr>
              <w:spacing w:after="0"/>
              <w:rPr>
                <w:sz w:val="15"/>
                <w:szCs w:val="15"/>
                <w:color w:val="auto"/>
              </w:rPr>
            </w:pPr>
          </w:p>
        </w:tc>
        <w:tc>
          <w:tcPr>
            <w:tcW w:w="15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11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89"/>
        </w:trPr>
        <w:tc>
          <w:tcPr>
            <w:tcW w:w="30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NIW</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IIF</w:t>
            </w:r>
          </w:p>
        </w:tc>
        <w:tc>
          <w:tcPr>
            <w:tcW w:w="12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NIW</w:t>
            </w:r>
          </w:p>
        </w:tc>
        <w:tc>
          <w:tcPr>
            <w:tcW w:w="4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IIF</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NIW</w:t>
            </w:r>
          </w:p>
        </w:tc>
        <w:tc>
          <w:tcPr>
            <w:tcW w:w="1100" w:type="dxa"/>
            <w:vAlign w:val="bottom"/>
            <w:tcBorders>
              <w:top w:val="single" w:sz="8" w:color="auto"/>
              <w:bottom w:val="single" w:sz="8" w:color="auto"/>
            </w:tcBorders>
          </w:tcPr>
          <w:p>
            <w:pPr>
              <w:spacing w:after="0"/>
              <w:rPr>
                <w:sz w:val="16"/>
                <w:szCs w:val="16"/>
                <w:color w:val="auto"/>
              </w:rPr>
            </w:pPr>
          </w:p>
        </w:tc>
      </w:tr>
      <w:tr>
        <w:trPr>
          <w:trHeight w:val="189"/>
        </w:trPr>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Monthly</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12,288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21,263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21,463</w:t>
            </w:r>
          </w:p>
        </w:tc>
      </w:tr>
      <w:tr>
        <w:trPr>
          <w:trHeight w:val="222"/>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Single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w:t>
            </w:r>
          </w:p>
        </w:tc>
      </w:tr>
      <w:tr>
        <w:trPr>
          <w:trHeight w:val="24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12,503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21,685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21,901</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NIW for the three and six months ended June 30, 2025 was $12.5 billion and $21.7 billion, respectively, compared to $12.5 billion and $21.9 billion for the three and six months ended June 30, 2024, respectively.</w:t>
      </w:r>
    </w:p>
    <w:p>
      <w:pPr>
        <w:spacing w:after="0" w:line="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Primary IIF increased 5% at June 30, 2025 compared to June 30, 2024, primarily due to the NIW generated between such measurement dates, partially offset by the run-off of in-force policies. Our persistency rate was 84.1% at June 30, 2025 and 85.4% at June 30, 2024. Our persistency rate remains historically high due to a continued slowdown in the pace of mortgage refinancing activity tied to the prevailing interest and mortgage rate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7"/>
          <w:szCs w:val="17"/>
          <w:color w:val="auto"/>
        </w:rPr>
        <w:t>The following table presents net premiums written and earned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premiums written and earned</w:t>
            </w:r>
          </w:p>
        </w:tc>
        <w:tc>
          <w:tcPr>
            <w:tcW w:w="340" w:type="dxa"/>
            <w:vAlign w:val="bottom"/>
          </w:tcPr>
          <w:p>
            <w:pPr>
              <w:spacing w:after="0"/>
              <w:rPr>
                <w:sz w:val="16"/>
                <w:szCs w:val="16"/>
                <w:color w:val="auto"/>
              </w:rPr>
            </w:pPr>
          </w:p>
        </w:tc>
        <w:tc>
          <w:tcPr>
            <w:tcW w:w="30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20" w:type="dxa"/>
            <w:vAlign w:val="bottom"/>
          </w:tcPr>
          <w:p>
            <w:pPr>
              <w:spacing w:after="0"/>
              <w:rPr>
                <w:sz w:val="16"/>
                <w:szCs w:val="16"/>
                <w:color w:val="auto"/>
              </w:rPr>
            </w:pPr>
          </w:p>
        </w:tc>
        <w:tc>
          <w:tcPr>
            <w:tcW w:w="282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44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4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4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8"/>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premiums written</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144,053</w:t>
            </w:r>
          </w:p>
        </w:tc>
        <w:tc>
          <w:tcPr>
            <w:tcW w:w="4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133,814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287,439</w:t>
            </w:r>
          </w:p>
        </w:tc>
        <w:tc>
          <w:tcPr>
            <w:tcW w:w="4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264,059</w:t>
            </w: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340" w:type="dxa"/>
            <w:vAlign w:val="bottom"/>
          </w:tcPr>
          <w:p>
            <w:pPr>
              <w:spacing w:after="0"/>
              <w:rPr>
                <w:sz w:val="19"/>
                <w:szCs w:val="19"/>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149,066</w:t>
            </w:r>
          </w:p>
        </w:tc>
        <w:tc>
          <w:tcPr>
            <w:tcW w:w="48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141,168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rPr>
              <w:t>298,432</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277,825</w:t>
            </w:r>
          </w:p>
        </w:tc>
      </w:tr>
    </w:tbl>
    <w:p>
      <w:pPr>
        <w:spacing w:after="0" w:line="225"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Net premiums written increased 8% and 9%, respectively, and net premiums earned increased 6% and 7%, respectively, during the three and six months ended June 30, 2025 compared to the three and six months ended June 30, 2024, primarily driven by growth in our monthly IIF and monthly pay premium receipts, partially offset by an increase in the total premiums ceded under our reinsurance treaties.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Portfolio Statistics</w:t>
      </w:r>
    </w:p>
    <w:p>
      <w:pPr>
        <w:spacing w:after="0" w:line="17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portfolio trends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4"/>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w w:val="99"/>
              </w:rPr>
              <w:t>As of and for the three months ended</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4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4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6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89"/>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00" w:type="dxa"/>
            <w:vAlign w:val="bottom"/>
            <w:gridSpan w:val="5"/>
          </w:tcPr>
          <w:p>
            <w:pPr>
              <w:jc w:val="center"/>
              <w:ind w:right="113"/>
              <w:spacing w:after="0"/>
              <w:rPr>
                <w:sz w:val="20"/>
                <w:szCs w:val="20"/>
                <w:color w:val="auto"/>
              </w:rPr>
            </w:pPr>
            <w:r>
              <w:rPr>
                <w:rFonts w:ascii="Times New Roman" w:cs="Times New Roman" w:eastAsia="Times New Roman" w:hAnsi="Times New Roman"/>
                <w:sz w:val="14"/>
                <w:szCs w:val="14"/>
                <w:i w:val="1"/>
                <w:iCs w:val="1"/>
                <w:color w:val="auto"/>
                <w:w w:val="98"/>
              </w:rPr>
              <w:t>($ Values In Millions, except as noted below)</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8"/>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New insurance written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12,464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9,221</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11,925</w:t>
            </w:r>
          </w:p>
        </w:tc>
        <w:tc>
          <w:tcPr>
            <w:tcW w:w="4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12,218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12,503</w:t>
            </w:r>
          </w:p>
        </w:tc>
      </w:tr>
      <w:tr>
        <w:trPr>
          <w:trHeight w:val="222"/>
        </w:trPr>
        <w:tc>
          <w:tcPr>
            <w:tcW w:w="45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Percentage of monthly premium</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r>
      <w:tr>
        <w:trPr>
          <w:trHeight w:val="222"/>
        </w:trPr>
        <w:tc>
          <w:tcPr>
            <w:tcW w:w="4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Percentage of single premium</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2"/>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New risk written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3,260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2,428</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3,134</w:t>
            </w:r>
          </w:p>
        </w:tc>
        <w:tc>
          <w:tcPr>
            <w:tcW w:w="4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3,245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3,335</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Insurance-in-force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214,653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211,308</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210,183</w:t>
            </w:r>
          </w:p>
        </w:tc>
        <w:tc>
          <w:tcPr>
            <w:tcW w:w="4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207,538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203,501</w:t>
            </w:r>
          </w:p>
        </w:tc>
      </w:tr>
      <w:tr>
        <w:trPr>
          <w:trHeight w:val="222"/>
        </w:trPr>
        <w:tc>
          <w:tcPr>
            <w:tcW w:w="45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Percentage of monthly premium</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91 %</w:t>
            </w:r>
          </w:p>
        </w:tc>
      </w:tr>
      <w:tr>
        <w:trPr>
          <w:trHeight w:val="222"/>
        </w:trPr>
        <w:tc>
          <w:tcPr>
            <w:tcW w:w="4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Percentage of single premium</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22"/>
        </w:trPr>
        <w:tc>
          <w:tcPr>
            <w:tcW w:w="454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Risk-in-force </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57,496</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56,515</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56,113</w:t>
            </w:r>
          </w:p>
        </w:tc>
        <w:tc>
          <w:tcPr>
            <w:tcW w:w="4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55,253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53,956</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Policies in force (count)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668,638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661,490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659,567</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654,374</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645,276</w:t>
            </w:r>
          </w:p>
        </w:tc>
      </w:tr>
      <w:tr>
        <w:trPr>
          <w:trHeight w:val="235"/>
        </w:trPr>
        <w:tc>
          <w:tcPr>
            <w:tcW w:w="4540" w:type="dxa"/>
            <w:vAlign w:val="bottom"/>
          </w:tcPr>
          <w:p>
            <w:pPr>
              <w:ind w:left="220"/>
              <w:spacing w:after="0" w:line="236" w:lineRule="exact"/>
              <w:rPr>
                <w:sz w:val="20"/>
                <w:szCs w:val="20"/>
                <w:color w:val="auto"/>
              </w:rPr>
            </w:pPr>
            <w:r>
              <w:rPr>
                <w:rFonts w:ascii="Times New Roman" w:cs="Times New Roman" w:eastAsia="Times New Roman" w:hAnsi="Times New Roman"/>
                <w:sz w:val="17"/>
                <w:szCs w:val="17"/>
                <w:color w:val="auto"/>
              </w:rPr>
              <w:t xml:space="preserve">Average loan size </w:t>
            </w:r>
            <w:r>
              <w:rPr>
                <w:rFonts w:ascii="Times New Roman" w:cs="Times New Roman" w:eastAsia="Times New Roman" w:hAnsi="Times New Roman"/>
                <w:sz w:val="13"/>
                <w:szCs w:val="13"/>
                <w:i w:val="1"/>
                <w:iCs w:val="1"/>
                <w:color w:val="auto"/>
              </w:rPr>
              <w:t>($ value in thousands)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321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319</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319</w:t>
            </w:r>
          </w:p>
        </w:tc>
        <w:tc>
          <w:tcPr>
            <w:tcW w:w="4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317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315</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Coverage percentage </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26.7 %</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26.5 %</w:t>
            </w:r>
          </w:p>
        </w:tc>
      </w:tr>
      <w:tr>
        <w:trPr>
          <w:trHeight w:val="222"/>
        </w:trPr>
        <w:tc>
          <w:tcPr>
            <w:tcW w:w="454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Loans in default (count) </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6,709</w:t>
            </w:r>
          </w:p>
        </w:tc>
        <w:tc>
          <w:tcPr>
            <w:tcW w:w="180" w:type="dxa"/>
            <w:vAlign w:val="bottom"/>
          </w:tcPr>
          <w:p>
            <w:pPr>
              <w:spacing w:after="0"/>
              <w:rPr>
                <w:sz w:val="19"/>
                <w:szCs w:val="19"/>
                <w:color w:val="auto"/>
              </w:rPr>
            </w:pP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6,859</w:t>
            </w:r>
          </w:p>
        </w:tc>
        <w:tc>
          <w:tcPr>
            <w:tcW w:w="340" w:type="dxa"/>
            <w:vAlign w:val="bottom"/>
          </w:tcPr>
          <w:p>
            <w:pPr>
              <w:spacing w:after="0"/>
              <w:rPr>
                <w:sz w:val="19"/>
                <w:szCs w:val="19"/>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6,642</w:t>
            </w:r>
          </w:p>
        </w:tc>
        <w:tc>
          <w:tcPr>
            <w:tcW w:w="460" w:type="dxa"/>
            <w:vAlign w:val="bottom"/>
          </w:tcPr>
          <w:p>
            <w:pPr>
              <w:spacing w:after="0"/>
              <w:rPr>
                <w:sz w:val="19"/>
                <w:szCs w:val="19"/>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5,712</w:t>
            </w:r>
          </w:p>
        </w:tc>
        <w:tc>
          <w:tcPr>
            <w:tcW w:w="200" w:type="dxa"/>
            <w:vAlign w:val="bottom"/>
          </w:tcPr>
          <w:p>
            <w:pPr>
              <w:spacing w:after="0"/>
              <w:rPr>
                <w:sz w:val="19"/>
                <w:szCs w:val="19"/>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4,904</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Default rate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0.87 %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0.76 %</w:t>
            </w:r>
          </w:p>
        </w:tc>
      </w:tr>
      <w:tr>
        <w:trPr>
          <w:trHeight w:val="222"/>
        </w:trPr>
        <w:tc>
          <w:tcPr>
            <w:tcW w:w="454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Risk-in-force on defaulted loans </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569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567</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545</w:t>
            </w:r>
          </w:p>
        </w:tc>
        <w:tc>
          <w:tcPr>
            <w:tcW w:w="4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468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401</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Average net premium yield </w:t>
            </w:r>
            <w:r>
              <w:rPr>
                <w:rFonts w:ascii="Times New Roman" w:cs="Times New Roman" w:eastAsia="Times New Roman" w:hAnsi="Times New Roman"/>
                <w:sz w:val="22"/>
                <w:szCs w:val="22"/>
                <w:color w:val="auto"/>
                <w:vertAlign w:val="superscript"/>
              </w:rPr>
              <w:t>(3)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0.27 %</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r>
      <w:tr>
        <w:trPr>
          <w:trHeight w:val="222"/>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Earnings from cancellations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0.7</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0.6</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0.8</w:t>
            </w:r>
          </w:p>
        </w:tc>
        <w:tc>
          <w:tcPr>
            <w:tcW w:w="4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Annual persistency </w:t>
            </w:r>
            <w:r>
              <w:rPr>
                <w:rFonts w:ascii="Times New Roman" w:cs="Times New Roman" w:eastAsia="Times New Roman" w:hAnsi="Times New Roman"/>
                <w:sz w:val="22"/>
                <w:szCs w:val="22"/>
                <w:color w:val="auto"/>
                <w:vertAlign w:val="superscript"/>
              </w:rPr>
              <w:t>(4)</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84.6 %</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85.4 %</w:t>
            </w:r>
          </w:p>
        </w:tc>
      </w:tr>
      <w:tr>
        <w:trPr>
          <w:trHeight w:val="298"/>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Quarterly run-off </w:t>
            </w:r>
            <w:r>
              <w:rPr>
                <w:rFonts w:ascii="Times New Roman" w:cs="Times New Roman" w:eastAsia="Times New Roman" w:hAnsi="Times New Roman"/>
                <w:sz w:val="22"/>
                <w:szCs w:val="22"/>
                <w:color w:val="auto"/>
                <w:vertAlign w:val="superscript"/>
              </w:rPr>
              <w:t>(5)</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r>
    </w:tbl>
    <w:p>
      <w:pPr>
        <w:spacing w:after="0" w:line="137" w:lineRule="exact"/>
        <w:rPr>
          <w:sz w:val="20"/>
          <w:szCs w:val="20"/>
          <w:color w:val="auto"/>
        </w:rPr>
      </w:pPr>
    </w:p>
    <w:p>
      <w:pPr>
        <w:ind w:left="300" w:hanging="295"/>
        <w:spacing w:after="0"/>
        <w:tabs>
          <w:tab w:leader="none" w:pos="3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as of the end of the period.</w:t>
      </w:r>
    </w:p>
    <w:p>
      <w:pPr>
        <w:spacing w:after="0" w:line="2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end of period RIF divided by end of period IIF.</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net premiums earned divided by average primary IIF for the period, annualized.</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remains on our books after a given twelve-month period.</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is no longer on our books after a given three-month period.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7"/>
          <w:szCs w:val="17"/>
          <w:color w:val="auto"/>
        </w:rPr>
        <w:t>The table below presents a summary of the change in total primary IIF for the dates and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w:t>
            </w:r>
          </w:p>
        </w:tc>
        <w:tc>
          <w:tcPr>
            <w:tcW w:w="29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 June 30,</w:t>
            </w:r>
          </w:p>
        </w:tc>
        <w:tc>
          <w:tcPr>
            <w:tcW w:w="140" w:type="dxa"/>
            <w:vAlign w:val="bottom"/>
          </w:tcPr>
          <w:p>
            <w:pPr>
              <w:spacing w:after="0"/>
              <w:rPr>
                <w:sz w:val="16"/>
                <w:szCs w:val="16"/>
                <w:color w:val="auto"/>
              </w:rPr>
            </w:pPr>
          </w:p>
        </w:tc>
        <w:tc>
          <w:tcPr>
            <w:tcW w:w="278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9"/>
              </w:rPr>
              <w:t>As of and for the six months ended June 30,</w:t>
            </w:r>
          </w:p>
        </w:tc>
      </w:tr>
      <w:tr>
        <w:trPr>
          <w:trHeight w:val="2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5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7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IIF, beginning of period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197,029</w:t>
            </w:r>
          </w:p>
        </w:tc>
      </w:tr>
      <w:tr>
        <w:trPr>
          <w:trHeight w:val="222"/>
        </w:trPr>
        <w:tc>
          <w:tcPr>
            <w:tcW w:w="5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NIW</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21,901</w:t>
            </w:r>
          </w:p>
        </w:tc>
      </w:tr>
      <w:tr>
        <w:trPr>
          <w:trHeight w:val="222"/>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Cancellations, principal repayments and other reductions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(15,429)</w:t>
            </w:r>
          </w:p>
        </w:tc>
      </w:tr>
      <w:tr>
        <w:trPr>
          <w:trHeight w:val="215"/>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IIF,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214,653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203,501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214,653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203,501</w:t>
            </w: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presents a summary of our primary IIF and RIF by book year as of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and RIF</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4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bottom w:val="single" w:sz="8" w:color="auto"/>
            </w:tcBorders>
          </w:tcPr>
          <w:p>
            <w:pPr>
              <w:spacing w:after="0"/>
              <w:rPr>
                <w:sz w:val="15"/>
                <w:szCs w:val="15"/>
                <w:color w:val="auto"/>
              </w:rPr>
            </w:pPr>
          </w:p>
        </w:tc>
      </w:tr>
      <w:tr>
        <w:trPr>
          <w:trHeight w:val="188"/>
        </w:trPr>
        <w:tc>
          <w:tcPr>
            <w:tcW w:w="4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IIF</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IIF</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RIF</w:t>
            </w:r>
          </w:p>
        </w:tc>
      </w:tr>
      <w:tr>
        <w:trPr>
          <w:trHeight w:val="19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Book year</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gridSpan w:val="3"/>
          </w:tcPr>
          <w:p>
            <w:pPr>
              <w:jc w:val="right"/>
              <w:ind w:right="15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5,700</w:t>
            </w:r>
          </w:p>
        </w:tc>
      </w:tr>
      <w:tr>
        <w:trPr>
          <w:trHeight w:val="22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9,694</w:t>
            </w:r>
          </w:p>
        </w:tc>
      </w:tr>
      <w:tr>
        <w:trPr>
          <w:trHeight w:val="22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13,420</w:t>
            </w:r>
          </w:p>
        </w:tc>
      </w:tr>
      <w:tr>
        <w:trPr>
          <w:trHeight w:val="22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14,868</w:t>
            </w:r>
          </w:p>
        </w:tc>
      </w:tr>
      <w:tr>
        <w:trPr>
          <w:trHeight w:val="222"/>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2020 and before</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30,313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8,186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10,274</w:t>
            </w:r>
          </w:p>
        </w:tc>
      </w:tr>
      <w:tr>
        <w:trPr>
          <w:trHeight w:val="24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214,653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57,496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203,501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53,956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debt-to-income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2" w:name="page33"/>
    <w:bookmarkEnd w:id="32"/>
    <w:p>
      <w:pPr>
        <w:ind w:firstLine="627"/>
        <w:spacing w:after="0" w:line="295" w:lineRule="auto"/>
        <w:rPr>
          <w:sz w:val="20"/>
          <w:szCs w:val="20"/>
          <w:color w:val="auto"/>
        </w:rPr>
      </w:pPr>
      <w:r>
        <w:rPr>
          <w:rFonts w:ascii="Times New Roman" w:cs="Times New Roman" w:eastAsia="Times New Roman" w:hAnsi="Times New Roman"/>
          <w:sz w:val="17"/>
          <w:szCs w:val="17"/>
          <w:color w:val="auto"/>
        </w:rPr>
        <w:t>The tables below present our NIW by FICO, LTV and purchase/refinance mix for the periods indicated. We calculate the LTV of a loan as the percentage of the original loan amount to the original purchase value of the property securing the loan.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NIW by FICO</w:t>
            </w:r>
          </w:p>
        </w:tc>
        <w:tc>
          <w:tcPr>
            <w:tcW w:w="360" w:type="dxa"/>
            <w:vAlign w:val="bottom"/>
          </w:tcPr>
          <w:p>
            <w:pPr>
              <w:spacing w:after="0"/>
              <w:rPr>
                <w:sz w:val="16"/>
                <w:szCs w:val="16"/>
                <w:color w:val="auto"/>
              </w:rPr>
            </w:pPr>
          </w:p>
        </w:tc>
        <w:tc>
          <w:tcPr>
            <w:tcW w:w="3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00" w:type="dxa"/>
            <w:vAlign w:val="bottom"/>
          </w:tcPr>
          <w:p>
            <w:pPr>
              <w:spacing w:after="0"/>
              <w:rPr>
                <w:sz w:val="16"/>
                <w:szCs w:val="16"/>
                <w:color w:val="auto"/>
              </w:rPr>
            </w:pPr>
          </w:p>
        </w:tc>
        <w:tc>
          <w:tcPr>
            <w:tcW w:w="292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4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4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8"/>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&gt;= 760</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11,685</w:t>
            </w:r>
          </w:p>
        </w:tc>
      </w:tr>
      <w:tr>
        <w:trPr>
          <w:trHeight w:val="222"/>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740-759</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3,951</w:t>
            </w:r>
          </w:p>
        </w:tc>
      </w:tr>
      <w:tr>
        <w:trPr>
          <w:trHeight w:val="222"/>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720-739</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2,757</w:t>
            </w:r>
          </w:p>
        </w:tc>
      </w:tr>
      <w:tr>
        <w:trPr>
          <w:trHeight w:val="222"/>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700-719</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w:t>
            </w:r>
          </w:p>
        </w:tc>
      </w:tr>
      <w:tr>
        <w:trPr>
          <w:trHeight w:val="222"/>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680-699</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w:t>
            </w:r>
          </w:p>
        </w:tc>
      </w:tr>
      <w:tr>
        <w:trPr>
          <w:trHeight w:val="222"/>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&lt;=679</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21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21,901</w:t>
            </w:r>
          </w:p>
        </w:tc>
      </w:tr>
      <w:tr>
        <w:trPr>
          <w:trHeight w:val="215"/>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FICO</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w:t>
            </w:r>
          </w:p>
        </w:tc>
      </w:tr>
      <w:tr>
        <w:trPr>
          <w:trHeight w:val="20"/>
        </w:trPr>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NIW by LTV</w:t>
            </w:r>
          </w:p>
        </w:tc>
        <w:tc>
          <w:tcPr>
            <w:tcW w:w="400" w:type="dxa"/>
            <w:vAlign w:val="bottom"/>
          </w:tcPr>
          <w:p>
            <w:pPr>
              <w:spacing w:after="0"/>
              <w:rPr>
                <w:sz w:val="16"/>
                <w:szCs w:val="16"/>
                <w:color w:val="auto"/>
              </w:rPr>
            </w:pPr>
          </w:p>
        </w:tc>
        <w:tc>
          <w:tcPr>
            <w:tcW w:w="32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20" w:type="dxa"/>
            <w:vAlign w:val="bottom"/>
          </w:tcPr>
          <w:p>
            <w:pPr>
              <w:spacing w:after="0"/>
              <w:rPr>
                <w:sz w:val="16"/>
                <w:szCs w:val="16"/>
                <w:color w:val="auto"/>
              </w:rPr>
            </w:pPr>
          </w:p>
        </w:tc>
        <w:tc>
          <w:tcPr>
            <w:tcW w:w="304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4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8"/>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95.01% and above</w:t>
            </w: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1,544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1,768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2,691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2,830</w:t>
            </w:r>
          </w:p>
        </w:tc>
      </w:tr>
      <w:tr>
        <w:trPr>
          <w:trHeight w:val="222"/>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90.01% to 95.00%</w:t>
            </w:r>
          </w:p>
        </w:tc>
        <w:tc>
          <w:tcPr>
            <w:tcW w:w="400" w:type="dxa"/>
            <w:vAlign w:val="bottom"/>
          </w:tcPr>
          <w:p>
            <w:pPr>
              <w:spacing w:after="0"/>
              <w:rPr>
                <w:sz w:val="19"/>
                <w:szCs w:val="19"/>
                <w:color w:val="auto"/>
              </w:rPr>
            </w:pPr>
          </w:p>
        </w:tc>
        <w:tc>
          <w:tcPr>
            <w:tcW w:w="134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5,486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5,645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9,760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10,059</w:t>
            </w:r>
          </w:p>
        </w:tc>
      </w:tr>
      <w:tr>
        <w:trPr>
          <w:trHeight w:val="22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85.01% to 90.00%</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3,887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3,739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6,638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6,670</w:t>
            </w:r>
          </w:p>
        </w:tc>
      </w:tr>
      <w:tr>
        <w:trPr>
          <w:trHeight w:val="222"/>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85.00% and below</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1,547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rPr>
              <w:t>1,351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2,596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2,342</w:t>
            </w:r>
          </w:p>
        </w:tc>
      </w:tr>
      <w:tr>
        <w:trPr>
          <w:trHeight w:val="21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12,464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12,503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21,685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21,901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LTV</w:t>
            </w: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92.0 %</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92.3 %</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92.3 %</w:t>
            </w:r>
          </w:p>
        </w:tc>
      </w:tr>
      <w:tr>
        <w:trPr>
          <w:trHeight w:val="20"/>
        </w:trPr>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2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NIW by purchase/refinance mix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4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4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189"/>
        </w:trPr>
        <w:tc>
          <w:tcPr>
            <w:tcW w:w="4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5"/>
          </w:tcPr>
          <w:p>
            <w:pPr>
              <w:jc w:val="right"/>
              <w:ind w:right="11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8"/>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w:t>
            </w:r>
          </w:p>
        </w:tc>
        <w:tc>
          <w:tcPr>
            <w:tcW w:w="64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11,813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12,257</w:t>
            </w:r>
          </w:p>
        </w:tc>
        <w:tc>
          <w:tcPr>
            <w:tcW w:w="620" w:type="dxa"/>
            <w:vAlign w:val="bottom"/>
            <w:gridSpan w:val="3"/>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21,414</w:t>
            </w:r>
          </w:p>
        </w:tc>
        <w:tc>
          <w:tcPr>
            <w:tcW w:w="20" w:type="dxa"/>
            <w:vAlign w:val="bottom"/>
          </w:tcPr>
          <w:p>
            <w:pPr>
              <w:spacing w:after="0"/>
              <w:rPr>
                <w:sz w:val="19"/>
                <w:szCs w:val="19"/>
                <w:color w:val="auto"/>
              </w:rPr>
            </w:pPr>
          </w:p>
        </w:tc>
      </w:tr>
      <w:tr>
        <w:trPr>
          <w:trHeight w:val="222"/>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Refinance</w:t>
            </w:r>
          </w:p>
        </w:tc>
        <w:tc>
          <w:tcPr>
            <w:tcW w:w="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651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20" w:type="dxa"/>
            <w:vAlign w:val="bottom"/>
          </w:tcPr>
          <w:p>
            <w:pPr>
              <w:spacing w:after="0"/>
              <w:rPr>
                <w:sz w:val="19"/>
                <w:szCs w:val="19"/>
                <w:color w:val="auto"/>
              </w:rPr>
            </w:pPr>
          </w:p>
        </w:tc>
      </w:tr>
      <w:tr>
        <w:trPr>
          <w:trHeight w:val="240"/>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12,464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12,503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21,685</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21,901</w:t>
            </w:r>
          </w:p>
        </w:tc>
        <w:tc>
          <w:tcPr>
            <w:tcW w:w="20" w:type="dxa"/>
            <w:vAlign w:val="bottom"/>
          </w:tcPr>
          <w:p>
            <w:pPr>
              <w:spacing w:after="0"/>
              <w:rPr>
                <w:sz w:val="20"/>
                <w:szCs w:val="20"/>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tables below present our total primary IIF and RIF by FICO and LTV, and total primary RIF by loan type as of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FICO</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
        </w:trPr>
        <w:tc>
          <w:tcPr>
            <w:tcW w:w="4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51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89"/>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8"/>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&gt;= 760</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107,677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101,531</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740-759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38,426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36,135</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18</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720-739</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29,825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28,479</w:t>
            </w:r>
          </w:p>
        </w:tc>
        <w:tc>
          <w:tcPr>
            <w:tcW w:w="190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14</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700-719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19,295</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10</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680-699</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13,138</w:t>
            </w:r>
          </w:p>
        </w:tc>
        <w:tc>
          <w:tcPr>
            <w:tcW w:w="190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&lt;=679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4,923</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r>
      <w:tr>
        <w:trPr>
          <w:trHeight w:val="240"/>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203,501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FICO</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20" w:type="dxa"/>
            <w:vAlign w:val="bottom"/>
            <w:gridSpan w:val="4"/>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w w:val="97"/>
              </w:rPr>
              <w:t>As of 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4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20" w:type="dxa"/>
            <w:vAlign w:val="bottom"/>
            <w:gridSpan w:val="4"/>
          </w:tcPr>
          <w:p>
            <w:pPr>
              <w:jc w:val="center"/>
              <w:ind w:left="157"/>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&gt;= 760</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26,692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49 %</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740-759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9,624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18</w:t>
            </w:r>
          </w:p>
        </w:tc>
        <w:tc>
          <w:tcPr>
            <w:tcW w:w="60" w:type="dxa"/>
            <w:vAlign w:val="bottom"/>
          </w:tcPr>
          <w:p>
            <w:pPr>
              <w:spacing w:after="0"/>
              <w:rPr>
                <w:sz w:val="19"/>
                <w:szCs w:val="19"/>
                <w:color w:val="auto"/>
              </w:rPr>
            </w:pP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720-739</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7,634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w:t>
            </w:r>
          </w:p>
        </w:tc>
        <w:tc>
          <w:tcPr>
            <w:tcW w:w="60" w:type="dxa"/>
            <w:vAlign w:val="bottom"/>
            <w:shd w:val="clear" w:color="auto" w:fill="CCEEFF"/>
          </w:tcPr>
          <w:p>
            <w:pPr>
              <w:spacing w:after="0"/>
              <w:rPr>
                <w:sz w:val="19"/>
                <w:szCs w:val="19"/>
                <w:color w:val="auto"/>
              </w:rPr>
            </w:pP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700-719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5,217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w:t>
            </w:r>
          </w:p>
        </w:tc>
        <w:tc>
          <w:tcPr>
            <w:tcW w:w="60" w:type="dxa"/>
            <w:vAlign w:val="bottom"/>
          </w:tcPr>
          <w:p>
            <w:pPr>
              <w:spacing w:after="0"/>
              <w:rPr>
                <w:sz w:val="19"/>
                <w:szCs w:val="19"/>
                <w:color w:val="auto"/>
              </w:rPr>
            </w:pP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680-699</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w:t>
            </w:r>
          </w:p>
        </w:tc>
        <w:tc>
          <w:tcPr>
            <w:tcW w:w="60" w:type="dxa"/>
            <w:vAlign w:val="bottom"/>
            <w:shd w:val="clear" w:color="auto" w:fill="CCEEFF"/>
          </w:tcPr>
          <w:p>
            <w:pPr>
              <w:spacing w:after="0"/>
              <w:rPr>
                <w:sz w:val="19"/>
                <w:szCs w:val="19"/>
                <w:color w:val="auto"/>
              </w:rPr>
            </w:pPr>
          </w:p>
        </w:tc>
      </w:tr>
      <w:tr>
        <w:trPr>
          <w:trHeight w:val="222"/>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&lt;=679</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1,259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Borders>
              <w:bottom w:val="single" w:sz="8" w:color="auto"/>
            </w:tcBorders>
          </w:tcPr>
          <w:p>
            <w:pPr>
              <w:spacing w:after="0"/>
              <w:rPr>
                <w:sz w:val="19"/>
                <w:szCs w:val="19"/>
                <w:color w:val="auto"/>
              </w:rPr>
            </w:pPr>
          </w:p>
        </w:tc>
      </w:tr>
      <w:tr>
        <w:trPr>
          <w:trHeight w:val="24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57,496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53,956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LTV</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gridSpan w:val="4"/>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w w:val="97"/>
              </w:rPr>
              <w:t>As of June 30,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
        </w:trPr>
        <w:tc>
          <w:tcPr>
            <w:tcW w:w="4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20" w:type="dxa"/>
            <w:vAlign w:val="bottom"/>
            <w:gridSpan w:val="4"/>
          </w:tcPr>
          <w:p>
            <w:pPr>
              <w:jc w:val="center"/>
              <w:ind w:left="157"/>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95.01% and above</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21,556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10 %</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90.01% to 95.00%</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106,017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99,355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49</w:t>
            </w:r>
          </w:p>
        </w:tc>
        <w:tc>
          <w:tcPr>
            <w:tcW w:w="60" w:type="dxa"/>
            <w:vAlign w:val="bottom"/>
          </w:tcPr>
          <w:p>
            <w:pPr>
              <w:spacing w:after="0"/>
              <w:rPr>
                <w:sz w:val="19"/>
                <w:szCs w:val="19"/>
                <w:color w:val="auto"/>
              </w:rPr>
            </w:pP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85.01% to 90.00%</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65,109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62,461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31</w:t>
            </w:r>
          </w:p>
        </w:tc>
        <w:tc>
          <w:tcPr>
            <w:tcW w:w="60" w:type="dxa"/>
            <w:vAlign w:val="bottom"/>
            <w:shd w:val="clear" w:color="auto" w:fill="CCEEFF"/>
          </w:tcPr>
          <w:p>
            <w:pPr>
              <w:spacing w:after="0"/>
              <w:rPr>
                <w:sz w:val="19"/>
                <w:szCs w:val="19"/>
                <w:color w:val="auto"/>
              </w:rPr>
            </w:pPr>
          </w:p>
        </w:tc>
      </w:tr>
      <w:tr>
        <w:trPr>
          <w:trHeight w:val="222"/>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85.00% and below</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20,129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10</w:t>
            </w:r>
          </w:p>
        </w:tc>
        <w:tc>
          <w:tcPr>
            <w:tcW w:w="60" w:type="dxa"/>
            <w:vAlign w:val="bottom"/>
            <w:tcBorders>
              <w:bottom w:val="single" w:sz="8" w:color="auto"/>
            </w:tcBorders>
          </w:tcPr>
          <w:p>
            <w:pPr>
              <w:spacing w:after="0"/>
              <w:rPr>
                <w:sz w:val="19"/>
                <w:szCs w:val="19"/>
                <w:color w:val="auto"/>
              </w:rPr>
            </w:pPr>
          </w:p>
        </w:tc>
      </w:tr>
      <w:tr>
        <w:trPr>
          <w:trHeight w:val="24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214,653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203,501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r>
        <w:trPr>
          <w:trHeight w:val="38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LTV</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gridSpan w:val="4"/>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w w:val="97"/>
              </w:rPr>
              <w:t>As of June 30,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
        </w:trPr>
        <w:tc>
          <w:tcPr>
            <w:tcW w:w="4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20" w:type="dxa"/>
            <w:vAlign w:val="bottom"/>
            <w:gridSpan w:val="4"/>
          </w:tcPr>
          <w:p>
            <w:pPr>
              <w:jc w:val="center"/>
              <w:ind w:left="157"/>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95.01% and above</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6,698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12 %</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90.01% to 95.00%</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31,302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29,354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54</w:t>
            </w:r>
          </w:p>
        </w:tc>
        <w:tc>
          <w:tcPr>
            <w:tcW w:w="60" w:type="dxa"/>
            <w:vAlign w:val="bottom"/>
          </w:tcPr>
          <w:p>
            <w:pPr>
              <w:spacing w:after="0"/>
              <w:rPr>
                <w:sz w:val="19"/>
                <w:szCs w:val="19"/>
                <w:color w:val="auto"/>
              </w:rPr>
            </w:pP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85.01% to 90.00%</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15,500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29</w:t>
            </w:r>
          </w:p>
        </w:tc>
        <w:tc>
          <w:tcPr>
            <w:tcW w:w="60" w:type="dxa"/>
            <w:vAlign w:val="bottom"/>
            <w:shd w:val="clear" w:color="auto" w:fill="CCEEFF"/>
          </w:tcPr>
          <w:p>
            <w:pPr>
              <w:spacing w:after="0"/>
              <w:rPr>
                <w:sz w:val="19"/>
                <w:szCs w:val="19"/>
                <w:color w:val="auto"/>
              </w:rPr>
            </w:pPr>
          </w:p>
        </w:tc>
      </w:tr>
      <w:tr>
        <w:trPr>
          <w:trHeight w:val="222"/>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85.00% and below</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2,404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5</w:t>
            </w:r>
          </w:p>
        </w:tc>
        <w:tc>
          <w:tcPr>
            <w:tcW w:w="60" w:type="dxa"/>
            <w:vAlign w:val="bottom"/>
            <w:tcBorders>
              <w:bottom w:val="single" w:sz="8" w:color="auto"/>
            </w:tcBorders>
          </w:tcPr>
          <w:p>
            <w:pPr>
              <w:spacing w:after="0"/>
              <w:rPr>
                <w:sz w:val="19"/>
                <w:szCs w:val="19"/>
                <w:color w:val="auto"/>
              </w:rPr>
            </w:pPr>
          </w:p>
        </w:tc>
      </w:tr>
      <w:tr>
        <w:trPr>
          <w:trHeight w:val="24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57,496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53,956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Loan Type</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
        </w:trPr>
        <w:tc>
          <w:tcPr>
            <w:tcW w:w="4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41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221"/>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Fixed</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60" w:type="dxa"/>
            <w:vAlign w:val="bottom"/>
          </w:tcPr>
          <w:p>
            <w:pPr>
              <w:spacing w:after="0"/>
              <w:rPr>
                <w:sz w:val="19"/>
                <w:szCs w:val="19"/>
                <w:color w:val="auto"/>
              </w:rPr>
            </w:pPr>
          </w:p>
        </w:tc>
      </w:tr>
      <w:tr>
        <w:trPr>
          <w:trHeight w:val="222"/>
        </w:trPr>
        <w:tc>
          <w:tcPr>
            <w:tcW w:w="4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Adjustable rate mortgages:</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than five years</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20" w:type="dxa"/>
            <w:vAlign w:val="bottom"/>
            <w:gridSpan w:val="5"/>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r>
      <w:tr>
        <w:trPr>
          <w:trHeight w:val="222"/>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Five years and longer</w:t>
            </w:r>
          </w:p>
        </w:tc>
        <w:tc>
          <w:tcPr>
            <w:tcW w:w="5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19"/>
                <w:szCs w:val="19"/>
                <w:color w:val="auto"/>
              </w:rPr>
            </w:pPr>
          </w:p>
        </w:tc>
      </w:tr>
      <w:tr>
        <w:trPr>
          <w:trHeight w:val="24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60" w:type="dxa"/>
            <w:vAlign w:val="bottom"/>
          </w:tcPr>
          <w:p>
            <w:pPr>
              <w:spacing w:after="0"/>
              <w:rPr>
                <w:sz w:val="20"/>
                <w:szCs w:val="20"/>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7"/>
          <w:szCs w:val="17"/>
          <w:color w:val="auto"/>
        </w:rPr>
        <w:t>The table below presents selected primary portfolio statistics, by book year, as of June 30,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20" w:type="dxa"/>
            <w:vAlign w:val="bottom"/>
          </w:tcPr>
          <w:p>
            <w:pPr>
              <w:spacing w:after="0"/>
              <w:rPr>
                <w:sz w:val="10"/>
                <w:szCs w:val="10"/>
                <w:color w:val="auto"/>
              </w:rPr>
            </w:pPr>
          </w:p>
        </w:tc>
        <w:tc>
          <w:tcPr>
            <w:tcW w:w="840" w:type="dxa"/>
            <w:vAlign w:val="bottom"/>
          </w:tcPr>
          <w:p>
            <w:pPr>
              <w:jc w:val="center"/>
              <w:ind w:right="37"/>
              <w:spacing w:after="0" w:line="125"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 Remaining of</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Policies Ever</w:t>
            </w:r>
          </w:p>
        </w:tc>
        <w:tc>
          <w:tcPr>
            <w:tcW w:w="106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3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Incurred Loss</w:t>
            </w:r>
          </w:p>
        </w:tc>
        <w:tc>
          <w:tcPr>
            <w:tcW w:w="12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 Default</w:t>
            </w:r>
          </w:p>
        </w:tc>
        <w:tc>
          <w:tcPr>
            <w:tcW w:w="0" w:type="dxa"/>
            <w:vAlign w:val="bottom"/>
          </w:tcPr>
          <w:p>
            <w:pPr>
              <w:spacing w:after="0"/>
              <w:rPr>
                <w:sz w:val="1"/>
                <w:szCs w:val="1"/>
                <w:color w:val="auto"/>
              </w:rPr>
            </w:pPr>
          </w:p>
        </w:tc>
      </w:tr>
      <w:tr>
        <w:trPr>
          <w:trHeight w:val="142"/>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Book Year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Insurance</w:t>
            </w:r>
          </w:p>
        </w:tc>
        <w:tc>
          <w:tcPr>
            <w:tcW w:w="120" w:type="dxa"/>
            <w:vAlign w:val="bottom"/>
          </w:tcPr>
          <w:p>
            <w:pPr>
              <w:spacing w:after="0"/>
              <w:rPr>
                <w:sz w:val="12"/>
                <w:szCs w:val="12"/>
                <w:color w:val="auto"/>
              </w:rPr>
            </w:pPr>
          </w:p>
        </w:tc>
        <w:tc>
          <w:tcPr>
            <w:tcW w:w="84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Insurance in</w:t>
            </w: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020" w:type="dxa"/>
            <w:vAlign w:val="bottom"/>
            <w:gridSpan w:val="2"/>
            <w:vMerge w:val="continue"/>
          </w:tcPr>
          <w:p>
            <w:pPr>
              <w:spacing w:after="0"/>
              <w:rPr>
                <w:sz w:val="12"/>
                <w:szCs w:val="12"/>
                <w:color w:val="auto"/>
              </w:rPr>
            </w:pPr>
          </w:p>
        </w:tc>
        <w:tc>
          <w:tcPr>
            <w:tcW w:w="10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8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Loans in</w:t>
            </w: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Claims</w:t>
            </w:r>
          </w:p>
        </w:tc>
        <w:tc>
          <w:tcPr>
            <w:tcW w:w="13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Ratio (Inception</w:t>
            </w:r>
          </w:p>
        </w:tc>
        <w:tc>
          <w:tcPr>
            <w:tcW w:w="12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Written</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Force</w:t>
            </w: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8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to Date) </w:t>
            </w:r>
            <w:r>
              <w:rPr>
                <w:rFonts w:ascii="Times New Roman" w:cs="Times New Roman" w:eastAsia="Times New Roman" w:hAnsi="Times New Roman"/>
                <w:sz w:val="9"/>
                <w:szCs w:val="9"/>
                <w:b w:val="1"/>
                <w:bCs w:val="1"/>
                <w:color w:val="auto"/>
              </w:rPr>
              <w:t>(1)</w:t>
            </w:r>
          </w:p>
        </w:tc>
        <w:tc>
          <w:tcPr>
            <w:tcW w:w="1200" w:type="dxa"/>
            <w:vAlign w:val="bottom"/>
            <w:tcBorders>
              <w:bottom w:val="single" w:sz="8" w:color="auto"/>
            </w:tcBorders>
          </w:tcPr>
          <w:p>
            <w:pPr>
              <w:jc w:val="right"/>
              <w:ind w:right="96"/>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Default Rate </w:t>
            </w:r>
            <w:r>
              <w:rPr>
                <w:rFonts w:ascii="Times New Roman" w:cs="Times New Roman" w:eastAsia="Times New Roman" w:hAnsi="Times New Roman"/>
                <w:sz w:val="18"/>
                <w:szCs w:val="18"/>
                <w:b w:val="1"/>
                <w:bCs w:val="1"/>
                <w:color w:val="auto"/>
                <w:vertAlign w:val="superscript"/>
              </w:rPr>
              <w:t>(2)</w:t>
            </w:r>
          </w:p>
        </w:tc>
        <w:tc>
          <w:tcPr>
            <w:tcW w:w="1080" w:type="dxa"/>
            <w:vAlign w:val="bottom"/>
            <w:tcBorders>
              <w:bottom w:val="single" w:sz="8" w:color="auto"/>
            </w:tcBorders>
          </w:tcPr>
          <w:p>
            <w:pPr>
              <w:jc w:val="right"/>
              <w:ind w:right="216"/>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4"/>
          </w:tcPr>
          <w:p>
            <w:pPr>
              <w:ind w:left="34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2016 and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prior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151,615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10,722</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2.2 %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2017</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85,897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22"/>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8 %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104,043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2.4 %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2019</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5,612</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12 %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148,423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25,180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2.0 %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2"/>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18,847</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186,174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67,081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1.3 %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0" w:type="dxa"/>
            <w:vAlign w:val="bottom"/>
          </w:tcPr>
          <w:p>
            <w:pPr>
              <w:spacing w:after="0"/>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45,409</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53 %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257,972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153,220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3.2 %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2"/>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44,598</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163,281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131,612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16.5 %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32,013</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79 %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111,994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93,357</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14.2 %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0" w:type="dxa"/>
            <w:vAlign w:val="bottom"/>
          </w:tcPr>
          <w:p>
            <w:pPr>
              <w:spacing w:after="0"/>
              <w:rPr>
                <w:sz w:val="1"/>
                <w:szCs w:val="1"/>
                <w:color w:val="auto"/>
              </w:rPr>
            </w:pPr>
          </w:p>
        </w:tc>
      </w:tr>
      <w:tr>
        <w:trPr>
          <w:trHeight w:val="222"/>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41,100</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89 %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120,747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111,063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10.1 %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0" w:type="dxa"/>
            <w:vAlign w:val="bottom"/>
          </w:tcPr>
          <w:p>
            <w:pPr>
              <w:spacing w:after="0"/>
              <w:rPr>
                <w:sz w:val="1"/>
                <w:szCs w:val="1"/>
                <w:color w:val="auto"/>
              </w:rPr>
            </w:pPr>
          </w:p>
        </w:tc>
      </w:tr>
      <w:tr>
        <w:trPr>
          <w:trHeight w:val="222"/>
        </w:trPr>
        <w:tc>
          <w:tcPr>
            <w:tcW w:w="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21,220</w:t>
            </w:r>
          </w:p>
        </w:tc>
        <w:tc>
          <w:tcPr>
            <w:tcW w:w="1280" w:type="dxa"/>
            <w:vAlign w:val="bottom"/>
            <w:tcBorders>
              <w:bottom w:val="single" w:sz="8" w:color="CCEEFF"/>
            </w:tcBorders>
          </w:tcPr>
          <w:p>
            <w:pPr>
              <w:jc w:val="right"/>
              <w:ind w:right="37"/>
              <w:spacing w:after="0"/>
              <w:rPr>
                <w:sz w:val="20"/>
                <w:szCs w:val="20"/>
                <w:color w:val="auto"/>
              </w:rPr>
            </w:pPr>
            <w:r>
              <w:rPr>
                <w:rFonts w:ascii="Times New Roman" w:cs="Times New Roman" w:eastAsia="Times New Roman" w:hAnsi="Times New Roman"/>
                <w:sz w:val="17"/>
                <w:szCs w:val="17"/>
                <w:color w:val="auto"/>
              </w:rPr>
              <w:t>98 %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55,805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54,893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tcPr>
          <w:p>
            <w:pPr>
              <w:jc w:val="right"/>
              <w:ind w:right="37"/>
              <w:spacing w:after="0"/>
              <w:rPr>
                <w:sz w:val="20"/>
                <w:szCs w:val="20"/>
                <w:color w:val="auto"/>
              </w:rPr>
            </w:pPr>
            <w:r>
              <w:rPr>
                <w:rFonts w:ascii="Times New Roman" w:cs="Times New Roman" w:eastAsia="Times New Roman" w:hAnsi="Times New Roman"/>
                <w:sz w:val="17"/>
                <w:szCs w:val="17"/>
                <w:color w:val="auto"/>
              </w:rPr>
              <w:t>1.5 %</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40"/>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446,452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214,653</w:t>
            </w:r>
          </w:p>
        </w:tc>
        <w:tc>
          <w:tcPr>
            <w:tcW w:w="1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1,385,951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668,638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300" w:hanging="295"/>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total claims incurred (paid and reserved) divided by cumulative premiums earned, net of reinsurance.</w:t>
      </w:r>
    </w:p>
    <w:p>
      <w:pPr>
        <w:spacing w:after="0" w:line="1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sum of the number of claims paid ever to date and number of loans in default divided by policies ever in force.</w:t>
      </w:r>
    </w:p>
    <w:p>
      <w:pPr>
        <w:spacing w:after="0" w:line="5"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number of loans in default divided by number of policies in force.</w:t>
      </w:r>
    </w:p>
    <w:p>
      <w:pPr>
        <w:spacing w:after="0" w:line="3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Geographic Dispersion</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shows the distribution by state of our primary RIF as of the dates indicated. The distribution of our primary RIF as of June 30, 2025 is not necessarily representative of the geographic distribution we expect in the future.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Top 10 primary RIF by state</w:t>
            </w:r>
          </w:p>
        </w:tc>
        <w:tc>
          <w:tcPr>
            <w:tcW w:w="13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60" w:type="dxa"/>
            <w:vAlign w:val="bottom"/>
          </w:tcPr>
          <w:p>
            <w:pPr>
              <w:spacing w:after="0"/>
              <w:rPr>
                <w:sz w:val="16"/>
                <w:szCs w:val="16"/>
                <w:color w:val="auto"/>
              </w:rPr>
            </w:pPr>
          </w:p>
        </w:tc>
      </w:tr>
      <w:tr>
        <w:trPr>
          <w:trHeight w:val="23"/>
        </w:trPr>
        <w:tc>
          <w:tcPr>
            <w:tcW w:w="86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3"/>
        </w:trPr>
        <w:tc>
          <w:tcPr>
            <w:tcW w:w="748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r>
      <w:tr>
        <w:trPr>
          <w:trHeight w:val="222"/>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8.8</w:t>
            </w:r>
          </w:p>
        </w:tc>
      </w:tr>
      <w:tr>
        <w:trPr>
          <w:trHeight w:val="222"/>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7.5</w:t>
            </w:r>
          </w:p>
        </w:tc>
      </w:tr>
      <w:tr>
        <w:trPr>
          <w:trHeight w:val="222"/>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Georgia</w:t>
            </w: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4.2</w:t>
            </w:r>
          </w:p>
        </w:tc>
      </w:tr>
      <w:tr>
        <w:trPr>
          <w:trHeight w:val="222"/>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r>
      <w:tr>
        <w:trPr>
          <w:trHeight w:val="222"/>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Washington</w:t>
            </w: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r>
      <w:tr>
        <w:trPr>
          <w:trHeight w:val="222"/>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w:t>
            </w: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3.8</w:t>
            </w:r>
          </w:p>
        </w:tc>
      </w:tr>
      <w:tr>
        <w:trPr>
          <w:trHeight w:val="222"/>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w:t>
            </w:r>
          </w:p>
        </w:tc>
      </w:tr>
      <w:tr>
        <w:trPr>
          <w:trHeight w:val="222"/>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Ohio</w:t>
            </w: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w:t>
            </w:r>
          </w:p>
        </w:tc>
      </w:tr>
      <w:tr>
        <w:trPr>
          <w:trHeight w:val="222"/>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North Carolina</w:t>
            </w: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3.0</w:t>
            </w:r>
          </w:p>
        </w:tc>
      </w:tr>
      <w:tr>
        <w:trPr>
          <w:trHeight w:val="235"/>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51.2 %</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51.7 %</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Insurance Claims and Claim Expenses</w:t>
      </w:r>
    </w:p>
    <w:p>
      <w:pPr>
        <w:spacing w:after="0" w:line="17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11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Reserves for claims and claim expenses are established for mortgage loans that are in default. A loan is considered to be in default as of the payment date at which a borrower has missed the preceding two or more consecutive monthly payments. We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7"/>
          <w:szCs w:val="17"/>
          <w:color w:val="auto"/>
        </w:rPr>
        <w:t>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329"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ILN Transactions and XOL Transactions as applicable under each treaty. We have not yet ceded reserves under any of the ILN Transactions or XOL Transactions as incurred claims and claim expenses on each respective reference pool remain within our retained coverage layer for each transaction.</w:t>
      </w:r>
    </w:p>
    <w:p>
      <w:pPr>
        <w:spacing w:after="0" w:line="121"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 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spacing w:after="0" w:line="121"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17" w:lineRule="exact"/>
        <w:rPr>
          <w:sz w:val="20"/>
          <w:szCs w:val="20"/>
          <w:color w:val="auto"/>
        </w:rPr>
      </w:pPr>
    </w:p>
    <w:p>
      <w:pPr>
        <w:jc w:val="both"/>
        <w:ind w:firstLine="627"/>
        <w:spacing w:after="0" w:line="273" w:lineRule="auto"/>
        <w:rPr>
          <w:sz w:val="20"/>
          <w:szCs w:val="20"/>
          <w:color w:val="auto"/>
        </w:rPr>
      </w:pPr>
      <w:r>
        <w:rPr>
          <w:rFonts w:ascii="Times New Roman" w:cs="Times New Roman" w:eastAsia="Times New Roman" w:hAnsi="Times New Roman"/>
          <w:sz w:val="17"/>
          <w:szCs w:val="17"/>
          <w:color w:val="auto"/>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gross reserve balances for insurance claims and claim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00" w:type="dxa"/>
            <w:vAlign w:val="bottom"/>
          </w:tcPr>
          <w:p>
            <w:pPr>
              <w:spacing w:after="0"/>
              <w:rPr>
                <w:sz w:val="16"/>
                <w:szCs w:val="16"/>
                <w:color w:val="auto"/>
              </w:rPr>
            </w:pPr>
          </w:p>
        </w:tc>
        <w:tc>
          <w:tcPr>
            <w:tcW w:w="252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5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123,974</w:t>
            </w:r>
          </w:p>
        </w:tc>
      </w:tr>
      <w:tr>
        <w:trPr>
          <w:trHeight w:val="222"/>
        </w:trPr>
        <w:tc>
          <w:tcPr>
            <w:tcW w:w="528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(27,514)</w:t>
            </w: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net of reinsurance recoverables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99,302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119,811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96,460</w:t>
            </w:r>
          </w:p>
        </w:tc>
      </w:tr>
      <w:tr>
        <w:trPr>
          <w:trHeight w:val="241"/>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claims incurred: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5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incurred:</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2"/>
        </w:trPr>
        <w:tc>
          <w:tcPr>
            <w:tcW w:w="528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50,372</w:t>
            </w:r>
          </w:p>
        </w:tc>
      </w:tr>
      <w:tr>
        <w:trPr>
          <w:trHeight w:val="222"/>
        </w:trPr>
        <w:tc>
          <w:tcPr>
            <w:tcW w:w="5280" w:type="dxa"/>
            <w:vAlign w:val="bottom"/>
            <w:tcBorders>
              <w:bottom w:val="single" w:sz="8" w:color="CCEEFF"/>
            </w:tcBorders>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(46,402)</w:t>
            </w:r>
          </w:p>
        </w:tc>
      </w:tr>
      <w:tr>
        <w:trPr>
          <w:trHeight w:val="215"/>
        </w:trPr>
        <w:tc>
          <w:tcPr>
            <w:tcW w:w="5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 xml:space="preserve">Total claims and claim expenses incurred </w:t>
            </w:r>
            <w:r>
              <w:rPr>
                <w:rFonts w:ascii="Times New Roman" w:cs="Times New Roman" w:eastAsia="Times New Roman" w:hAnsi="Times New Roman"/>
                <w:sz w:val="22"/>
                <w:szCs w:val="22"/>
                <w:color w:val="auto"/>
                <w:vertAlign w:val="superscript"/>
              </w:rPr>
              <w:t>(4)</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3,970</w:t>
            </w:r>
          </w:p>
        </w:tc>
      </w:tr>
      <w:tr>
        <w:trPr>
          <w:trHeight w:val="241"/>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5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paid:</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2"/>
        </w:trPr>
        <w:tc>
          <w:tcPr>
            <w:tcW w:w="528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280" w:type="dxa"/>
            <w:vAlign w:val="bottom"/>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2,323</w:t>
            </w:r>
          </w:p>
        </w:tc>
      </w:tr>
      <w:tr>
        <w:trPr>
          <w:trHeight w:val="222"/>
        </w:trPr>
        <w:tc>
          <w:tcPr>
            <w:tcW w:w="528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Reinsurance terminations </w:t>
            </w:r>
            <w:r>
              <w:rPr>
                <w:rFonts w:ascii="Times New Roman" w:cs="Times New Roman" w:eastAsia="Times New Roman" w:hAnsi="Times New Roman"/>
                <w:sz w:val="22"/>
                <w:szCs w:val="22"/>
                <w:color w:val="auto"/>
                <w:vertAlign w:val="superscript"/>
              </w:rPr>
              <w:t>(5)</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claims and claim expenses paid</w:t>
            </w: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7,073</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2,323</w:t>
            </w:r>
          </w:p>
        </w:tc>
      </w:tr>
      <w:tr>
        <w:trPr>
          <w:trHeight w:val="241"/>
        </w:trPr>
        <w:tc>
          <w:tcPr>
            <w:tcW w:w="5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Reserve at end of period, net of reinsurance recoverables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98,107</w:t>
            </w:r>
          </w:p>
        </w:tc>
      </w:tr>
      <w:tr>
        <w:trPr>
          <w:trHeight w:val="222"/>
        </w:trPr>
        <w:tc>
          <w:tcPr>
            <w:tcW w:w="528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27,336</w:t>
            </w:r>
          </w:p>
        </w:tc>
      </w:tr>
      <w:tr>
        <w:trPr>
          <w:trHeight w:val="21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163,033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125,443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163,033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125,443</w:t>
            </w: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20" w:hanging="315"/>
        <w:spacing w:after="0" w:line="254" w:lineRule="auto"/>
        <w:tabs>
          <w:tab w:leader="none" w:pos="31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Item 1, “</w:t>
      </w:r>
      <w:r>
        <w:rPr>
          <w:rFonts w:ascii="Times New Roman" w:cs="Times New Roman" w:eastAsia="Times New Roman" w:hAnsi="Times New Roman"/>
          <w:sz w:val="14"/>
          <w:szCs w:val="14"/>
          <w:i w:val="1"/>
          <w:iCs w:val="1"/>
          <w:color w:val="auto"/>
        </w:rPr>
        <w:t>Financial Statements - Notes to Condensed Consolidated Financial Statements - Note 5, Reinsurance”</w:t>
      </w:r>
      <w:r>
        <w:rPr>
          <w:rFonts w:ascii="Times New Roman" w:cs="Times New Roman" w:eastAsia="Times New Roman" w:hAnsi="Times New Roman"/>
          <w:sz w:val="14"/>
          <w:szCs w:val="14"/>
          <w:color w:val="auto"/>
        </w:rPr>
        <w:t xml:space="preserve"> for additional information.</w:t>
      </w:r>
    </w:p>
    <w:p>
      <w:pPr>
        <w:jc w:val="both"/>
        <w:ind w:left="320" w:hanging="315"/>
        <w:spacing w:after="0" w:line="253" w:lineRule="auto"/>
        <w:tabs>
          <w:tab w:leader="none" w:pos="33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$51.5 million attributed to net case reserves and $8.8 million attributed to net IBNR reserves for the six months ended June 30, 2025 and $43.1 million attributed to net case reserves and $6.4 million attributed to net IBNR reserves for the six months ended June 30, 2024.</w:t>
      </w:r>
    </w:p>
    <w:p>
      <w:pPr>
        <w:jc w:val="both"/>
        <w:ind w:left="320" w:hanging="315"/>
        <w:spacing w:after="0" w:line="246" w:lineRule="auto"/>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$34.9 million attributed to net case reserves and $8.1 million attributed to net IBNR reserves for the six months ended June 30, 2025 and $39.2 million attributed to net case reserves and $6.3 million attributed to net IBNR reserves for the six months ended June 30, 2024.</w:t>
      </w:r>
    </w:p>
    <w:p>
      <w:pPr>
        <w:spacing w:after="0" w:line="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aggregate termination fees of $0.3 million for the six months ended June 30, 2025 incurred in connection with the respective amendments of the 2016, 2018 and 2021 QSR Transactions.</w:t>
      </w:r>
    </w:p>
    <w:p>
      <w:pPr>
        <w:spacing w:after="0" w:line="8" w:lineRule="exact"/>
        <w:rPr>
          <w:rFonts w:ascii="Times New Roman" w:cs="Times New Roman" w:eastAsia="Times New Roman" w:hAnsi="Times New Roman"/>
          <w:sz w:val="14"/>
          <w:szCs w:val="14"/>
          <w:color w:val="auto"/>
        </w:rPr>
      </w:pPr>
    </w:p>
    <w:p>
      <w:pPr>
        <w:ind w:left="320" w:hanging="315"/>
        <w:spacing w:after="0" w:line="266" w:lineRule="auto"/>
        <w:tabs>
          <w:tab w:leader="none" w:pos="32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settlement of reinsurance recoverables in conjunction with the respective amendments of the 2016, 2018 and 2021 QSR Transactions. See Item 1, “</w:t>
      </w:r>
      <w:r>
        <w:rPr>
          <w:rFonts w:ascii="Times New Roman" w:cs="Times New Roman" w:eastAsia="Times New Roman" w:hAnsi="Times New Roman"/>
          <w:sz w:val="14"/>
          <w:szCs w:val="14"/>
          <w:i w:val="1"/>
          <w:iCs w:val="1"/>
          <w:color w:val="auto"/>
        </w:rPr>
        <w:t>Financial Statements - Notes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Condensed Consolidated Financial Statements - Note 5, Reinsurance” </w:t>
      </w:r>
      <w:r>
        <w:rPr>
          <w:rFonts w:ascii="Times New Roman" w:cs="Times New Roman" w:eastAsia="Times New Roman" w:hAnsi="Times New Roman"/>
          <w:sz w:val="14"/>
          <w:szCs w:val="14"/>
          <w:color w:val="auto"/>
        </w:rPr>
        <w:t>for additional information.</w:t>
      </w:r>
    </w:p>
    <w:p>
      <w:pPr>
        <w:spacing w:after="0" w:line="119"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claims incurred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7"/>
          <w:szCs w:val="17"/>
          <w:color w:val="auto"/>
        </w:rPr>
        <w:t xml:space="preserve">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$86.5 million related to prior year defaults remained as of June 30, 2025.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count of loans in default: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31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10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9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3"/>
        </w:trPr>
        <w:tc>
          <w:tcPr>
            <w:tcW w:w="498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default inventory</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5,099</w:t>
            </w:r>
          </w:p>
        </w:tc>
      </w:tr>
      <w:tr>
        <w:trPr>
          <w:trHeight w:val="22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Plus: new defaults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1,728</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3,604</w:t>
            </w:r>
          </w:p>
        </w:tc>
      </w:tr>
      <w:tr>
        <w:trPr>
          <w:trHeight w:val="222"/>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(3,686)</w:t>
            </w:r>
          </w:p>
        </w:tc>
      </w:tr>
      <w:tr>
        <w:trPr>
          <w:trHeight w:val="22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2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rescission and claims denied</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5"/>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Ending default inventory</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6,709</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4,904</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6,709</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4,904</w:t>
            </w:r>
          </w:p>
        </w:tc>
      </w:tr>
      <w:tr>
        <w:trPr>
          <w:trHeight w:val="20"/>
        </w:trPr>
        <w:tc>
          <w:tcPr>
            <w:tcW w:w="4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Ending default inventory increased from June 30, 2024 to June 30, 2025, primarily due to the growth and seasoning of our insured portfolio, as well as the emergence of storm-related defaults on insured loans in areas declared by the Federal Emergency Management Agency to be individual disaster zones, partially offset by cure activity within our default population during the intervening period.</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details of our claims paid, before giving effect to claims ceded under the QSR Transactions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33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60" w:type="dxa"/>
            <w:vAlign w:val="bottom"/>
          </w:tcPr>
          <w:p>
            <w:pPr>
              <w:spacing w:after="0"/>
              <w:rPr>
                <w:sz w:val="16"/>
                <w:szCs w:val="16"/>
                <w:color w:val="auto"/>
              </w:rPr>
            </w:pPr>
          </w:p>
        </w:tc>
        <w:tc>
          <w:tcPr>
            <w:tcW w:w="290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46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gridSpan w:val="4"/>
          </w:tcPr>
          <w:p>
            <w:pPr>
              <w:jc w:val="right"/>
              <w:ind w:right="899"/>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8"/>
        </w:trPr>
        <w:tc>
          <w:tcPr>
            <w:tcW w:w="46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Number of claims paid </w:t>
            </w:r>
            <w:r>
              <w:rPr>
                <w:rFonts w:ascii="Times New Roman" w:cs="Times New Roman" w:eastAsia="Times New Roman" w:hAnsi="Times New Roman"/>
                <w:sz w:val="22"/>
                <w:szCs w:val="22"/>
                <w:color w:val="auto"/>
                <w:vertAlign w:val="superscript"/>
              </w:rPr>
              <w:t>(1)</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93</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188</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101</w:t>
            </w:r>
          </w:p>
        </w:tc>
      </w:tr>
      <w:tr>
        <w:trPr>
          <w:trHeight w:val="222"/>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amount paid for claims</w:t>
            </w:r>
          </w:p>
        </w:tc>
        <w:tc>
          <w:tcPr>
            <w:tcW w:w="960" w:type="dxa"/>
            <w:vAlign w:val="bottom"/>
          </w:tcPr>
          <w:p>
            <w:pPr>
              <w:jc w:val="right"/>
              <w:ind w:right="762"/>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9"/>
              </w:rPr>
              <w:t>5,512</w:t>
            </w:r>
          </w:p>
        </w:tc>
        <w:tc>
          <w:tcPr>
            <w:tcW w:w="4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1,877</w:t>
            </w:r>
          </w:p>
        </w:tc>
        <w:tc>
          <w:tcPr>
            <w:tcW w:w="8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10,737</w:t>
            </w:r>
          </w:p>
        </w:tc>
        <w:tc>
          <w:tcPr>
            <w:tcW w:w="4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3,022</w:t>
            </w:r>
          </w:p>
        </w:tc>
      </w:tr>
      <w:tr>
        <w:trPr>
          <w:trHeight w:val="22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amount paid per claim</w:t>
            </w: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59</w:t>
            </w:r>
          </w:p>
        </w:tc>
        <w:tc>
          <w:tcPr>
            <w:tcW w:w="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57</w:t>
            </w:r>
          </w:p>
        </w:tc>
        <w:tc>
          <w:tcPr>
            <w:tcW w:w="4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30</w:t>
            </w:r>
          </w:p>
        </w:tc>
      </w:tr>
      <w:tr>
        <w:trPr>
          <w:trHeight w:val="298"/>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Severity </w:t>
            </w:r>
            <w:r>
              <w:rPr>
                <w:rFonts w:ascii="Times New Roman" w:cs="Times New Roman" w:eastAsia="Times New Roman" w:hAnsi="Times New Roman"/>
                <w:sz w:val="22"/>
                <w:szCs w:val="22"/>
                <w:color w:val="auto"/>
                <w:vertAlign w:val="superscript"/>
              </w:rPr>
              <w:t>(2)</w:t>
            </w:r>
          </w:p>
        </w:tc>
        <w:tc>
          <w:tcPr>
            <w:tcW w:w="9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54 %</w:t>
            </w:r>
          </w:p>
        </w:tc>
      </w:tr>
    </w:tbl>
    <w:p>
      <w:pPr>
        <w:spacing w:after="0" w:line="137" w:lineRule="exact"/>
        <w:rPr>
          <w:sz w:val="20"/>
          <w:szCs w:val="20"/>
          <w:color w:val="auto"/>
        </w:rPr>
      </w:pPr>
    </w:p>
    <w:p>
      <w:pPr>
        <w:ind w:left="320" w:hanging="315"/>
        <w:spacing w:after="0" w:line="262" w:lineRule="auto"/>
        <w:tabs>
          <w:tab w:leader="none" w:pos="31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 includes 16 and 36 claims settled without payment during the three and six months ended June 30, 2025, respectively, and 19 and 35 claims settled without payment during the three and six months ended June 30, 2024, respectively.</w:t>
      </w:r>
    </w:p>
    <w:p>
      <w:pPr>
        <w:ind w:left="320" w:hanging="315"/>
        <w:spacing w:after="0" w:line="266" w:lineRule="auto"/>
        <w:tabs>
          <w:tab w:leader="none" w:pos="34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10"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paid 93 and 188 claims during the three and six months ended June 30, 2025, respectively, and 59 and 101 claims during the three and six months ended June 30, 2024, respectively. The number of claims paid in each period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w:t>
      </w:r>
    </w:p>
    <w:p>
      <w:pPr>
        <w:spacing w:after="0" w:line="119" w:lineRule="exact"/>
        <w:rPr>
          <w:sz w:val="20"/>
          <w:szCs w:val="20"/>
          <w:color w:val="auto"/>
        </w:rPr>
      </w:pPr>
    </w:p>
    <w:p>
      <w:pPr>
        <w:ind w:right="140" w:firstLine="627"/>
        <w:spacing w:after="0" w:line="254" w:lineRule="auto"/>
        <w:rPr>
          <w:sz w:val="20"/>
          <w:szCs w:val="20"/>
          <w:color w:val="auto"/>
        </w:rPr>
      </w:pPr>
      <w:r>
        <w:rPr>
          <w:rFonts w:ascii="Times New Roman" w:cs="Times New Roman" w:eastAsia="Times New Roman" w:hAnsi="Times New Roman"/>
          <w:sz w:val="17"/>
          <w:szCs w:val="17"/>
          <w:color w:val="auto"/>
        </w:rPr>
        <w:t>Our claims severity was 82% and 75% for the three and six months ended June 30, 2025, respectively, compared to 54% for both the three and six months ended June 30, 2024. The increase in claims severity for the three and six months ended June 30, 2025, was primarily due to a greater proportion of claims related to loans originated in recent years. These loans generally have less accumulated equity than earlier vintages. Lower equity in these loans reduces the likelihood of a third-party sale of a foreclosed property, resulting in higher claims payments and contributing to the overall increase in claim severity. Our claims severity for each period was below long-term industry norms.</w:t>
      </w:r>
    </w:p>
    <w:p>
      <w:pPr>
        <w:spacing w:after="0" w:line="1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The number of claims paid and our severity experience in future periods may be impacted if developing economic cycles impose financial strain on borrowers, and each could increase if house price declines serve to limit the alternative paths and incentives to cure delinquencies that are available to defaulted borrowers or erode the equity value of the homes collateralizing the mortgages we insure.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8" w:name="page39"/>
    <w:bookmarkEnd w:id="38"/>
    <w:p>
      <w:pPr>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provides detail on our average reserve per default, before giving effect to reserves ceded under the QSR Transactions, as of the dates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reserve per default:</w:t>
            </w:r>
          </w:p>
        </w:tc>
        <w:tc>
          <w:tcPr>
            <w:tcW w:w="1500" w:type="dxa"/>
            <w:vAlign w:val="bottom"/>
          </w:tcPr>
          <w:p>
            <w:pPr>
              <w:spacing w:after="0"/>
              <w:rPr>
                <w:sz w:val="16"/>
                <w:szCs w:val="16"/>
                <w:color w:val="auto"/>
              </w:rPr>
            </w:pPr>
          </w:p>
        </w:tc>
        <w:tc>
          <w:tcPr>
            <w:tcW w:w="1400" w:type="dxa"/>
            <w:vAlign w:val="bottom"/>
            <w:gridSpan w:val="3"/>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50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3"/>
        </w:trPr>
        <w:tc>
          <w:tcPr>
            <w:tcW w:w="6820" w:type="dxa"/>
            <w:vAlign w:val="bottom"/>
          </w:tcPr>
          <w:p>
            <w:pPr>
              <w:spacing w:after="0"/>
              <w:rPr>
                <w:sz w:val="15"/>
                <w:szCs w:val="15"/>
                <w:color w:val="auto"/>
              </w:rPr>
            </w:pPr>
          </w:p>
        </w:tc>
        <w:tc>
          <w:tcPr>
            <w:tcW w:w="15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6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gridSpan w:val="3"/>
          </w:tcPr>
          <w:p>
            <w:pPr>
              <w:jc w:val="right"/>
              <w:ind w:right="1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tcPr>
          <w:p>
            <w:pPr>
              <w:spacing w:after="0"/>
              <w:rPr>
                <w:sz w:val="16"/>
                <w:szCs w:val="16"/>
                <w:color w:val="auto"/>
              </w:rPr>
            </w:pPr>
          </w:p>
        </w:tc>
      </w:tr>
      <w:tr>
        <w:trPr>
          <w:trHeight w:val="228"/>
        </w:trPr>
        <w:tc>
          <w:tcPr>
            <w:tcW w:w="68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Case </w:t>
            </w:r>
            <w:r>
              <w:rPr>
                <w:rFonts w:ascii="Times New Roman" w:cs="Times New Roman" w:eastAsia="Times New Roman" w:hAnsi="Times New Roman"/>
                <w:sz w:val="22"/>
                <w:szCs w:val="22"/>
                <w:color w:val="auto"/>
                <w:vertAlign w:val="superscript"/>
              </w:rPr>
              <w:t>(1)</w:t>
            </w:r>
          </w:p>
        </w:tc>
        <w:tc>
          <w:tcPr>
            <w:tcW w:w="150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r>
      <w:tr>
        <w:trPr>
          <w:trHeight w:val="222"/>
        </w:trPr>
        <w:tc>
          <w:tcPr>
            <w:tcW w:w="682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IBNR</w:t>
            </w:r>
            <w:r>
              <w:rPr>
                <w:rFonts w:ascii="Times New Roman" w:cs="Times New Roman" w:eastAsia="Times New Roman" w:hAnsi="Times New Roman"/>
                <w:sz w:val="10"/>
                <w:szCs w:val="10"/>
                <w:color w:val="auto"/>
              </w:rPr>
              <w:t xml:space="preserve"> (1)(2)</w:t>
            </w:r>
          </w:p>
        </w:tc>
        <w:tc>
          <w:tcPr>
            <w:tcW w:w="1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Borders>
              <w:bottom w:val="single" w:sz="8" w:color="auto"/>
            </w:tcBorders>
            <w:shd w:val="clear" w:color="auto" w:fill="CCEEFF"/>
          </w:tcPr>
          <w:p>
            <w:pPr>
              <w:jc w:val="right"/>
              <w:ind w:right="1299"/>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r>
    </w:tbl>
    <w:p>
      <w:pPr>
        <w:spacing w:after="0" w:line="226" w:lineRule="exact"/>
        <w:rPr>
          <w:sz w:val="20"/>
          <w:szCs w:val="20"/>
          <w:color w:val="auto"/>
        </w:rPr>
      </w:pPr>
    </w:p>
    <w:p>
      <w:pPr>
        <w:ind w:left="300" w:hanging="295"/>
        <w:spacing w:after="0"/>
        <w:tabs>
          <w:tab w:leader="none" w:pos="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gross reserve per insured loan in default.</w:t>
      </w:r>
    </w:p>
    <w:p>
      <w:pPr>
        <w:spacing w:after="0" w:line="1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claims adjustment expenses.</w:t>
      </w:r>
    </w:p>
    <w:p>
      <w:pPr>
        <w:spacing w:after="0" w:line="154"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Average reserve per default decreased from June 30, 2024 to June 30, 2025, due to changes in observed and forecasted housing market conditions and macroeconomic factors between the measurement dates, and an increase in the proportion of defaults that trace to storm-related activity year-on-year. We generally observe that storm-related defaults cure at higher rates than other similarly situated loans in default (in non-disaster zones) and scale our reserves accordingly. Average reserves per default were further impacted by other changes in the composition of our default inventory as measured by the size, vintage and current estimated LTV of defaulted loans.</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GSE Oversight</w:t>
      </w:r>
    </w:p>
    <w:p>
      <w:pPr>
        <w:spacing w:after="0" w:line="172" w:lineRule="exact"/>
        <w:rPr>
          <w:sz w:val="20"/>
          <w:szCs w:val="20"/>
          <w:color w:val="auto"/>
        </w:rPr>
      </w:pPr>
    </w:p>
    <w:p>
      <w:pPr>
        <w:jc w:val="both"/>
        <w:ind w:firstLine="666"/>
        <w:spacing w:after="0" w:line="267"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NMIC is subject to ongoing compliance with the PMIERs established by each of the GSEs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described below).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current vs. delinquent), LTV ratio and other risk features. In general, higher quality loans carry lower asset charges.</w:t>
      </w:r>
    </w:p>
    <w:p>
      <w:pPr>
        <w:spacing w:after="0" w:line="115" w:lineRule="exact"/>
        <w:rPr>
          <w:sz w:val="20"/>
          <w:szCs w:val="20"/>
          <w:color w:val="auto"/>
        </w:rPr>
      </w:pPr>
    </w:p>
    <w:p>
      <w:pPr>
        <w:jc w:val="both"/>
        <w:ind w:firstLine="666"/>
        <w:spacing w:after="0" w:line="298" w:lineRule="auto"/>
        <w:rPr>
          <w:sz w:val="20"/>
          <w:szCs w:val="20"/>
          <w:color w:val="auto"/>
        </w:rPr>
      </w:pPr>
      <w:r>
        <w:rPr>
          <w:rFonts w:ascii="Times New Roman" w:cs="Times New Roman" w:eastAsia="Times New Roman" w:hAnsi="Times New Roman"/>
          <w:sz w:val="17"/>
          <w:szCs w:val="17"/>
          <w:color w:val="auto"/>
        </w:rPr>
        <w:t xml:space="preserve">Under the PMIERs,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equal or exceed </w:t>
      </w:r>
      <w:r>
        <w:rPr>
          <w:rFonts w:ascii="Times New Roman" w:cs="Times New Roman" w:eastAsia="Times New Roman" w:hAnsi="Times New Roman"/>
          <w:sz w:val="17"/>
          <w:szCs w:val="17"/>
          <w:i w:val="1"/>
          <w:iCs w:val="1"/>
          <w:color w:val="auto"/>
        </w:rPr>
        <w:t>minimum required assets</w:t>
      </w:r>
      <w:r>
        <w:rPr>
          <w:rFonts w:ascii="Times New Roman" w:cs="Times New Roman" w:eastAsia="Times New Roman" w:hAnsi="Times New Roman"/>
          <w:sz w:val="17"/>
          <w:szCs w:val="17"/>
          <w:color w:val="auto"/>
        </w:rPr>
        <w:t xml:space="preserve">, which is an amount equal to the greater of (i) $400 million or (ii) a total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w:t>
      </w:r>
    </w:p>
    <w:p>
      <w:pPr>
        <w:spacing w:after="0" w:line="90" w:lineRule="exact"/>
        <w:rPr>
          <w:sz w:val="20"/>
          <w:szCs w:val="20"/>
          <w:color w:val="auto"/>
        </w:rPr>
      </w:pPr>
    </w:p>
    <w:p>
      <w:pPr>
        <w:jc w:val="both"/>
        <w:ind w:firstLine="66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Available assets </w:t>
      </w:r>
      <w:r>
        <w:rPr>
          <w:rFonts w:ascii="Times New Roman" w:cs="Times New Roman" w:eastAsia="Times New Roman" w:hAnsi="Times New Roman"/>
          <w:sz w:val="17"/>
          <w:szCs w:val="17"/>
          <w:color w:val="auto"/>
        </w:rPr>
        <w:t>reflect the financial resources of a mortgage insurer available to pay claims, and includes the most readily liquid assets held, such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investments and other items as stipulated in PMIERs Section 703. The credit provided for such liquid assets is further subject to adjustment based on several factors, including asset class, credit rating and portfolio concentration.</w:t>
      </w:r>
    </w:p>
    <w:p>
      <w:pPr>
        <w:spacing w:after="0" w:line="107" w:lineRule="exact"/>
        <w:rPr>
          <w:sz w:val="20"/>
          <w:szCs w:val="20"/>
          <w:color w:val="auto"/>
        </w:rPr>
      </w:pPr>
    </w:p>
    <w:p>
      <w:pPr>
        <w:jc w:val="both"/>
        <w:ind w:firstLine="666"/>
        <w:spacing w:after="0" w:line="270"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 function of the risk profile of an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RIF, assessed on a loan-by-loan basis and considered against certain risk-based factors derived from tables set out in the PMIERs, which is then adjusted on an aggregate basis for reinsurance transactions approved by the GSEs, such as with respect to our ILN Transactions, XOL Transactions and QSR Transactions. The </w:t>
      </w:r>
      <w:r>
        <w:rPr>
          <w:rFonts w:ascii="Times New Roman" w:cs="Times New Roman" w:eastAsia="Times New Roman" w:hAnsi="Times New Roman"/>
          <w:sz w:val="17"/>
          <w:szCs w:val="17"/>
          <w:i w:val="1"/>
          <w:iCs w:val="1"/>
          <w:color w:val="auto"/>
        </w:rPr>
        <w:t>aggregate gross risk-based required asset</w:t>
      </w:r>
      <w:r>
        <w:rPr>
          <w:rFonts w:ascii="Times New Roman" w:cs="Times New Roman" w:eastAsia="Times New Roman" w:hAnsi="Times New Roman"/>
          <w:sz w:val="17"/>
          <w:szCs w:val="17"/>
          <w:color w:val="auto"/>
        </w:rPr>
        <w:t xml:space="preserve"> amount for performing, primary insurance is subject to a floor of 5.6% of </w:t>
      </w:r>
      <w:r>
        <w:rPr>
          <w:rFonts w:ascii="Times New Roman" w:cs="Times New Roman" w:eastAsia="Times New Roman" w:hAnsi="Times New Roman"/>
          <w:sz w:val="17"/>
          <w:szCs w:val="17"/>
          <w:i w:val="1"/>
          <w:iCs w:val="1"/>
          <w:color w:val="auto"/>
        </w:rPr>
        <w:t>performing primary adjusted RIF</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By April 15th of each year, NMIC must certify it met all PMIERs requirements as of December 31st of the prior year. We certified to the GSEs by April 15, 2025 that NMIC was in full compliance with the PMIERs as of December 31, 2024. NMIC also has an ongoing obligation to immediately notify the GSEs in writing upon discovery of a failure to meet one or more of the PMIERs requirements. We continuously monitor NMIC's compliance with the PMIERs.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9" w:name="page40"/>
    <w:bookmarkEnd w:id="39"/>
    <w:p>
      <w:pPr>
        <w:jc w:val="both"/>
        <w:ind w:firstLine="627"/>
        <w:spacing w:after="0" w:line="298" w:lineRule="auto"/>
        <w:rPr>
          <w:sz w:val="20"/>
          <w:szCs w:val="20"/>
          <w:color w:val="auto"/>
        </w:rPr>
      </w:pPr>
      <w:r>
        <w:rPr>
          <w:rFonts w:ascii="Times New Roman" w:cs="Times New Roman" w:eastAsia="Times New Roman" w:hAnsi="Times New Roman"/>
          <w:sz w:val="17"/>
          <w:szCs w:val="17"/>
          <w:color w:val="auto"/>
        </w:rPr>
        <w:t xml:space="preserve">The following table provides a comparison of the PMIERs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and net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as reported by NMIC as of the dates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16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76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7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gridSpan w:val="2"/>
          </w:tcPr>
          <w:p>
            <w:pPr>
              <w:ind w:left="9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16"/>
                <w:szCs w:val="16"/>
                <w:color w:val="auto"/>
              </w:rPr>
            </w:pPr>
          </w:p>
        </w:tc>
      </w:tr>
      <w:tr>
        <w:trPr>
          <w:trHeight w:val="22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 assets</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3,244,517</w:t>
            </w:r>
          </w:p>
        </w:tc>
        <w:tc>
          <w:tcPr>
            <w:tcW w:w="6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2,827,721</w:t>
            </w: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risk-based required assets</w:t>
            </w:r>
          </w:p>
        </w:tc>
        <w:tc>
          <w:tcPr>
            <w:tcW w:w="40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1,926,517</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1,651,569</w:t>
            </w:r>
          </w:p>
        </w:tc>
      </w:tr>
    </w:tbl>
    <w:p>
      <w:pPr>
        <w:spacing w:after="0" w:line="223" w:lineRule="exact"/>
        <w:rPr>
          <w:sz w:val="20"/>
          <w:szCs w:val="20"/>
          <w:color w:val="auto"/>
        </w:rPr>
      </w:pPr>
    </w:p>
    <w:p>
      <w:pPr>
        <w:jc w:val="both"/>
        <w:ind w:firstLine="627"/>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Available assets </w:t>
      </w:r>
      <w:r>
        <w:rPr>
          <w:rFonts w:ascii="Times New Roman" w:cs="Times New Roman" w:eastAsia="Times New Roman" w:hAnsi="Times New Roman"/>
          <w:sz w:val="17"/>
          <w:szCs w:val="17"/>
          <w:color w:val="auto"/>
        </w:rPr>
        <w:t>were $3.2 billion at June 30, 2025, compared to $2.8 billion at June 30, 2024. The $417 million increase in</w:t>
      </w:r>
      <w:r>
        <w:rPr>
          <w:rFonts w:ascii="Times New Roman" w:cs="Times New Roman" w:eastAsia="Times New Roman" w:hAnsi="Times New Roman"/>
          <w:sz w:val="17"/>
          <w:szCs w:val="17"/>
          <w:i w:val="1"/>
          <w:iCs w:val="1"/>
          <w:color w:val="auto"/>
        </w:rPr>
        <w:t xml:space="preserve"> available assets </w:t>
      </w:r>
      <w:r>
        <w:rPr>
          <w:rFonts w:ascii="Times New Roman" w:cs="Times New Roman" w:eastAsia="Times New Roman" w:hAnsi="Times New Roman"/>
          <w:sz w:val="17"/>
          <w:szCs w:val="17"/>
          <w:color w:val="auto"/>
        </w:rPr>
        <w:t>between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dates presented was primarily driven by NMIC's positive cash flow from operations during the intervening period, partially offset by the payment of an ordinary course dividend from NMIC to NMIH in June 2025.</w:t>
      </w:r>
    </w:p>
    <w:p>
      <w:pPr>
        <w:spacing w:after="0" w:line="107" w:lineRule="exact"/>
        <w:rPr>
          <w:sz w:val="20"/>
          <w:szCs w:val="20"/>
          <w:color w:val="auto"/>
        </w:rPr>
      </w:pPr>
    </w:p>
    <w:p>
      <w:pPr>
        <w:jc w:val="both"/>
        <w:ind w:firstLine="627"/>
        <w:spacing w:after="0" w:line="289" w:lineRule="auto"/>
        <w:rPr>
          <w:sz w:val="20"/>
          <w:szCs w:val="20"/>
          <w:color w:val="auto"/>
        </w:rPr>
      </w:pPr>
      <w:r>
        <w:rPr>
          <w:rFonts w:ascii="Times New Roman" w:cs="Times New Roman" w:eastAsia="Times New Roman" w:hAnsi="Times New Roman"/>
          <w:sz w:val="17"/>
          <w:szCs w:val="17"/>
          <w:color w:val="auto"/>
        </w:rPr>
        <w:t xml:space="preserve">Net </w:t>
      </w:r>
      <w:r>
        <w:rPr>
          <w:rFonts w:ascii="Times New Roman" w:cs="Times New Roman" w:eastAsia="Times New Roman" w:hAnsi="Times New Roman"/>
          <w:sz w:val="17"/>
          <w:szCs w:val="17"/>
          <w:i w:val="1"/>
          <w:iCs w:val="1"/>
          <w:color w:val="auto"/>
        </w:rPr>
        <w:t>risk-based required assets</w:t>
      </w:r>
      <w:r>
        <w:rPr>
          <w:rFonts w:ascii="Times New Roman" w:cs="Times New Roman" w:eastAsia="Times New Roman" w:hAnsi="Times New Roman"/>
          <w:sz w:val="17"/>
          <w:szCs w:val="17"/>
          <w:color w:val="auto"/>
        </w:rPr>
        <w:t xml:space="preserve"> were $1.9 billion at June 30, 2025, compared to $1.7 billion at June 30, 2024. The $275 million increase in the </w:t>
      </w:r>
      <w:r>
        <w:rPr>
          <w:rFonts w:ascii="Times New Roman" w:cs="Times New Roman" w:eastAsia="Times New Roman" w:hAnsi="Times New Roman"/>
          <w:sz w:val="17"/>
          <w:szCs w:val="17"/>
          <w:i w:val="1"/>
          <w:iCs w:val="1"/>
          <w:color w:val="auto"/>
        </w:rPr>
        <w:t xml:space="preserve">risk-based required asset </w:t>
      </w:r>
      <w:r>
        <w:rPr>
          <w:rFonts w:ascii="Times New Roman" w:cs="Times New Roman" w:eastAsia="Times New Roman" w:hAnsi="Times New Roman"/>
          <w:sz w:val="17"/>
          <w:szCs w:val="17"/>
          <w:color w:val="auto"/>
        </w:rPr>
        <w:t>amount between the dates presented was primarily due to the growth in our gross RIF and aggregate gross</w:t>
      </w:r>
      <w:r>
        <w:rPr>
          <w:rFonts w:ascii="Times New Roman" w:cs="Times New Roman" w:eastAsia="Times New Roman" w:hAnsi="Times New Roman"/>
          <w:sz w:val="17"/>
          <w:szCs w:val="17"/>
          <w:i w:val="1"/>
          <w:iCs w:val="1"/>
          <w:color w:val="auto"/>
        </w:rPr>
        <w:t xml:space="preserve"> risk-based required asset </w:t>
      </w:r>
      <w:r>
        <w:rPr>
          <w:rFonts w:ascii="Times New Roman" w:cs="Times New Roman" w:eastAsia="Times New Roman" w:hAnsi="Times New Roman"/>
          <w:sz w:val="17"/>
          <w:szCs w:val="17"/>
          <w:color w:val="auto"/>
        </w:rPr>
        <w:t>amount.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and Technology Support Function</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Effective April 1, 2025, we renewed and extended our existing seven-year IT service agreement with Tata Consultancy Services (TCS), dated March 31, 2020, through March 31, 2032. Under the agreement, TCS provides IT services across such functions as application development and support, infrastructure support, and information security. Our engagement with TCS has enhanced our ability to provide innovative IT solutions for our internal and external constituents, and has allowed us to realize cost efficiencies by leveraging TCS’s global platform.</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300" w:type="dxa"/>
            <w:vAlign w:val="bottom"/>
          </w:tcPr>
          <w:p>
            <w:pPr>
              <w:spacing w:after="0"/>
              <w:rPr>
                <w:sz w:val="16"/>
                <w:szCs w:val="16"/>
                <w:color w:val="auto"/>
              </w:rPr>
            </w:pPr>
          </w:p>
        </w:tc>
        <w:tc>
          <w:tcPr>
            <w:tcW w:w="290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r>
      <w:tr>
        <w:trPr>
          <w:trHeight w:val="182"/>
        </w:trPr>
        <w:tc>
          <w:tcPr>
            <w:tcW w:w="5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i w:val="1"/>
                <w:iCs w:val="1"/>
                <w:color w:val="auto"/>
                <w:w w:val="99"/>
              </w:rPr>
              <w:t>($ In Thousands, except for per share data)</w:t>
            </w:r>
          </w:p>
        </w:tc>
        <w:tc>
          <w:tcPr>
            <w:tcW w:w="1480" w:type="dxa"/>
            <w:vAlign w:val="bottom"/>
          </w:tcPr>
          <w:p>
            <w:pPr>
              <w:spacing w:after="0"/>
              <w:rPr>
                <w:sz w:val="18"/>
                <w:szCs w:val="18"/>
                <w:color w:val="auto"/>
              </w:rPr>
            </w:pPr>
          </w:p>
        </w:tc>
      </w:tr>
      <w:tr>
        <w:trPr>
          <w:trHeight w:val="222"/>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premiums earned</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149,066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141,168</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2"/>
        </w:trPr>
        <w:tc>
          <w:tcPr>
            <w:tcW w:w="5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30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24,949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20,688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4,261</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22"/>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48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(4)</w:t>
            </w:r>
          </w:p>
        </w:tc>
      </w:tr>
      <w:tr>
        <w:trPr>
          <w:trHeight w:val="222"/>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revenues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173,779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162,122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0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2"/>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Insurance claims and claim expenses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13,445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13,169</w:t>
            </w:r>
          </w:p>
        </w:tc>
        <w:tc>
          <w:tcPr>
            <w:tcW w:w="148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(4)</w:t>
            </w:r>
          </w:p>
        </w:tc>
      </w:tr>
      <w:tr>
        <w:trPr>
          <w:trHeight w:val="222"/>
        </w:trPr>
        <w:tc>
          <w:tcPr>
            <w:tcW w:w="5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30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29,508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28,330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2"/>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 expenses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22"/>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7,115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14,678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(7,563)</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50,178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43,478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41"/>
        </w:trPr>
        <w:tc>
          <w:tcPr>
            <w:tcW w:w="5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123,601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118,644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2"/>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27,450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26,565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4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96,151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92,079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208"/>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 Basic</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1.15</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2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 Diluted</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1.13</w:t>
            </w: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61"/>
        </w:trPr>
        <w:tc>
          <w:tcPr>
            <w:tcW w:w="5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22"/>
        </w:trPr>
        <w:tc>
          <w:tcPr>
            <w:tcW w:w="524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Loss ratio </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2"/>
        </w:trPr>
        <w:tc>
          <w:tcPr>
            <w:tcW w:w="52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Expense ratio </w:t>
            </w:r>
            <w:r>
              <w:rPr>
                <w:rFonts w:ascii="Times New Roman" w:cs="Times New Roman" w:eastAsia="Times New Roman" w:hAnsi="Times New Roman"/>
                <w:sz w:val="22"/>
                <w:szCs w:val="22"/>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0"/>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Combined ratio</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220" w:type="dxa"/>
            <w:vAlign w:val="bottom"/>
          </w:tcPr>
          <w:p>
            <w:pPr>
              <w:spacing w:after="0"/>
              <w:rPr>
                <w:sz w:val="16"/>
                <w:szCs w:val="16"/>
                <w:color w:val="auto"/>
              </w:rPr>
            </w:pPr>
          </w:p>
        </w:tc>
        <w:tc>
          <w:tcPr>
            <w:tcW w:w="278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20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6"/>
          </w:tcPr>
          <w:p>
            <w:pPr>
              <w:jc w:val="right"/>
              <w:ind w:right="236"/>
              <w:spacing w:after="0"/>
              <w:rPr>
                <w:sz w:val="20"/>
                <w:szCs w:val="20"/>
                <w:color w:val="auto"/>
              </w:rPr>
            </w:pPr>
            <w:r>
              <w:rPr>
                <w:rFonts w:ascii="Times New Roman" w:cs="Times New Roman" w:eastAsia="Times New Roman" w:hAnsi="Times New Roman"/>
                <w:sz w:val="14"/>
                <w:szCs w:val="14"/>
                <w:i w:val="1"/>
                <w:iCs w:val="1"/>
                <w:color w:val="auto"/>
                <w:w w:val="99"/>
              </w:rPr>
              <w:t>($ In Thousands, except for per share data)</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premiums earned</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298,432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277,825</w:t>
            </w: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20,607</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2"/>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22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48,635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40,124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21 %</w:t>
            </w:r>
          </w:p>
        </w:tc>
        <w:tc>
          <w:tcPr>
            <w:tcW w:w="0" w:type="dxa"/>
            <w:vAlign w:val="bottom"/>
          </w:tcPr>
          <w:p>
            <w:pPr>
              <w:spacing w:after="0"/>
              <w:rPr>
                <w:sz w:val="1"/>
                <w:szCs w:val="1"/>
                <w:color w:val="auto"/>
              </w:rPr>
            </w:pPr>
          </w:p>
        </w:tc>
      </w:tr>
      <w:tr>
        <w:trPr>
          <w:trHeight w:val="222"/>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480" w:type="dxa"/>
            <w:vAlign w:val="bottom"/>
            <w:gridSpan w:val="2"/>
            <w:shd w:val="clear" w:color="auto" w:fill="CCEEFF"/>
          </w:tcPr>
          <w:p>
            <w:pPr>
              <w:jc w:val="right"/>
              <w:ind w:right="20"/>
              <w:spacing w:after="0" w:line="222"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(4)</w:t>
            </w:r>
          </w:p>
        </w:tc>
        <w:tc>
          <w:tcPr>
            <w:tcW w:w="0" w:type="dxa"/>
            <w:vAlign w:val="bottom"/>
          </w:tcPr>
          <w:p>
            <w:pPr>
              <w:spacing w:after="0"/>
              <w:rPr>
                <w:sz w:val="1"/>
                <w:szCs w:val="1"/>
                <w:color w:val="auto"/>
              </w:rPr>
            </w:pPr>
          </w:p>
        </w:tc>
      </w:tr>
      <w:tr>
        <w:trPr>
          <w:trHeight w:val="222"/>
        </w:trPr>
        <w:tc>
          <w:tcPr>
            <w:tcW w:w="5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Other revenues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426</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4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5"/>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347,025</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318,375</w:t>
            </w:r>
          </w:p>
        </w:tc>
        <w:tc>
          <w:tcPr>
            <w:tcW w:w="2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28,650</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02"/>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Insurance claims and claim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17,923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3,970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13,953</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351 %</w:t>
            </w:r>
          </w:p>
        </w:tc>
        <w:tc>
          <w:tcPr>
            <w:tcW w:w="0" w:type="dxa"/>
            <w:vAlign w:val="bottom"/>
          </w:tcPr>
          <w:p>
            <w:pPr>
              <w:spacing w:after="0"/>
              <w:rPr>
                <w:sz w:val="1"/>
                <w:szCs w:val="1"/>
                <w:color w:val="auto"/>
              </w:rPr>
            </w:pPr>
          </w:p>
        </w:tc>
      </w:tr>
      <w:tr>
        <w:trPr>
          <w:trHeight w:val="222"/>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22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59,683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58,145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2"/>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2"/>
        </w:trPr>
        <w:tc>
          <w:tcPr>
            <w:tcW w:w="5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14,221</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22,718</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(8,497)</w:t>
            </w:r>
          </w:p>
        </w:tc>
        <w:tc>
          <w:tcPr>
            <w:tcW w:w="14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5"/>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92,053</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85,164</w:t>
            </w:r>
          </w:p>
        </w:tc>
        <w:tc>
          <w:tcPr>
            <w:tcW w:w="2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6,889</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41"/>
        </w:trPr>
        <w:tc>
          <w:tcPr>
            <w:tcW w:w="5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254,972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233,211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21,761</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22"/>
        </w:trPr>
        <w:tc>
          <w:tcPr>
            <w:tcW w:w="5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56,262</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52,082</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4,180</w:t>
            </w:r>
          </w:p>
        </w:tc>
        <w:tc>
          <w:tcPr>
            <w:tcW w:w="14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4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198,710</w:t>
            </w:r>
          </w:p>
        </w:tc>
        <w:tc>
          <w:tcPr>
            <w:tcW w:w="1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181,129</w:t>
            </w:r>
          </w:p>
        </w:tc>
        <w:tc>
          <w:tcPr>
            <w:tcW w:w="2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17,581</w:t>
            </w: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 Basic</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2.25</w:t>
            </w: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22"/>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Earnings per share - Diluted</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2.22</w:t>
            </w:r>
          </w:p>
        </w:tc>
        <w:tc>
          <w:tcPr>
            <w:tcW w:w="200" w:type="dxa"/>
            <w:vAlign w:val="bottom"/>
          </w:tcPr>
          <w:p>
            <w:pPr>
              <w:spacing w:after="0"/>
              <w:rPr>
                <w:sz w:val="19"/>
                <w:szCs w:val="19"/>
                <w:color w:val="auto"/>
              </w:rPr>
            </w:pPr>
          </w:p>
        </w:tc>
        <w:tc>
          <w:tcPr>
            <w:tcW w:w="30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61"/>
        </w:trPr>
        <w:tc>
          <w:tcPr>
            <w:tcW w:w="5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Loss ratio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Expense ratio </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Combined ratio </w:t>
            </w:r>
            <w:r>
              <w:rPr>
                <w:rFonts w:ascii="Times New Roman" w:cs="Times New Roman" w:eastAsia="Times New Roman" w:hAnsi="Times New Roman"/>
                <w:sz w:val="22"/>
                <w:szCs w:val="22"/>
                <w:color w:val="auto"/>
                <w:vertAlign w:val="superscript"/>
              </w:rPr>
              <w:t>(3)</w:t>
            </w:r>
          </w:p>
        </w:tc>
        <w:tc>
          <w:tcPr>
            <w:tcW w:w="2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26.0 %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22.4 %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Non-GAAP financial measures </w:t>
            </w:r>
            <w:r>
              <w:rPr>
                <w:rFonts w:ascii="Times New Roman" w:cs="Times New Roman" w:eastAsia="Times New Roman" w:hAnsi="Times New Roman"/>
                <w:sz w:val="18"/>
                <w:szCs w:val="18"/>
                <w:b w:val="1"/>
                <w:bCs w:val="1"/>
                <w:color w:val="auto"/>
                <w:vertAlign w:val="superscript"/>
              </w:rPr>
              <w:t>(5)</w:t>
            </w: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vMerge w:val="continue"/>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2180" w:type="dxa"/>
            <w:vAlign w:val="bottom"/>
            <w:tcBorders>
              <w:top w:val="single" w:sz="8" w:color="auto"/>
              <w:bottom w:val="single" w:sz="8" w:color="auto"/>
            </w:tcBorders>
            <w:gridSpan w:val="2"/>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8"/>
          </w:tcPr>
          <w:p>
            <w:pPr>
              <w:jc w:val="right"/>
              <w:ind w:right="396"/>
              <w:spacing w:after="0"/>
              <w:rPr>
                <w:sz w:val="20"/>
                <w:szCs w:val="20"/>
                <w:color w:val="auto"/>
              </w:rPr>
            </w:pPr>
            <w:r>
              <w:rPr>
                <w:rFonts w:ascii="Times New Roman" w:cs="Times New Roman" w:eastAsia="Times New Roman" w:hAnsi="Times New Roman"/>
                <w:sz w:val="14"/>
                <w:szCs w:val="14"/>
                <w:i w:val="1"/>
                <w:iCs w:val="1"/>
                <w:color w:val="auto"/>
                <w:w w:val="99"/>
              </w:rPr>
              <w:t>($ In Thousands, except for per share data)</w:t>
            </w: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income before tax</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124,001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rPr>
              <w:t>(1,609)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w:t>
            </w:r>
          </w:p>
        </w:tc>
        <w:tc>
          <w:tcPr>
            <w:tcW w:w="22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96,467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(1,115)</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rPr>
              <w:t>0.02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Non-GAAP financial measures </w:t>
            </w:r>
            <w:r>
              <w:rPr>
                <w:rFonts w:ascii="Times New Roman" w:cs="Times New Roman" w:eastAsia="Times New Roman" w:hAnsi="Times New Roman"/>
                <w:sz w:val="9"/>
                <w:szCs w:val="9"/>
                <w:b w:val="1"/>
                <w:bCs w:val="1"/>
                <w:color w:val="auto"/>
              </w:rPr>
              <w:t>(5)</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180" w:type="dxa"/>
            <w:vAlign w:val="bottom"/>
            <w:tcBorders>
              <w:top w:val="single" w:sz="8" w:color="auto"/>
              <w:bottom w:val="single" w:sz="8" w:color="auto"/>
            </w:tcBorders>
            <w:gridSpan w:val="2"/>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20" w:type="dxa"/>
            <w:vAlign w:val="bottom"/>
            <w:gridSpan w:val="8"/>
          </w:tcPr>
          <w:p>
            <w:pPr>
              <w:jc w:val="right"/>
              <w:ind w:right="396"/>
              <w:spacing w:after="0"/>
              <w:rPr>
                <w:sz w:val="20"/>
                <w:szCs w:val="20"/>
                <w:color w:val="auto"/>
              </w:rPr>
            </w:pPr>
            <w:r>
              <w:rPr>
                <w:rFonts w:ascii="Times New Roman" w:cs="Times New Roman" w:eastAsia="Times New Roman" w:hAnsi="Times New Roman"/>
                <w:sz w:val="14"/>
                <w:szCs w:val="14"/>
                <w:i w:val="1"/>
                <w:iCs w:val="1"/>
                <w:color w:val="auto"/>
                <w:w w:val="99"/>
              </w:rPr>
              <w:t>($ In Thousands, except for per share data)</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income before tax</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255,348</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15,171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w:t>
            </w:r>
          </w:p>
        </w:tc>
        <w:tc>
          <w:tcPr>
            <w:tcW w:w="22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199,007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12,375</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rPr>
              <w:t>0.22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00" w:hanging="295"/>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ratio is calculated by dividing insurance claims and claim expenses by net premiums earned.</w:t>
      </w:r>
    </w:p>
    <w:p>
      <w:pPr>
        <w:spacing w:after="0" w:line="2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ratio is calculated by dividing underwriting and operating expenses by net premiums earned.</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Combined ratio may not foot due to rounding.</w:t>
      </w:r>
    </w:p>
    <w:p>
      <w:pPr>
        <w:ind w:left="300" w:hanging="295"/>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5"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Explanation and Reconciliation of Our Use of Non-GAAP Financial Measures,”</w:t>
      </w:r>
      <w:r>
        <w:rPr>
          <w:rFonts w:ascii="Times New Roman" w:cs="Times New Roman" w:eastAsia="Times New Roman" w:hAnsi="Times New Roman"/>
          <w:sz w:val="14"/>
          <w:szCs w:val="14"/>
          <w:color w:val="auto"/>
        </w:rPr>
        <w:t xml:space="preserve"> below.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74"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Net premiums earned increased during the three and six months ended June 30, 2025 compared to the three and six months ended June 30, 2024 primarily due to growth in our monthly IIF and monthly pay premium receipts, partially offset by an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increase in the total premiums ceded under our reinsurance treaties.</w:t>
      </w:r>
    </w:p>
    <w:p>
      <w:pPr>
        <w:spacing w:after="0" w:line="17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Net investment income increased during the three and six months ended June 30, 2025 compared to the three and six months ended June 30, 2024 primarily due to growth in the size of our total invested asset base, as well as an increase in the book yield of our investment portfolio tied to the deployment of new cash flows and reinvestment of rolling maturities at incrementally higher rates.</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Other revenues represent underwriting fee revenue generated by our subsidiary, NMIS, which provides outsourced loan review services to mortgage loan originators. Changes in other revenues primarily reflect changes in NMIS' outsourced loan review volume. Amounts recognized in other revenues generally correspond with amounts incurred as service expenses for outsourced loan review activities in the same periods.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17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10"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Insurance claims and claim expenses increased during the three and six months ended June 30, 2025 compared to the three and six months ended June 30, 2024 primarily due to an increase in the number of newly defaulted loans that emerged in the respective periods and the establishment of initial reserves against such loans, as well as an increase in the average case reserves held against previously defaulted loans that aged in their delinquency status, partially offset by the release of a portion of the reserves we established for anticipated claims payments in prior periods in connection with cure activity and the ongoing analysis of recent loss development trends.</w:t>
      </w:r>
    </w:p>
    <w:p>
      <w:pPr>
        <w:spacing w:after="0" w:line="119"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Underwriting and operating expenses increased during the three and six months ended June 30, 2025 compared to the three and six months ended June 30, 2024 primarily due to an increase in the recognition of non-cash stock-based compensation expenses and a decrease in the amortization of previously deferred policy acquisition costs.</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Service expenses represent third-party costs incurred by NMIS in connection with the services it provides. Changes in service expenses primarily reflect changes in NMIS' outsourced loan review volume. Amounts incurred as service expenses generally correspond with amounts recognized in other revenues in the same periods.</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Interest expense primarily reflects the carrying costs of our outstanding debt. Interest expense for the three and six months ended June 30, 2024 includes $7.0 million of non-recurring costs related to the refinancing of the 2020 Notes and 2021 Revolving Credit Facility. See Item 1, “</w:t>
      </w:r>
      <w:r>
        <w:rPr>
          <w:rFonts w:ascii="Times New Roman" w:cs="Times New Roman" w:eastAsia="Times New Roman" w:hAnsi="Times New Roman"/>
          <w:sz w:val="17"/>
          <w:szCs w:val="17"/>
          <w:i w:val="1"/>
          <w:iCs w:val="1"/>
          <w:color w:val="auto"/>
        </w:rPr>
        <w:t>Financial Statements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Notes to Condensed Consolidated Financial Statements - Note 4, Debt.”</w:t>
      </w:r>
    </w:p>
    <w:p>
      <w:pPr>
        <w:spacing w:after="0" w:line="110"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Income tax expense increased during the three and six months ended June 30, 2025 compared to the three and six months ended June 30, 2024 primarily due to the growth in our pre-tax income. Our effective tax rate on pre-tax income was 22.2% and 22.1% for the three and six months ended June 30, 2025, respectively, compared to 22.4% and 22.3% for the three and six months ended June 30, 2024, respectively.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and six months ended June 30, 2025 and 2024 include the discrete tax effects of the vesting of RSUs. See Item 1, “</w:t>
      </w:r>
      <w:r>
        <w:rPr>
          <w:rFonts w:ascii="Times New Roman" w:cs="Times New Roman" w:eastAsia="Times New Roman" w:hAnsi="Times New Roman"/>
          <w:sz w:val="17"/>
          <w:szCs w:val="17"/>
          <w:i w:val="1"/>
          <w:iCs w:val="1"/>
          <w:color w:val="auto"/>
        </w:rPr>
        <w:t>Financial Statements - Notes to Condensed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Consolidated Financial Statements - Note 9,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174"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Net income increased during the three and six months ended June 30, 2025 compared to the three and six months ended June 30, 2024, primarily due to growth in our total revenues, partially offset by increases in our insurance claims and claim expenses, income tax expense, and underwriting and operating expenses. Adjusted net income for both the three and six months ended June 30, 2025 reflects a $0.4 million adjustment for net realized investment losses and adjusted net income for both the three and six months ended June 30, 2024 reflects a $7.0 million adjustment for non-recurring costs incurred in connection with the refinancing of the 2020 Notes and 2021 Revolving Credit Facility.</w:t>
      </w:r>
    </w:p>
    <w:p>
      <w:pPr>
        <w:spacing w:after="0" w:line="119" w:lineRule="exact"/>
        <w:rPr>
          <w:sz w:val="20"/>
          <w:szCs w:val="20"/>
          <w:color w:val="auto"/>
        </w:rPr>
      </w:pPr>
    </w:p>
    <w:p>
      <w:pPr>
        <w:jc w:val="both"/>
        <w:ind w:firstLine="627"/>
        <w:spacing w:after="0" w:line="288" w:lineRule="auto"/>
        <w:rPr>
          <w:sz w:val="20"/>
          <w:szCs w:val="20"/>
          <w:color w:val="auto"/>
        </w:rPr>
      </w:pPr>
      <w:r>
        <w:rPr>
          <w:rFonts w:ascii="Times New Roman" w:cs="Times New Roman" w:eastAsia="Times New Roman" w:hAnsi="Times New Roman"/>
          <w:sz w:val="17"/>
          <w:szCs w:val="17"/>
          <w:color w:val="auto"/>
        </w:rPr>
        <w:t>Diluted and adjusted diluted EPS increased during the three and six months ended June 30, 2025 compared to the three and six months ended June 30, 2024 primarily due to growth in our net income, as well as a decline in the number of weighted average diluted shares outstanding tied to share repurchase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3" w:name="page44"/>
    <w:bookmarkEnd w:id="43"/>
    <w:p>
      <w:pPr>
        <w:ind w:left="74" w:firstLine="627"/>
        <w:spacing w:after="0" w:line="295" w:lineRule="auto"/>
        <w:rPr>
          <w:sz w:val="20"/>
          <w:szCs w:val="20"/>
          <w:color w:val="auto"/>
        </w:rPr>
      </w:pPr>
      <w:r>
        <w:rPr>
          <w:rFonts w:ascii="Times New Roman" w:cs="Times New Roman" w:eastAsia="Times New Roman" w:hAnsi="Times New Roman"/>
          <w:sz w:val="17"/>
          <w:szCs w:val="17"/>
          <w:color w:val="auto"/>
        </w:rPr>
        <w:t>The non-GAAP financial measures of adjusted income before tax, adjusted net income and adjusted diluted EPS are presented to enhance the comparability of financial results between periods.</w:t>
      </w:r>
    </w:p>
    <w:p>
      <w:pPr>
        <w:spacing w:after="0" w:line="136" w:lineRule="exact"/>
        <w:rPr>
          <w:sz w:val="20"/>
          <w:szCs w:val="20"/>
          <w:color w:val="auto"/>
        </w:rPr>
      </w:pPr>
    </w:p>
    <w:tbl>
      <w:tblPr>
        <w:tblLayout w:type="fixed"/>
        <w:tblInd w:w="74" w:type="dxa"/>
        <w:tblCellMar>
          <w:top w:w="0" w:type="dxa"/>
          <w:left w:w="0" w:type="dxa"/>
          <w:bottom w:w="0" w:type="dxa"/>
          <w:right w:w="0" w:type="dxa"/>
        </w:tblCellMar>
      </w:tblP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 Reconciliations</w:t>
            </w:r>
          </w:p>
        </w:tc>
        <w:tc>
          <w:tcPr>
            <w:tcW w:w="260" w:type="dxa"/>
            <w:vAlign w:val="bottom"/>
          </w:tcPr>
          <w:p>
            <w:pPr>
              <w:spacing w:after="0"/>
              <w:rPr>
                <w:sz w:val="18"/>
                <w:szCs w:val="18"/>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w w:val="97"/>
              </w:rPr>
              <w:t>% Change</w:t>
            </w:r>
          </w:p>
        </w:tc>
      </w:tr>
      <w:tr>
        <w:trPr>
          <w:trHeight w:val="185"/>
        </w:trPr>
        <w:tc>
          <w:tcPr>
            <w:tcW w:w="51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w w:val="98"/>
              </w:rPr>
              <w:t>2025 vs. 2024</w:t>
            </w:r>
          </w:p>
        </w:tc>
        <w:tc>
          <w:tcPr>
            <w:tcW w:w="1100" w:type="dxa"/>
            <w:vAlign w:val="bottom"/>
            <w:tcBorders>
              <w:top w:val="single" w:sz="8" w:color="auto"/>
              <w:bottom w:val="single" w:sz="8" w:color="auto"/>
            </w:tcBorders>
          </w:tcPr>
          <w:p>
            <w:pPr>
              <w:spacing w:after="0"/>
              <w:rPr>
                <w:sz w:val="16"/>
                <w:szCs w:val="16"/>
                <w:color w:val="auto"/>
              </w:rPr>
            </w:pP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5"/>
          </w:tcPr>
          <w:p>
            <w:pPr>
              <w:ind w:left="10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100" w:type="dxa"/>
            <w:vAlign w:val="bottom"/>
          </w:tcPr>
          <w:p>
            <w:pPr>
              <w:spacing w:after="0"/>
              <w:rPr>
                <w:sz w:val="18"/>
                <w:szCs w:val="18"/>
                <w:color w:val="auto"/>
              </w:rPr>
            </w:pPr>
          </w:p>
        </w:tc>
      </w:tr>
      <w:tr>
        <w:trPr>
          <w:trHeight w:val="22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2"/>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27,450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5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4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96,151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4,072</w:t>
            </w:r>
          </w:p>
        </w:tc>
        <w:tc>
          <w:tcPr>
            <w:tcW w:w="5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208"/>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2"/>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realized investment losses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540" w:type="dxa"/>
            <w:vAlign w:val="bottom"/>
          </w:tcPr>
          <w:p>
            <w:pPr>
              <w:spacing w:after="0"/>
              <w:rPr>
                <w:sz w:val="19"/>
                <w:szCs w:val="19"/>
                <w:color w:val="auto"/>
              </w:rPr>
            </w:pPr>
          </w:p>
        </w:tc>
        <w:tc>
          <w:tcPr>
            <w:tcW w:w="1100" w:type="dxa"/>
            <w:vAlign w:val="bottom"/>
          </w:tcPr>
          <w:p>
            <w:pPr>
              <w:jc w:val="right"/>
              <w:spacing w:after="0" w:line="222"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(2)</w:t>
            </w:r>
          </w:p>
        </w:tc>
      </w:tr>
      <w:tr>
        <w:trPr>
          <w:trHeight w:val="22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markets transaction costs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(2)</w:t>
            </w:r>
          </w:p>
        </w:tc>
      </w:tr>
      <w:tr>
        <w:trPr>
          <w:trHeight w:val="215"/>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income before tax</w:t>
            </w: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124,001</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125,610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61"/>
        </w:trPr>
        <w:tc>
          <w:tcPr>
            <w:tcW w:w="5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2"/>
        </w:trPr>
        <w:tc>
          <w:tcPr>
            <w:tcW w:w="514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Income tax expense on adjustments </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5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1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income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61"/>
        </w:trPr>
        <w:tc>
          <w:tcPr>
            <w:tcW w:w="5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diluted EPS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r>
    </w:tbl>
    <w:p>
      <w:pPr>
        <w:spacing w:after="0" w:line="200" w:lineRule="exact"/>
        <w:rPr>
          <w:sz w:val="20"/>
          <w:szCs w:val="20"/>
          <w:color w:val="auto"/>
        </w:rPr>
      </w:pPr>
    </w:p>
    <w:p>
      <w:pPr>
        <w:spacing w:after="0" w:line="247" w:lineRule="exact"/>
        <w:rPr>
          <w:sz w:val="20"/>
          <w:szCs w:val="20"/>
          <w:color w:val="auto"/>
        </w:rPr>
      </w:pPr>
    </w:p>
    <w:tbl>
      <w:tblPr>
        <w:tblLayout w:type="fixed"/>
        <w:tblInd w:w="74" w:type="dxa"/>
        <w:tblCellMar>
          <w:top w:w="0" w:type="dxa"/>
          <w:left w:w="0" w:type="dxa"/>
          <w:bottom w:w="0" w:type="dxa"/>
          <w:right w:w="0" w:type="dxa"/>
        </w:tblCellMar>
      </w:tblPr>
      <w:tr>
        <w:trPr>
          <w:trHeight w:val="209"/>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 Reconciliations</w:t>
            </w:r>
          </w:p>
        </w:tc>
        <w:tc>
          <w:tcPr>
            <w:tcW w:w="260" w:type="dxa"/>
            <w:vAlign w:val="bottom"/>
          </w:tcPr>
          <w:p>
            <w:pPr>
              <w:spacing w:after="0"/>
              <w:rPr>
                <w:sz w:val="18"/>
                <w:szCs w:val="18"/>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7"/>
              </w:rPr>
              <w:t>% Change</w:t>
            </w:r>
          </w:p>
        </w:tc>
      </w:tr>
      <w:tr>
        <w:trPr>
          <w:trHeight w:val="185"/>
        </w:trPr>
        <w:tc>
          <w:tcPr>
            <w:tcW w:w="50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w w:val="96"/>
              </w:rPr>
              <w:t>2025 vs. 2024</w:t>
            </w:r>
          </w:p>
        </w:tc>
        <w:tc>
          <w:tcPr>
            <w:tcW w:w="1060" w:type="dxa"/>
            <w:vAlign w:val="bottom"/>
            <w:tcBorders>
              <w:top w:val="single" w:sz="8" w:color="auto"/>
              <w:bottom w:val="single" w:sz="8" w:color="auto"/>
            </w:tcBorders>
          </w:tcPr>
          <w:p>
            <w:pPr>
              <w:spacing w:after="0"/>
              <w:rPr>
                <w:sz w:val="16"/>
                <w:szCs w:val="16"/>
                <w:color w:val="auto"/>
              </w:rPr>
            </w:pPr>
          </w:p>
        </w:tc>
      </w:tr>
      <w:tr>
        <w:trPr>
          <w:trHeight w:val="20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5"/>
          </w:tcPr>
          <w:p>
            <w:pPr>
              <w:ind w:left="8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060" w:type="dxa"/>
            <w:vAlign w:val="bottom"/>
          </w:tcPr>
          <w:p>
            <w:pPr>
              <w:spacing w:after="0"/>
              <w:rPr>
                <w:sz w:val="18"/>
                <w:szCs w:val="18"/>
                <w:color w:val="auto"/>
              </w:rPr>
            </w:pPr>
          </w:p>
        </w:tc>
      </w:tr>
      <w:tr>
        <w:trPr>
          <w:trHeight w:val="22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21,761</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22"/>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52,082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4,180</w:t>
            </w: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4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181,129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17,581</w:t>
            </w: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08"/>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realized investment losses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520" w:type="dxa"/>
            <w:vAlign w:val="bottom"/>
          </w:tcPr>
          <w:p>
            <w:pPr>
              <w:spacing w:after="0"/>
              <w:rPr>
                <w:sz w:val="19"/>
                <w:szCs w:val="19"/>
                <w:color w:val="auto"/>
              </w:rPr>
            </w:pPr>
          </w:p>
        </w:tc>
        <w:tc>
          <w:tcPr>
            <w:tcW w:w="1060" w:type="dxa"/>
            <w:vAlign w:val="bottom"/>
          </w:tcPr>
          <w:p>
            <w:pPr>
              <w:jc w:val="right"/>
              <w:spacing w:after="0" w:line="222"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(2)</w:t>
            </w:r>
          </w:p>
        </w:tc>
      </w:tr>
      <w:tr>
        <w:trPr>
          <w:trHeight w:val="22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markets transaction costs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(2)</w:t>
            </w:r>
          </w:p>
        </w:tc>
      </w:tr>
      <w:tr>
        <w:trPr>
          <w:trHeight w:val="215"/>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income before tax</w:t>
            </w: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255,348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240,177</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15,171</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61"/>
        </w:trPr>
        <w:tc>
          <w:tcPr>
            <w:tcW w:w="5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2"/>
        </w:trPr>
        <w:tc>
          <w:tcPr>
            <w:tcW w:w="500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Income tax expense on adjustments </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(1,384)</w:t>
            </w: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1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income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12,375</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61"/>
        </w:trPr>
        <w:tc>
          <w:tcPr>
            <w:tcW w:w="5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diluted EPS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bl>
    <w:p>
      <w:pPr>
        <w:spacing w:after="0" w:line="101" w:lineRule="exact"/>
        <w:rPr>
          <w:sz w:val="20"/>
          <w:szCs w:val="20"/>
          <w:color w:val="auto"/>
        </w:rPr>
      </w:pPr>
    </w:p>
    <w:p>
      <w:pPr>
        <w:ind w:left="314" w:hanging="314"/>
        <w:spacing w:after="0" w:line="262" w:lineRule="auto"/>
        <w:tabs>
          <w:tab w:leader="none" w:pos="34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Marginal tax impact of non-GAAP adjustments is calculated based on our statutory U.S. federal corporate income tax rate of 21%, except for those items that are not eligible for an income tax deduction.</w:t>
      </w:r>
    </w:p>
    <w:p>
      <w:pPr>
        <w:ind w:left="294" w:hanging="294"/>
        <w:spacing w:after="0"/>
        <w:tabs>
          <w:tab w:leader="none" w:pos="29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14"/>
          </w:cols>
          <w:pgMar w:left="246" w:top="9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Explanation and Reconciliation of Our Use of Non-GAAP Financial Measures</w:t>
      </w:r>
    </w:p>
    <w:p>
      <w:pPr>
        <w:spacing w:after="0" w:line="17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330" w:lineRule="exact"/>
        <w:rPr>
          <w:sz w:val="20"/>
          <w:szCs w:val="20"/>
          <w:color w:val="auto"/>
        </w:rPr>
      </w:pPr>
    </w:p>
    <w:p>
      <w:pPr>
        <w:jc w:val="both"/>
        <w:ind w:firstLine="627"/>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Adjusted income before tax </w:t>
      </w:r>
      <w:r>
        <w:rPr>
          <w:rFonts w:ascii="Times New Roman" w:cs="Times New Roman" w:eastAsia="Times New Roman" w:hAnsi="Times New Roman"/>
          <w:sz w:val="17"/>
          <w:szCs w:val="17"/>
          <w:color w:val="auto"/>
        </w:rPr>
        <w:t>is defined as GAAP income before tax, excluding the pre-tax effects of net realized gains or losses from our investment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portfolio, periodic costs incurred in connection with capital markets transactions, and other infrequent, unusual or non-operating items in the periods in which such items are incurred.</w:t>
      </w:r>
    </w:p>
    <w:p>
      <w:pPr>
        <w:spacing w:after="0" w:line="107" w:lineRule="exact"/>
        <w:rPr>
          <w:sz w:val="20"/>
          <w:szCs w:val="20"/>
          <w:color w:val="auto"/>
        </w:rPr>
      </w:pPr>
    </w:p>
    <w:p>
      <w:pPr>
        <w:jc w:val="both"/>
        <w:ind w:firstLine="627"/>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Adjusted net income </w:t>
      </w:r>
      <w:r>
        <w:rPr>
          <w:rFonts w:ascii="Times New Roman" w:cs="Times New Roman" w:eastAsia="Times New Roman" w:hAnsi="Times New Roman"/>
          <w:sz w:val="17"/>
          <w:szCs w:val="17"/>
          <w:color w:val="auto"/>
        </w:rPr>
        <w:t>is defined as GAAP net income, excluding the after-tax effects of net realized gains or losses from our investment portfolio,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spacing w:after="0" w:line="107" w:lineRule="exact"/>
        <w:rPr>
          <w:sz w:val="20"/>
          <w:szCs w:val="20"/>
          <w:color w:val="auto"/>
        </w:rPr>
      </w:pPr>
    </w:p>
    <w:p>
      <w:pPr>
        <w:jc w:val="both"/>
        <w:ind w:firstLine="627"/>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Adjusted diluted EPS </w:t>
      </w:r>
      <w:r>
        <w:rPr>
          <w:rFonts w:ascii="Times New Roman" w:cs="Times New Roman" w:eastAsia="Times New Roman" w:hAnsi="Times New Roman"/>
          <w:sz w:val="17"/>
          <w:szCs w:val="17"/>
          <w:color w:val="auto"/>
        </w:rPr>
        <w:t>is defined as adjusted net income divided by adjusted weighted average diluted shares outstanding. Adjusted weighted average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16" w:lineRule="exact"/>
        <w:rPr>
          <w:sz w:val="20"/>
          <w:szCs w:val="20"/>
          <w:color w:val="auto"/>
        </w:rPr>
      </w:pPr>
    </w:p>
    <w:p>
      <w:pPr>
        <w:jc w:val="both"/>
        <w:ind w:firstLine="627"/>
        <w:spacing w:after="0" w:line="273" w:lineRule="auto"/>
        <w:rPr>
          <w:sz w:val="20"/>
          <w:szCs w:val="20"/>
          <w:color w:val="auto"/>
        </w:rPr>
      </w:pPr>
      <w:r>
        <w:rPr>
          <w:rFonts w:ascii="Times New Roman" w:cs="Times New Roman" w:eastAsia="Times New Roman" w:hAnsi="Times New Roman"/>
          <w:sz w:val="17"/>
          <w:szCs w:val="17"/>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324" w:lineRule="exact"/>
        <w:rPr>
          <w:sz w:val="20"/>
          <w:szCs w:val="20"/>
          <w:color w:val="auto"/>
        </w:rPr>
      </w:pPr>
    </w:p>
    <w:p>
      <w:pPr>
        <w:jc w:val="both"/>
        <w:ind w:left="640" w:hanging="322"/>
        <w:spacing w:after="0" w:line="277"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Net realized investment gains and losses</w:t>
      </w:r>
      <w:r>
        <w:rPr>
          <w:rFonts w:ascii="Times New Roman" w:cs="Times New Roman" w:eastAsia="Times New Roman" w:hAnsi="Times New Roman"/>
          <w:sz w:val="17"/>
          <w:szCs w:val="17"/>
          <w:color w:val="auto"/>
        </w:rPr>
        <w:t>. The recognition of net realized investment gains or losses can vary significantly across periods as the timing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highly discretionary and is influenced by factors such as market opportunities, tax and capital profile, and overall market cycles that do not reflect our current period operating results.</w:t>
      </w:r>
    </w:p>
    <w:p>
      <w:pPr>
        <w:spacing w:after="0" w:line="107" w:lineRule="exact"/>
        <w:rPr>
          <w:rFonts w:ascii="Times New Roman" w:cs="Times New Roman" w:eastAsia="Times New Roman" w:hAnsi="Times New Roman"/>
          <w:sz w:val="17"/>
          <w:szCs w:val="17"/>
          <w:color w:val="auto"/>
        </w:rPr>
      </w:pPr>
    </w:p>
    <w:p>
      <w:pPr>
        <w:jc w:val="both"/>
        <w:ind w:left="640" w:hanging="322"/>
        <w:spacing w:after="0" w:line="277" w:lineRule="auto"/>
        <w:tabs>
          <w:tab w:leader="none" w:pos="636"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Capital markets transaction costs</w:t>
      </w:r>
      <w:r>
        <w:rPr>
          <w:rFonts w:ascii="Times New Roman" w:cs="Times New Roman" w:eastAsia="Times New Roman" w:hAnsi="Times New Roman"/>
          <w:sz w:val="17"/>
          <w:szCs w:val="17"/>
          <w:color w:val="auto"/>
        </w:rPr>
        <w:t>. Capital markets transaction costs result from activities that are undertaken to improve our debt profile or enhance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position through activities such as debt refinancing and capital markets reinsurance transactions that may vary in their size and timing due to factors such as market opportunities, tax and capital profile, and overall market cycles.</w:t>
      </w:r>
    </w:p>
    <w:p>
      <w:pPr>
        <w:spacing w:after="0" w:line="107" w:lineRule="exact"/>
        <w:rPr>
          <w:rFonts w:ascii="Times New Roman" w:cs="Times New Roman" w:eastAsia="Times New Roman" w:hAnsi="Times New Roman"/>
          <w:sz w:val="17"/>
          <w:szCs w:val="17"/>
          <w:i w:val="1"/>
          <w:iCs w:val="1"/>
          <w:color w:val="auto"/>
        </w:rPr>
      </w:pPr>
    </w:p>
    <w:p>
      <w:pPr>
        <w:jc w:val="both"/>
        <w:ind w:left="640" w:hanging="322"/>
        <w:spacing w:after="0" w:line="263"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infrequent, unusual or non-operating items</w:t>
      </w:r>
      <w:r>
        <w:rPr>
          <w:rFonts w:ascii="Times New Roman" w:cs="Times New Roman" w:eastAsia="Times New Roman" w:hAnsi="Times New Roman"/>
          <w:sz w:val="17"/>
          <w:szCs w:val="17"/>
          <w:color w:val="auto"/>
        </w:rPr>
        <w:t>. Items that are the result of unforeseen or uncommon events, and are not expected to recur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4"/>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0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020" w:type="dxa"/>
            <w:vAlign w:val="bottom"/>
            <w:tcBorders>
              <w:top w:val="single" w:sz="8" w:color="auto"/>
            </w:tcBorders>
            <w:gridSpan w:val="4"/>
          </w:tcPr>
          <w:p>
            <w:pPr>
              <w:jc w:val="right"/>
              <w:ind w:right="113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investment portfolio</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2,929,117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2,723,541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205,576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2"/>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29,705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Premiums receivable,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2"/>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Pr>
          <w:p>
            <w:pPr>
              <w:spacing w:after="0"/>
              <w:rPr>
                <w:sz w:val="19"/>
                <w:szCs w:val="19"/>
                <w:color w:val="auto"/>
              </w:rPr>
            </w:pPr>
          </w:p>
        </w:tc>
        <w:tc>
          <w:tcPr>
            <w:tcW w:w="10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2"/>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federal income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51,487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44,877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6,610</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4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3,591,085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3,349,973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241,112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4"/>
        </w:trPr>
        <w:tc>
          <w:tcPr>
            <w:tcW w:w="5640" w:type="dxa"/>
            <w:vAlign w:val="bottom"/>
            <w:vMerge w:val="continue"/>
          </w:tcPr>
          <w:p>
            <w:pPr>
              <w:spacing w:after="0"/>
              <w:rPr>
                <w:sz w:val="16"/>
                <w:szCs w:val="16"/>
                <w:color w:val="auto"/>
              </w:rPr>
            </w:pPr>
          </w:p>
        </w:tc>
        <w:tc>
          <w:tcPr>
            <w:tcW w:w="240" w:type="dxa"/>
            <w:vAlign w:val="bottom"/>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416,073</w:t>
            </w:r>
          </w:p>
        </w:tc>
        <w:tc>
          <w:tcPr>
            <w:tcW w:w="80" w:type="dxa"/>
            <w:vAlign w:val="bottom"/>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415,146</w:t>
            </w:r>
          </w:p>
        </w:tc>
        <w:tc>
          <w:tcPr>
            <w:tcW w:w="8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927</w:t>
            </w: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2"/>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(16,260)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2"/>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441,389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55,197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1,170,978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1,132,541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38,437</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2,420,107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2,217,432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202,675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3,591,085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3,349,973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241,112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Total cash and investments increased at June 30, 2025 compared to December 31, 2024 with the addition of incremental cash provided by operating activities and a decrease in the unrealized loss position of our fixed income portfolio primarily tied to changes in interest rates during the six months ended June 30, 2025, partially offset by share repurchase activity during the period. Cash and investments at June 30, 2025 included $168.8 million held by NMIH.</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Net premiums receivable represents premiums due on our mortgage insurance policies and may fluctuate based on changes in our monthly premium policies in force, where premiums are generally paid one month in arrears, and the pace of settlement of previously outstanding receivables.</w:t>
      </w:r>
    </w:p>
    <w:p>
      <w:pPr>
        <w:spacing w:after="0" w:line="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Net deferred policy acquisition costs decreased at June 30, 2025 compared to December 31, 2024 primarily due to the recognition of previously deferred policy acquisition costs during the six months ended June 30, 2025, partially offset by the deferral of certain costs associated with the origination of new policies during the period.</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Net software and equipment decreased at June 30, 2025 compared to December 31, 2024 primarily due to the amortization of previously capitalized amounts during the six months ended June 30, 2025.</w:t>
      </w:r>
    </w:p>
    <w:p>
      <w:pPr>
        <w:spacing w:after="0" w:line="9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Reinsurance recoverable increased at June 30, 2025 compared to December 31, 2024 due to an increase in ceded losses recoverable under the QSR Transactions tied to an increase in our gross reserve for insurance claims and claim expenses.</w:t>
      </w:r>
    </w:p>
    <w:p>
      <w:pPr>
        <w:spacing w:after="0" w:line="9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Prepaid federal income taxes represent tax and loss bonds purchased in connection with our claimed tax deduction for our statutory contingency reserve position. See Item 1, “</w:t>
      </w:r>
      <w:r>
        <w:rPr>
          <w:rFonts w:ascii="Times New Roman" w:cs="Times New Roman" w:eastAsia="Times New Roman" w:hAnsi="Times New Roman"/>
          <w:sz w:val="17"/>
          <w:szCs w:val="17"/>
          <w:i w:val="1"/>
          <w:iCs w:val="1"/>
          <w:color w:val="auto"/>
        </w:rPr>
        <w:t>Financial Statements - Notes to Condensed Consolidated Financial Statements - Note 9, Income Taxes.”</w:t>
      </w:r>
    </w:p>
    <w:p>
      <w:pPr>
        <w:spacing w:after="0" w:line="9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Other assets increased at June 30, 2025 compared to December 31, 2024 primarily due to an increase in current income taxes receivable and accrued investment income.</w:t>
      </w:r>
    </w:p>
    <w:p>
      <w:pPr>
        <w:spacing w:after="0" w:line="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Unearned premiums decreased at June 30, 2025 compared to December 31, 2024 due to the amortization of existing unearned premiums through earnings in accordance with the expiration of risk on related single premium policies and the cancellations of other single premium policies during the six months ended June 30, 2025, partially offset by single premium policy originations during the period.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6" w:name="page47"/>
    <w:bookmarkEnd w:id="46"/>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Accounts payable and accrued expenses decreased at June 30, 2025 compared to December 31, 2024 primarily due to the settlement of previously accrued compensation expenses, accrued interest on the 2024 Notes, which is payable semi-annually in February and August, and premium and other taxes payable during the six months ended June 30, 2025.</w:t>
      </w:r>
    </w:p>
    <w:p>
      <w:pPr>
        <w:spacing w:after="0" w:line="110"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Reserve for insurance claims and claim expenses increased at June 30, 2025 compared to December 31, 2024 with the establishment of initial reserves on newly defaulted loans and an increase in the average case reserves held against previously defaulted loans that aged in their delinquent status during the six months ended June 30, 2025. The increase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period. See “</w:t>
      </w:r>
      <w:r>
        <w:rPr>
          <w:rFonts w:ascii="Times New Roman" w:cs="Times New Roman" w:eastAsia="Times New Roman" w:hAnsi="Times New Roman"/>
          <w:sz w:val="17"/>
          <w:szCs w:val="17"/>
          <w:i w:val="1"/>
          <w:iCs w:val="1"/>
          <w:color w:val="auto"/>
        </w:rPr>
        <w:t>Insurance Claims and Claim Expenses</w:t>
      </w:r>
      <w:r>
        <w:rPr>
          <w:rFonts w:ascii="Times New Roman" w:cs="Times New Roman" w:eastAsia="Times New Roman" w:hAnsi="Times New Roman"/>
          <w:sz w:val="17"/>
          <w:szCs w:val="17"/>
          <w:color w:val="auto"/>
        </w:rPr>
        <w:t>,” above for further details.</w:t>
      </w:r>
    </w:p>
    <w:p>
      <w:pPr>
        <w:spacing w:after="0" w:line="119"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Net deferred tax liability increased at June 30, 2025 compared to December 31, 2024 due to an increase in the claimed deductibility of our statutory contingency reserve, as well as a decrease in the aggregate unrealized loss position of our fixed income portfolio recorded in other comprehensive income. For further information regarding income taxes and their impact on our results of operations and financial position, see Item 1, “</w:t>
      </w:r>
      <w:r>
        <w:rPr>
          <w:rFonts w:ascii="Times New Roman" w:cs="Times New Roman" w:eastAsia="Times New Roman" w:hAnsi="Times New Roman"/>
          <w:sz w:val="17"/>
          <w:szCs w:val="17"/>
          <w:i w:val="1"/>
          <w:iCs w:val="1"/>
          <w:color w:val="auto"/>
        </w:rPr>
        <w:t>Financial Statements - Notes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Condensed Consolidated Financial Statements - Note 9, Income Taxes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 from operating, investing and financing activities: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cash flows</w:t>
            </w:r>
          </w:p>
        </w:tc>
        <w:tc>
          <w:tcPr>
            <w:tcW w:w="320" w:type="dxa"/>
            <w:vAlign w:val="bottom"/>
          </w:tcPr>
          <w:p>
            <w:pPr>
              <w:spacing w:after="0"/>
              <w:rPr>
                <w:sz w:val="16"/>
                <w:szCs w:val="16"/>
                <w:color w:val="auto"/>
              </w:rPr>
            </w:pPr>
          </w:p>
        </w:tc>
        <w:tc>
          <w:tcPr>
            <w:tcW w:w="28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46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4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2"/>
        </w:trPr>
        <w:tc>
          <w:tcPr>
            <w:tcW w:w="4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160" w:type="dxa"/>
            <w:vAlign w:val="bottom"/>
            <w:tcBorders>
              <w:bottom w:val="single" w:sz="8" w:color="auto"/>
            </w:tcBorders>
          </w:tcPr>
          <w:p>
            <w:pPr>
              <w:spacing w:after="0"/>
              <w:rPr>
                <w:sz w:val="15"/>
                <w:szCs w:val="15"/>
                <w:color w:val="auto"/>
              </w:rPr>
            </w:pPr>
          </w:p>
        </w:tc>
      </w:tr>
      <w:tr>
        <w:trPr>
          <w:trHeight w:val="20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activities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229,363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Investing activities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(212,366)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70,580</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2"/>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(51,057)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(6,959)</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15"/>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29,705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(34,060)</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63,765</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0"/>
        </w:trPr>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Net cash provided by operating activities increased during the six months ended June 30, 2025 compared to the six months ended June 30, 2024 primarily due to an increase in our net premiums receipts and growth in our investment income, largely offset by an increase in income taxes and claims and claim expenses paid.</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Cash used in investing activities for the six months ended June 30, 2025 and 2024 reflects the purchase of fixed and short-term maturities with cash provided by operating activities, and the reinvestment of coupon payments, sales, maturities and redemption proceeds within our investment portfolio.</w:t>
      </w:r>
    </w:p>
    <w:p>
      <w:pPr>
        <w:spacing w:after="0" w:line="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Cash used in financing activities primarily relates to the repurchase of common stock and taxes paid on the net share settlement of equity awards for certain employees. Cash used in financing activities for the six months ended June 30, 2024 benefitted from the net impact of the issuance of the 2024 Notes and redemption of the 2020 Notes during the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72"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2024 Notes and 2024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21"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As of June 30, 2025, NMIH had $168.8 million of cash and cash equivalents, and investments. NMIH</w:t>
      </w:r>
      <w:r>
        <w:rPr>
          <w:rFonts w:ascii="Arial" w:cs="Arial" w:eastAsia="Arial" w:hAnsi="Arial"/>
          <w:sz w:val="17"/>
          <w:szCs w:val="17"/>
          <w:color w:val="auto"/>
        </w:rPr>
        <w:t>’</w:t>
      </w:r>
      <w:r>
        <w:rPr>
          <w:rFonts w:ascii="Times New Roman" w:cs="Times New Roman" w:eastAsia="Times New Roman" w:hAnsi="Times New Roman"/>
          <w:sz w:val="17"/>
          <w:szCs w:val="17"/>
          <w:color w:val="auto"/>
        </w:rPr>
        <w:t>s principal sources of net cash are dividends from its subsidiaries and investment income. NMIC paid a $98.4 million ordinary course dividend to NMIH on June 2, 2025, representing its full ordinary course dividend capacity payable under Wisconsin insurance laws for the twelve-month period ending December 31, 2025. NMIH also has access to $250 million of undrawn revolving credit capacity under the 2024 Revolving Credit Facility.</w:t>
      </w:r>
    </w:p>
    <w:p>
      <w:pPr>
        <w:spacing w:after="0" w:line="116"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On July 31, 2023, our Board of Directors authorized a $200 million repurchase program (the 2023 Repurchase Program), effective through December 31, 2025. On February 5, 2025, our Board of Directors authorized a new $250 million repurchase program (the 2025 Repurchase Program), effective through December 31, 2027, and extended the effectiveness of the 2023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7" w:name="page48"/>
    <w:bookmarkEnd w:id="47"/>
    <w:p>
      <w:pPr>
        <w:jc w:val="both"/>
        <w:spacing w:after="0" w:line="276" w:lineRule="auto"/>
        <w:rPr>
          <w:sz w:val="20"/>
          <w:szCs w:val="20"/>
          <w:color w:val="auto"/>
        </w:rPr>
      </w:pPr>
      <w:r>
        <w:rPr>
          <w:rFonts w:ascii="Times New Roman" w:cs="Times New Roman" w:eastAsia="Times New Roman" w:hAnsi="Times New Roman"/>
          <w:sz w:val="17"/>
          <w:szCs w:val="17"/>
          <w:color w:val="auto"/>
        </w:rPr>
        <w:t>Repurchase Program through December 31, 2027 to align its remaining tenor with that of the 2025 Repurchase Program. The authorization provides NMIH the flexibility, based on market and business conditions, stock price and other factors, to repurchase stock from time to time through open market repurchases, privately negotiated transactions, or other means, including pursuant to Rule 10b5-1 trading plans.</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During the six months ended June 30, 2025, NMIH repurchased 1.3 million shares of common stock at a total cost of $49.5 million, including associated costs and applicable taxes. As of June 30, 2025, NMIH had $281.0 million of repurchase authority remaining.</w:t>
      </w:r>
    </w:p>
    <w:p>
      <w:pPr>
        <w:spacing w:after="0" w:line="9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2024 Notes and 2024 Revolving Credit Facility to NMIC, to the extent proceeds from such offering and facility are contributed to NMIC or used to repay, redeem or otherwise defease amounts raised by NMIC under prior credit arrangements that have previously been distributed to NMIC.</w:t>
      </w:r>
    </w:p>
    <w:p>
      <w:pPr>
        <w:spacing w:after="0" w:line="11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The 2024 Notes mature on August 15, 2029 and bear interest at a rate of 6.00%, payable semi-annually on February 15 and August 15. The 2024 Revolving Credit Facility matures on May 21, 2029, and accrues interest at a variable rate equal to, at our discretion, (i) a Base Rate (as defined in the 2024 Revolving Credit Facility, subject to a floor of 1.00% per annum) plus a margin of 0.375% to 1.875% per annum, or (ii) the Adjusted Term SOFR Rate (as defined in the 2024 Revolving Credit Facility) plus a margin of 1.375% to 2.875% per annum, with the margin in each of (i) or (ii) based on our applicable corporate credit rating at the time. Borrowings under the 2024 Revolving Credit Facility may be used for general corporate purposes, including to support the growth of our new business production and operations.</w:t>
      </w:r>
    </w:p>
    <w:p>
      <w:pPr>
        <w:spacing w:after="0" w:line="12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Under the 2024 Revolving Credit Facility, NMIH is required to pay a quarterly commitment fee on the average daily undrawn amount of 0.175% to 0.525%, based on the applicable corporate credit rating at the time. As of June 30, 2025, the applicable commitment fee was 0.225%.</w:t>
      </w:r>
    </w:p>
    <w:p>
      <w:pPr>
        <w:spacing w:after="0" w:line="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are subject to certain covenants under the 2024 Revolving Credit Facility, including: a maximum debt-to-total capitalization ratio of 35%, a minimum consolidated net worth requirement (as defined therein), and a requirement to maintain compliance with the financial standards prescribed by the PMIERs (subject to any GSE approved waivers). We were in compliance with all covenants at June 30, 2025.</w:t>
      </w:r>
    </w:p>
    <w:p>
      <w:pPr>
        <w:spacing w:after="0" w:line="110"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NMIC and Re One are subject to certain capital and dividend rules and regulations prescribed by jurisdictions in which they are authorized to operate and by the GSEs. Under Wisconsin insurance laws, NMIC and Re One may pay dividends up to specified levels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On June 2, 2025, NMIC paid a $98.4 million ordinary course dividend to NMIH, representing its full ordinary course dividend capacity payable under Wisconsin insurance laws for the twelve-month period ending December 31, 2025.</w:t>
      </w:r>
    </w:p>
    <w:p>
      <w:pPr>
        <w:spacing w:after="0" w:line="119" w:lineRule="exact"/>
        <w:rPr>
          <w:sz w:val="20"/>
          <w:szCs w:val="20"/>
          <w:color w:val="auto"/>
        </w:rPr>
      </w:pPr>
    </w:p>
    <w:p>
      <w:pPr>
        <w:jc w:val="both"/>
        <w:ind w:firstLine="627"/>
        <w:spacing w:after="0" w:line="277"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pacing w:after="0" w:line="109"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7"/>
          <w:szCs w:val="17"/>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 w:cs="Times New Roman" w:eastAsia="Times New Roman" w:hAnsi="Times New Roman"/>
          <w:sz w:val="17"/>
          <w:szCs w:val="17"/>
          <w:i w:val="1"/>
          <w:iCs w:val="1"/>
          <w:color w:val="auto"/>
        </w:rPr>
        <w:t xml:space="preserve">minimum required asset </w:t>
      </w:r>
      <w:r>
        <w:rPr>
          <w:rFonts w:ascii="Times New Roman" w:cs="Times New Roman" w:eastAsia="Times New Roman" w:hAnsi="Times New Roman"/>
          <w:sz w:val="17"/>
          <w:szCs w:val="17"/>
          <w:color w:val="auto"/>
        </w:rPr>
        <w:t>thresholds under the PMIERs and minimum state capital requirements (respectively, as defined therein).</w:t>
      </w:r>
    </w:p>
    <w:p>
      <w:pPr>
        <w:spacing w:after="0" w:line="103"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 xml:space="preserve">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are equal to or exceed a minimum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subject to a minimum floor of $400 million.</w:t>
      </w:r>
    </w:p>
    <w:p>
      <w:pPr>
        <w:spacing w:after="0" w:line="108" w:lineRule="exact"/>
        <w:rPr>
          <w:sz w:val="20"/>
          <w:szCs w:val="20"/>
          <w:color w:val="auto"/>
        </w:rPr>
      </w:pPr>
    </w:p>
    <w:p>
      <w:pPr>
        <w:jc w:val="both"/>
        <w:ind w:firstLine="66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Available assets </w:t>
      </w:r>
      <w:r>
        <w:rPr>
          <w:rFonts w:ascii="Times New Roman" w:cs="Times New Roman" w:eastAsia="Times New Roman" w:hAnsi="Times New Roman"/>
          <w:sz w:val="17"/>
          <w:szCs w:val="17"/>
          <w:color w:val="auto"/>
        </w:rPr>
        <w:t>reflect the financial resources of a mortgage insurer available to pay claims, and includes the most readily liquid assets held, such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investments and other items as stipulated in PMIERs Section 703. The credit provided for such liquid assets is further subject to adjustment based on several factors, including asset class, credit rating and portfolio concentration.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8" w:name="page49"/>
    <w:bookmarkEnd w:id="48"/>
    <w:p>
      <w:pPr>
        <w:jc w:val="both"/>
        <w:ind w:firstLine="627"/>
        <w:spacing w:after="0" w:line="267"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w:t>
      </w:r>
    </w:p>
    <w:p>
      <w:pPr>
        <w:spacing w:after="0" w:line="115" w:lineRule="exact"/>
        <w:rPr>
          <w:sz w:val="20"/>
          <w:szCs w:val="20"/>
          <w:color w:val="auto"/>
        </w:rPr>
      </w:pPr>
    </w:p>
    <w:p>
      <w:pPr>
        <w:jc w:val="both"/>
        <w:ind w:firstLine="627"/>
        <w:spacing w:after="0" w:line="267" w:lineRule="auto"/>
        <w:rPr>
          <w:sz w:val="20"/>
          <w:szCs w:val="20"/>
          <w:color w:val="auto"/>
        </w:rPr>
      </w:pPr>
      <w:r>
        <w:rPr>
          <w:rFonts w:ascii="Times New Roman" w:cs="Times New Roman" w:eastAsia="Times New Roman" w:hAnsi="Times New Roman"/>
          <w:sz w:val="17"/>
          <w:szCs w:val="17"/>
          <w:color w:val="auto"/>
        </w:rPr>
        <w:t xml:space="preserve">NMIC’s PMIERs minimum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also adjusted for its reinsurance transactions (as approved by the GSEs). Under NMIC’s quota share reinsurance treaties, it receives credit for the PMIERs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on ceded RIF. As its gross PMIERs </w:t>
      </w:r>
      <w:r>
        <w:rPr>
          <w:rFonts w:ascii="Times New Roman" w:cs="Times New Roman" w:eastAsia="Times New Roman" w:hAnsi="Times New Roman"/>
          <w:sz w:val="17"/>
          <w:szCs w:val="17"/>
          <w:i w:val="1"/>
          <w:iCs w:val="1"/>
          <w:color w:val="auto"/>
        </w:rPr>
        <w:t>risk-based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required asset </w:t>
      </w:r>
      <w:r>
        <w:rPr>
          <w:rFonts w:ascii="Times New Roman" w:cs="Times New Roman" w:eastAsia="Times New Roman" w:hAnsi="Times New Roman"/>
          <w:sz w:val="17"/>
          <w:szCs w:val="17"/>
          <w:color w:val="auto"/>
        </w:rPr>
        <w:t>amount on ceded RIF increases, the PMIERs credit for ceded RIF automatically increases as well (in an unlimited amount). Under NMIC’s ILN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XOL Transactions, it generally receives credit for the PMIERs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on ceded RIF to the extent such requirement is within the subordinated coverage (excess of loss detachment threshold) afforded by the transaction.</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1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As of June 30, 2025, NMIC had a RTC ratio of 13.1:1 with $39.7 billion of performing primary RIF, net of reinsurance, and $3.0 billion of total statutory capital, including contingency reserves. Re One has no risk in force remaining and no longer reports a RTC ratio.</w:t>
      </w:r>
    </w:p>
    <w:p>
      <w:pPr>
        <w:spacing w:after="0" w:line="94"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June 30, 2025, NMIC had $2.8 billion of cash and investments, including $36.1 million of cash and cash equivalents. NMIC's principal liquidity demands include funds for the payment of</w:t>
      </w:r>
    </w:p>
    <w:p>
      <w:pPr>
        <w:jc w:val="both"/>
        <w:ind w:firstLine="5"/>
        <w:spacing w:after="0" w:line="258" w:lineRule="auto"/>
        <w:tabs>
          <w:tab w:leader="none" w:pos="22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June 30, 2025, NMIC generated $378 million of cash flow from operations and received an additional $226 million of cash flow on the maturity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are of a contractually predetermined amount and due at a contractually predetermined date). NMIC’s only use of cash with the potential to develop along an unscheduled path is claims payments. Given the relatively small size of our current population of defaulted policies, the generally extended duration of the default-to-foreclosure-to-claim cycle, and the potential availability of forbearance, foreclosure moratorium and other borrower assistance programs (which serve to further extend the default-to-foreclosure-to-claim cycle timeline), we do not expect NMIC to use a meaningful amount of cash to settle claims in the near-term.</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and Financial Strength Ratings</w:t>
      </w:r>
    </w:p>
    <w:p>
      <w:pPr>
        <w:spacing w:after="0" w:line="159"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NMIC's financial strength is rated “A-” by Fitch Ratings (Fitch), “A3” by Moody's, and “A-” by S&amp;P. NMIH's 2024 Notes are rated “BBB-” by Fitch and “Baa3” by Moody's. The outlook for all ratings provided by Fitch is positive and the outlook for all ratings provided by Moody's and S&amp;P is stable.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Investment Portfolio</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Our investment portfolio is comprised entirely of fixed maturity instruments. As of June 30, 2025, the fair value of our investment portfolio was $2.9 billion and we held an additional $84.0 million of cash and cash equivalents. Pre-tax book yield on the investment portfolio for the six months ended June 30, 2025 was 3.2%.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17"/>
          <w:szCs w:val="17"/>
          <w:color w:val="auto"/>
        </w:rPr>
        <w:t>The following tables present a breakdown of our investment portfolio and cash and cash equivalents by investment type and credit rating: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portfolio's fair value</w:t>
            </w:r>
          </w:p>
        </w:tc>
        <w:tc>
          <w:tcPr>
            <w:tcW w:w="19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4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0" w:type="dxa"/>
            <w:vAlign w:val="bottom"/>
          </w:tcPr>
          <w:p>
            <w:pPr>
              <w:spacing w:after="0"/>
              <w:rPr>
                <w:sz w:val="1"/>
                <w:szCs w:val="1"/>
                <w:color w:val="auto"/>
              </w:rPr>
            </w:pPr>
          </w:p>
        </w:tc>
      </w:tr>
      <w:tr>
        <w:trPr>
          <w:trHeight w:val="222"/>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1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2"/>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1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5"/>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portfolio ratings at fair value </w:t>
            </w:r>
            <w:r>
              <w:rPr>
                <w:rFonts w:ascii="Times New Roman" w:cs="Times New Roman" w:eastAsia="Times New Roman" w:hAnsi="Times New Roman"/>
                <w:sz w:val="18"/>
                <w:szCs w:val="18"/>
                <w:b w:val="1"/>
                <w:bCs w:val="1"/>
                <w:color w:val="auto"/>
                <w:vertAlign w:val="superscript"/>
              </w:rPr>
              <w:t>(1)</w:t>
            </w: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7460" w:type="dxa"/>
            <w:vAlign w:val="bottom"/>
            <w:vMerge w:val="continue"/>
          </w:tcPr>
          <w:p>
            <w:pPr>
              <w:spacing w:after="0"/>
              <w:rPr>
                <w:sz w:val="24"/>
                <w:szCs w:val="24"/>
                <w:color w:val="auto"/>
              </w:rPr>
            </w:pPr>
          </w:p>
        </w:tc>
        <w:tc>
          <w:tcPr>
            <w:tcW w:w="19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5"/>
        </w:trPr>
        <w:tc>
          <w:tcPr>
            <w:tcW w:w="746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AAA </w:t>
            </w:r>
            <w:r>
              <w:rPr>
                <w:rFonts w:ascii="Times New Roman" w:cs="Times New Roman" w:eastAsia="Times New Roman" w:hAnsi="Times New Roman"/>
                <w:sz w:val="22"/>
                <w:szCs w:val="22"/>
                <w:color w:val="auto"/>
                <w:vertAlign w:val="superscript"/>
              </w:rPr>
              <w:t>(2)</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2"/>
        </w:trPr>
        <w:tc>
          <w:tcPr>
            <w:tcW w:w="7460" w:type="dxa"/>
            <w:vAlign w:val="bottom"/>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AA</w:t>
            </w:r>
            <w:r>
              <w:rPr>
                <w:rFonts w:ascii="Times New Roman" w:cs="Times New Roman" w:eastAsia="Times New Roman" w:hAnsi="Times New Roman"/>
                <w:sz w:val="10"/>
                <w:szCs w:val="10"/>
                <w:color w:val="auto"/>
              </w:rPr>
              <w:t xml:space="preserve"> (3)</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1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10"/>
                <w:szCs w:val="10"/>
                <w:color w:val="auto"/>
              </w:rPr>
              <w:t xml:space="preserve"> (3)</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2"/>
        </w:trPr>
        <w:tc>
          <w:tcPr>
            <w:tcW w:w="7460" w:type="dxa"/>
            <w:vAlign w:val="bottom"/>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BBB</w:t>
            </w:r>
            <w:r>
              <w:rPr>
                <w:rFonts w:ascii="Times New Roman" w:cs="Times New Roman" w:eastAsia="Times New Roman" w:hAnsi="Times New Roman"/>
                <w:sz w:val="10"/>
                <w:szCs w:val="10"/>
                <w:color w:val="auto"/>
              </w:rPr>
              <w:t xml:space="preserve"> (3)</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1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BB</w:t>
            </w:r>
            <w:r>
              <w:rPr>
                <w:rFonts w:ascii="Times New Roman" w:cs="Times New Roman" w:eastAsia="Times New Roman" w:hAnsi="Times New Roman"/>
                <w:sz w:val="10"/>
                <w:szCs w:val="10"/>
                <w:color w:val="auto"/>
              </w:rPr>
              <w:t xml:space="preserve"> (4)</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00" w:hanging="295"/>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certain operating cash accounts.</w:t>
      </w:r>
    </w:p>
    <w:p>
      <w:pPr>
        <w:spacing w:after="0" w:line="2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securities rated A-1+.</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 ratings.</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held two securities with a BB rating at June 30, 2025 and one security with a BB rating at December 31, 2024, which are not identifiable in the table due to rounding.</w:t>
      </w:r>
    </w:p>
    <w:p>
      <w:pPr>
        <w:spacing w:after="0" w:line="236"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Investment Securities - Allowance for credit losses</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We did not recognize an allowance for credit loss for any security in the investment portfolio as of June 30, 2025 or December 31, 2024, and we did not record any provision for credit loss for investment securities during the three and six months ended June 30, 2025 or 2024.</w:t>
      </w:r>
    </w:p>
    <w:p>
      <w:pPr>
        <w:spacing w:after="0" w:line="94" w:lineRule="exact"/>
        <w:rPr>
          <w:sz w:val="20"/>
          <w:szCs w:val="20"/>
          <w:color w:val="auto"/>
        </w:rPr>
      </w:pPr>
    </w:p>
    <w:p>
      <w:pPr>
        <w:jc w:val="both"/>
        <w:ind w:firstLine="627"/>
        <w:spacing w:after="0" w:line="273" w:lineRule="auto"/>
        <w:rPr>
          <w:sz w:val="20"/>
          <w:szCs w:val="20"/>
          <w:color w:val="auto"/>
        </w:rPr>
      </w:pPr>
      <w:r>
        <w:rPr>
          <w:rFonts w:ascii="Times New Roman" w:cs="Times New Roman" w:eastAsia="Times New Roman" w:hAnsi="Times New Roman"/>
          <w:sz w:val="17"/>
          <w:szCs w:val="17"/>
          <w:color w:val="auto"/>
        </w:rPr>
        <w:t>As of June 30, 2025, the investment portfolio had gross unrealized losses of $109.9 million, of which $108.5 million were associated with securities that had been in an unrealized loss position for a period of twelve months or longer. As of December 31, 2024, the investment portfolio had gross unrealized losses of $158.6 million, of which $150.8 million were associated with securities that had been in an unrealized loss position for a period of twelve months or longer.</w:t>
      </w:r>
    </w:p>
    <w:p>
      <w:pPr>
        <w:spacing w:after="0" w:line="326"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evaluated the securities in an unrealized loss position as of June 30, 2025, assessing their credit ratings as well as any adverse conditions specifically related to the security. Based upon our assessment of the amount and timing of cash flows to be collected over the remaining life of each instrument, we believe the unrealized losses as of June 30, 2025 are not indicative of the ultimate collectability of the current amortized cost of the securities. Rather, the unrealized losses on securities held as of June 30, 2025 were primarily driven by fluctuations in interest rates, and to a lesser extent, movements in credit spreads following the purchase of those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0" w:name="page51"/>
    <w:bookmarkEnd w:id="50"/>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We believe that the assumptions and estimates associated with revenue recognition, our investment portfolio, deferred policy acquisition costs,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2024 10-K.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72" w:lineRule="exact"/>
        <w:rPr>
          <w:sz w:val="20"/>
          <w:szCs w:val="20"/>
          <w:color w:val="auto"/>
        </w:rPr>
      </w:pPr>
    </w:p>
    <w:p>
      <w:pPr>
        <w:ind w:firstLine="627"/>
        <w:spacing w:after="0" w:line="294" w:lineRule="auto"/>
        <w:rPr>
          <w:sz w:val="20"/>
          <w:szCs w:val="20"/>
          <w:color w:val="auto"/>
        </w:rPr>
      </w:pPr>
      <w:r>
        <w:rPr>
          <w:rFonts w:ascii="Times New Roman" w:cs="Times New Roman" w:eastAsia="Times New Roman" w:hAnsi="Times New Roman"/>
          <w:sz w:val="17"/>
          <w:szCs w:val="17"/>
          <w:color w:val="auto"/>
        </w:rPr>
        <w:t>We own and manage a large investment portfolio of various holdings, types and maturities. NMIH</w:t>
      </w:r>
      <w:r>
        <w:rPr>
          <w:rFonts w:ascii="Arial" w:cs="Arial" w:eastAsia="Arial" w:hAnsi="Arial"/>
          <w:sz w:val="17"/>
          <w:szCs w:val="17"/>
          <w:color w:val="auto"/>
        </w:rPr>
        <w:t>’</w:t>
      </w:r>
      <w:r>
        <w:rPr>
          <w:rFonts w:ascii="Times New Roman" w:cs="Times New Roman" w:eastAsia="Times New Roman" w:hAnsi="Times New Roman"/>
          <w:sz w:val="17"/>
          <w:szCs w:val="17"/>
          <w:color w:val="auto"/>
        </w:rPr>
        <w:t>s principal source of operating cash is investment income. The assets within the investment portfolio are exposed to the same factors that affect overall financial market performance.</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manage market risk via a defined investment policy implemented by our treasury function with oversight from our Board's Risk Committee.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Important drivers of our market risk exposure monitored and managed by us include but are not limited to:</w:t>
      </w:r>
    </w:p>
    <w:p>
      <w:pPr>
        <w:spacing w:after="0" w:line="150" w:lineRule="exact"/>
        <w:rPr>
          <w:sz w:val="20"/>
          <w:szCs w:val="20"/>
          <w:color w:val="auto"/>
        </w:rPr>
      </w:pPr>
    </w:p>
    <w:p>
      <w:pPr>
        <w:jc w:val="both"/>
        <w:ind w:left="940" w:hanging="308"/>
        <w:spacing w:after="0" w:line="266"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Changes to the level of interest rates</w:t>
      </w:r>
      <w:r>
        <w:rPr>
          <w:rFonts w:ascii="Times New Roman" w:cs="Times New Roman" w:eastAsia="Times New Roman" w:hAnsi="Times New Roman"/>
          <w:sz w:val="17"/>
          <w:szCs w:val="17"/>
          <w:color w:val="auto"/>
        </w:rPr>
        <w:t>. Increasing interest rates may reduce the value of certain fixed-rate bonds held in the investment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SOFR based interest rates affect the interest expense related to the Company's debt.</w:t>
      </w:r>
    </w:p>
    <w:p>
      <w:pPr>
        <w:spacing w:after="0" w:line="328" w:lineRule="exact"/>
        <w:rPr>
          <w:rFonts w:ascii="Times New Roman" w:cs="Times New Roman" w:eastAsia="Times New Roman" w:hAnsi="Times New Roman"/>
          <w:sz w:val="17"/>
          <w:szCs w:val="17"/>
          <w:color w:val="auto"/>
        </w:rPr>
      </w:pPr>
    </w:p>
    <w:p>
      <w:pPr>
        <w:ind w:left="940" w:hanging="308"/>
        <w:spacing w:after="0" w:line="298" w:lineRule="auto"/>
        <w:tabs>
          <w:tab w:leader="none" w:pos="936"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to the term structure of interest rates</w:t>
      </w:r>
      <w:r>
        <w:rPr>
          <w:rFonts w:ascii="Times New Roman" w:cs="Times New Roman" w:eastAsia="Times New Roman" w:hAnsi="Times New Roman"/>
          <w:sz w:val="17"/>
          <w:szCs w:val="17"/>
          <w:color w:val="auto"/>
        </w:rPr>
        <w:t>. Rising or falling rates typically change by different amounts along the yield curve. These changes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have unforeseen impacts on the value of certain assets.</w:t>
      </w:r>
    </w:p>
    <w:p>
      <w:pPr>
        <w:spacing w:after="0" w:line="89" w:lineRule="exact"/>
        <w:rPr>
          <w:rFonts w:ascii="Times New Roman" w:cs="Times New Roman" w:eastAsia="Times New Roman" w:hAnsi="Times New Roman"/>
          <w:sz w:val="17"/>
          <w:szCs w:val="17"/>
          <w:i w:val="1"/>
          <w:iCs w:val="1"/>
          <w:color w:val="auto"/>
        </w:rPr>
      </w:pPr>
    </w:p>
    <w:p>
      <w:pPr>
        <w:jc w:val="both"/>
        <w:ind w:left="940" w:hanging="308"/>
        <w:spacing w:after="0" w:line="289"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volatility/changes in the real or perceived credit quality of investments</w:t>
      </w:r>
      <w:r>
        <w:rPr>
          <w:rFonts w:ascii="Times New Roman" w:cs="Times New Roman" w:eastAsia="Times New Roman" w:hAnsi="Times New Roman"/>
          <w:sz w:val="17"/>
          <w:szCs w:val="17"/>
          <w:color w:val="auto"/>
        </w:rPr>
        <w:t>. Deterioration in the quality of investments, identified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to our own or third-party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rating agency or investment advisors) assessments, will reduce the value and potentially the liquidity of investments.</w:t>
      </w:r>
    </w:p>
    <w:p>
      <w:pPr>
        <w:spacing w:after="0" w:line="313" w:lineRule="exact"/>
        <w:rPr>
          <w:rFonts w:ascii="Times New Roman" w:cs="Times New Roman" w:eastAsia="Times New Roman" w:hAnsi="Times New Roman"/>
          <w:sz w:val="17"/>
          <w:szCs w:val="17"/>
          <w:color w:val="auto"/>
        </w:rPr>
      </w:pPr>
    </w:p>
    <w:p>
      <w:pPr>
        <w:ind w:left="940" w:hanging="308"/>
        <w:spacing w:after="0" w:line="298"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Concentration risk</w:t>
      </w:r>
      <w:r>
        <w:rPr>
          <w:rFonts w:ascii="Times New Roman" w:cs="Times New Roman" w:eastAsia="Times New Roman" w:hAnsi="Times New Roman"/>
          <w:sz w:val="17"/>
          <w:szCs w:val="17"/>
          <w:color w:val="auto"/>
        </w:rPr>
        <w:t>. If the investment portfolio is highly concentrated in one asset, or in multiple assets whose values are highly correlated,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the total portfolio may be greatly affected by the change in value of just one asset or a group of highly correlated assets.</w:t>
      </w:r>
    </w:p>
    <w:p>
      <w:pPr>
        <w:spacing w:after="0" w:line="89" w:lineRule="exact"/>
        <w:rPr>
          <w:rFonts w:ascii="Times New Roman" w:cs="Times New Roman" w:eastAsia="Times New Roman" w:hAnsi="Times New Roman"/>
          <w:sz w:val="17"/>
          <w:szCs w:val="17"/>
          <w:color w:val="auto"/>
        </w:rPr>
      </w:pPr>
    </w:p>
    <w:p>
      <w:pPr>
        <w:ind w:left="940" w:hanging="308"/>
        <w:spacing w:after="0" w:line="298"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Prepayment risk</w:t>
      </w:r>
      <w:r>
        <w:rPr>
          <w:rFonts w:ascii="Times New Roman" w:cs="Times New Roman" w:eastAsia="Times New Roman" w:hAnsi="Times New Roman"/>
          <w:sz w:val="17"/>
          <w:szCs w:val="17"/>
          <w:color w:val="auto"/>
        </w:rPr>
        <w:t>. Bonds may have call provisions that permit debtors to repay prior to maturity when it is to their advantage. This typically occurs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when rates fall below the interest rate of the debt.</w:t>
      </w:r>
    </w:p>
    <w:p>
      <w:pPr>
        <w:spacing w:after="0" w:line="9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carrying value of our investment portfolio as of June 30, 2025 and December 31, 2024 was $2.9 billion and $2.7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As of June 30, 2025, the duration of our fixed income portfolio, including cash and cash equivalents, was 3.52 years, which means that an instantaneous parallel shift (movement up or down) in the yield curve of 100 basis points would result in a change of 3.52% in fair value of our fixed income portfolio. Excluding cash, our fixed income portfolio duration was 3.54 years, which means that an instantaneous parallel shift (movement up or down) in the yield curve of 100 basis points would result in a change of 3.54% in fair value of our fixed income portfolio.</w:t>
      </w:r>
    </w:p>
    <w:p>
      <w:pPr>
        <w:spacing w:after="0" w:line="115" w:lineRule="exact"/>
        <w:rPr>
          <w:sz w:val="20"/>
          <w:szCs w:val="20"/>
          <w:color w:val="auto"/>
        </w:rPr>
      </w:pPr>
    </w:p>
    <w:p>
      <w:pPr>
        <w:jc w:val="both"/>
        <w:ind w:firstLine="627"/>
        <w:spacing w:after="0" w:line="277" w:lineRule="auto"/>
        <w:rPr>
          <w:sz w:val="20"/>
          <w:szCs w:val="20"/>
          <w:color w:val="auto"/>
        </w:rPr>
      </w:pPr>
      <w:r>
        <w:rPr>
          <w:rFonts w:ascii="Times New Roman" w:cs="Times New Roman" w:eastAsia="Times New Roman" w:hAnsi="Times New Roman"/>
          <w:sz w:val="17"/>
          <w:szCs w:val="17"/>
          <w:color w:val="auto"/>
        </w:rPr>
        <w:t>We are also subject to market risk related to the 2024 Revolving Credit Facility and the ILN Transactions. As discussed in Item 1,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Statements - Notes to Condensed Consolidated Financial Statements - Note 4, Debt” </w:t>
      </w:r>
      <w:r>
        <w:rPr>
          <w:rFonts w:ascii="Times New Roman" w:cs="Times New Roman" w:eastAsia="Times New Roman" w:hAnsi="Times New Roman"/>
          <w:sz w:val="17"/>
          <w:szCs w:val="17"/>
          <w:color w:val="auto"/>
        </w:rPr>
        <w:t>the 2024 Revolving Credit Facility bears interest at a variable rate and,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 increases in market interest rates would generally result in increased interest expense on any outstanding drawn balance.</w:t>
      </w:r>
    </w:p>
    <w:p>
      <w:pPr>
        <w:spacing w:after="0" w:line="10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The risk premium amounts under the ILN Transactions are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17"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conducted an evaluation of the effectiveness of our disclosure controls and procedures (as defined in Rule 13a-15(e) of the Exchange Act) as of June 30, 2025,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332" w:lineRule="exact"/>
        <w:rPr>
          <w:sz w:val="20"/>
          <w:szCs w:val="20"/>
          <w:color w:val="auto"/>
        </w:rPr>
      </w:pPr>
    </w:p>
    <w:p>
      <w:pPr>
        <w:jc w:val="both"/>
        <w:ind w:firstLine="627"/>
        <w:spacing w:after="0" w:line="278" w:lineRule="auto"/>
        <w:rPr>
          <w:sz w:val="20"/>
          <w:szCs w:val="20"/>
          <w:color w:val="auto"/>
        </w:rPr>
      </w:pPr>
      <w:r>
        <w:rPr>
          <w:rFonts w:ascii="Times New Roman" w:cs="Times New Roman" w:eastAsia="Times New Roman" w:hAnsi="Times New Roman"/>
          <w:sz w:val="17"/>
          <w:szCs w:val="17"/>
          <w:color w:val="auto"/>
        </w:rPr>
        <w:t>Based upon that evaluation, our Chief Executive Officer and Chief Financial Officer concluded that, as of June 30, 2025,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w:t>
      </w:r>
      <w:r>
        <w:rPr>
          <w:rFonts w:ascii="Arial" w:cs="Arial" w:eastAsia="Arial" w:hAnsi="Arial"/>
          <w:sz w:val="17"/>
          <w:szCs w:val="17"/>
          <w:color w:val="auto"/>
        </w:rPr>
        <w:t>’</w:t>
      </w:r>
      <w:r>
        <w:rPr>
          <w:rFonts w:ascii="Times New Roman" w:cs="Times New Roman" w:eastAsia="Times New Roman" w:hAnsi="Times New Roman"/>
          <w:sz w:val="17"/>
          <w:szCs w:val="17"/>
          <w:color w:val="auto"/>
        </w:rPr>
        <w:t>s rules and forms.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72"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21"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As we have previously disclosed, we were named as a defendant in one litigation case that involves refunds of mortgage insurance premiums under the Homeowners Protection Act (the HPA). In September 2023, the United States District Court for the Eastern District of Virginia (the District Court) granted our motion to dismiss the case. Subsequently, the plaintiff filed a notice of appeal in October 2023, appealing the District Court’s decision to the United States Court of Appeals for the Fourth Circuit (the Fourth Circuit). In June 2025, the Fourth Circuit affirmed the District Court's dismissal of the plaintiff's claim under the HPA. 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7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Risk factors that affect our business and financial results are discussed in Part I, Item 1A of our 2024 10-K. As of the date of this report, we are not aware of any material changes in our risk factors from the risk factors disclosed in our 2024 10-K. You should carefully consider the risks and uncertainties described herein and in our 2024 10-K, which have the potential to affect our business, financial condition, results of operations, cash flows or prospects in a material and adverse manner. The risks described herein and in our 2024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NMI Holdings, Inc. common stock by us during the three months ended June 30, 2025.</w:t>
      </w:r>
    </w:p>
    <w:p>
      <w:pPr>
        <w:sectPr>
          <w:pgSz w:w="11900" w:h="16838" w:orient="portrait"/>
          <w:cols w:equalWidth="0" w:num="1">
            <w:col w:w="11240"/>
          </w:cols>
          <w:pgMar w:left="320" w:top="1138" w:right="339" w:bottom="1440" w:gutter="0" w:footer="0" w:header="0"/>
        </w:sect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92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2240" w:type="dxa"/>
            <w:vAlign w:val="bottom"/>
            <w:vMerge w:val="restart"/>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2020" w:type="dxa"/>
            <w:vAlign w:val="bottom"/>
          </w:tcPr>
          <w:p>
            <w:pPr>
              <w:spacing w:after="0"/>
              <w:rPr>
                <w:sz w:val="12"/>
                <w:szCs w:val="12"/>
                <w:color w:val="auto"/>
              </w:rPr>
            </w:pPr>
          </w:p>
        </w:tc>
        <w:tc>
          <w:tcPr>
            <w:tcW w:w="1920" w:type="dxa"/>
            <w:vAlign w:val="bottom"/>
          </w:tcPr>
          <w:p>
            <w:pPr>
              <w:jc w:val="center"/>
              <w:ind w:left="36"/>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 as Part of Publicly</w:t>
            </w:r>
          </w:p>
        </w:tc>
        <w:tc>
          <w:tcPr>
            <w:tcW w:w="0" w:type="dxa"/>
            <w:vAlign w:val="bottom"/>
          </w:tcPr>
          <w:p>
            <w:pPr>
              <w:spacing w:after="0"/>
              <w:rPr>
                <w:sz w:val="1"/>
                <w:szCs w:val="1"/>
                <w:color w:val="auto"/>
              </w:rPr>
            </w:pPr>
          </w:p>
        </w:tc>
      </w:tr>
      <w:tr>
        <w:trPr>
          <w:trHeight w:val="131"/>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2240" w:type="dxa"/>
            <w:vAlign w:val="bottom"/>
            <w:vMerge w:val="continue"/>
          </w:tcPr>
          <w:p>
            <w:pPr>
              <w:spacing w:after="0"/>
              <w:rPr>
                <w:sz w:val="11"/>
                <w:szCs w:val="11"/>
                <w:color w:val="auto"/>
              </w:rPr>
            </w:pPr>
          </w:p>
        </w:tc>
        <w:tc>
          <w:tcPr>
            <w:tcW w:w="20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920" w:type="dxa"/>
            <w:vAlign w:val="bottom"/>
          </w:tcPr>
          <w:p>
            <w:pPr>
              <w:jc w:val="center"/>
              <w:ind w:left="36"/>
              <w:spacing w:after="0" w:line="131" w:lineRule="exact"/>
              <w:rPr>
                <w:sz w:val="20"/>
                <w:szCs w:val="20"/>
                <w:color w:val="auto"/>
              </w:rPr>
            </w:pPr>
            <w:r>
              <w:rPr>
                <w:rFonts w:ascii="Times New Roman" w:cs="Times New Roman" w:eastAsia="Times New Roman" w:hAnsi="Times New Roman"/>
                <w:sz w:val="14"/>
                <w:szCs w:val="14"/>
                <w:b w:val="1"/>
                <w:bCs w:val="1"/>
                <w:color w:val="auto"/>
                <w:w w:val="98"/>
              </w:rPr>
              <w:t>Announced Plans or Programs</w:t>
            </w:r>
          </w:p>
        </w:tc>
        <w:tc>
          <w:tcPr>
            <w:tcW w:w="0" w:type="dxa"/>
            <w:vAlign w:val="bottom"/>
          </w:tcPr>
          <w:p>
            <w:pPr>
              <w:spacing w:after="0"/>
              <w:rPr>
                <w:sz w:val="1"/>
                <w:szCs w:val="1"/>
                <w:color w:val="auto"/>
              </w:rPr>
            </w:pPr>
          </w:p>
        </w:tc>
      </w:tr>
      <w:tr>
        <w:trPr>
          <w:trHeight w:val="52"/>
        </w:trPr>
        <w:tc>
          <w:tcPr>
            <w:tcW w:w="3060" w:type="dxa"/>
            <w:vAlign w:val="bottom"/>
            <w:vMerge w:val="continue"/>
          </w:tcPr>
          <w:p>
            <w:pPr>
              <w:spacing w:after="0"/>
              <w:rPr>
                <w:sz w:val="4"/>
                <w:szCs w:val="4"/>
                <w:color w:val="auto"/>
              </w:rPr>
            </w:pPr>
          </w:p>
        </w:tc>
        <w:tc>
          <w:tcPr>
            <w:tcW w:w="2240" w:type="dxa"/>
            <w:vAlign w:val="bottom"/>
          </w:tcPr>
          <w:p>
            <w:pPr>
              <w:jc w:val="center"/>
              <w:ind w:left="411"/>
              <w:spacing w:after="0" w:line="53" w:lineRule="exact"/>
              <w:rPr>
                <w:sz w:val="20"/>
                <w:szCs w:val="20"/>
                <w:color w:val="auto"/>
              </w:rPr>
            </w:pPr>
            <w:r>
              <w:rPr>
                <w:rFonts w:ascii="Times New Roman" w:cs="Times New Roman" w:eastAsia="Times New Roman" w:hAnsi="Times New Roman"/>
                <w:sz w:val="6"/>
                <w:szCs w:val="6"/>
                <w:b w:val="1"/>
                <w:bCs w:val="1"/>
                <w:color w:val="auto"/>
              </w:rPr>
              <w:t>Purchased</w:t>
            </w:r>
          </w:p>
        </w:tc>
        <w:tc>
          <w:tcPr>
            <w:tcW w:w="2020" w:type="dxa"/>
            <w:vAlign w:val="bottom"/>
            <w:vMerge w:val="continue"/>
          </w:tcPr>
          <w:p>
            <w:pPr>
              <w:spacing w:after="0"/>
              <w:rPr>
                <w:sz w:val="4"/>
                <w:szCs w:val="4"/>
                <w:color w:val="auto"/>
              </w:rPr>
            </w:pPr>
          </w:p>
        </w:tc>
        <w:tc>
          <w:tcPr>
            <w:tcW w:w="1920" w:type="dxa"/>
            <w:vAlign w:val="bottom"/>
            <w:vMerge w:val="restart"/>
          </w:tcPr>
          <w:p>
            <w:pPr>
              <w:jc w:val="center"/>
              <w:ind w:left="36"/>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0" w:type="dxa"/>
            <w:vAlign w:val="bottom"/>
          </w:tcPr>
          <w:p>
            <w:pPr>
              <w:spacing w:after="0"/>
              <w:rPr>
                <w:sz w:val="1"/>
                <w:szCs w:val="1"/>
                <w:color w:val="auto"/>
              </w:rPr>
            </w:pPr>
          </w:p>
        </w:tc>
      </w:tr>
      <w:tr>
        <w:trPr>
          <w:trHeight w:val="66"/>
        </w:trPr>
        <w:tc>
          <w:tcPr>
            <w:tcW w:w="30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ind w:left="160"/>
        <w:spacing w:after="0" w:line="195" w:lineRule="auto"/>
        <w:rPr>
          <w:sz w:val="20"/>
          <w:szCs w:val="20"/>
          <w:color w:val="auto"/>
        </w:rPr>
      </w:pPr>
      <w:r>
        <w:rPr>
          <w:rFonts w:ascii="Times New Roman" w:cs="Times New Roman" w:eastAsia="Times New Roman" w:hAnsi="Times New Roman"/>
          <w:sz w:val="14"/>
          <w:szCs w:val="14"/>
          <w:b w:val="1"/>
          <w:bCs w:val="1"/>
          <w:color w:val="auto"/>
        </w:rPr>
        <w:t>Shares That May Yet Be</w:t>
      </w:r>
    </w:p>
    <w:p>
      <w:pPr>
        <w:spacing w:after="0" w:line="1" w:lineRule="exact"/>
        <w:rPr>
          <w:sz w:val="20"/>
          <w:szCs w:val="20"/>
          <w:color w:val="auto"/>
        </w:rPr>
      </w:pPr>
    </w:p>
    <w:p>
      <w:pPr>
        <w:jc w:val="center"/>
        <w:ind w:right="40"/>
        <w:spacing w:after="0" w:line="217" w:lineRule="auto"/>
        <w:rPr>
          <w:sz w:val="20"/>
          <w:szCs w:val="20"/>
          <w:color w:val="auto"/>
        </w:rPr>
      </w:pPr>
      <w:r>
        <w:rPr>
          <w:rFonts w:ascii="Times New Roman" w:cs="Times New Roman" w:eastAsia="Times New Roman" w:hAnsi="Times New Roman"/>
          <w:sz w:val="14"/>
          <w:szCs w:val="14"/>
          <w:b w:val="1"/>
          <w:bCs w:val="1"/>
          <w:color w:val="auto"/>
        </w:rPr>
        <w:t xml:space="preserve">Purchased Under the Plans or Program </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p>
      <w:pPr>
        <w:sectPr>
          <w:pgSz w:w="11900" w:h="16838" w:orient="portrait"/>
          <w:cols w:equalWidth="0" w:num="2">
            <w:col w:w="9260" w:space="160"/>
            <w:col w:w="1820"/>
          </w:cols>
          <w:pgMar w:left="320" w:top="1138"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8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4/1/2025 to 4/30/2025</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258,814</w:t>
            </w:r>
          </w:p>
        </w:tc>
        <w:tc>
          <w:tcPr>
            <w:tcW w:w="86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33.90</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258,814</w:t>
            </w:r>
          </w:p>
        </w:tc>
        <w:tc>
          <w:tcPr>
            <w:tcW w:w="76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295,418</w:t>
            </w:r>
          </w:p>
        </w:tc>
      </w:tr>
      <w:tr>
        <w:trPr>
          <w:trHeight w:val="22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5/1/2025 to 5/31/2025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198,180</w:t>
            </w: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37.84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198,180</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287,919</w:t>
            </w:r>
          </w:p>
        </w:tc>
      </w:tr>
      <w:tr>
        <w:trPr>
          <w:trHeight w:val="222"/>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6/1/2025 to 6/30/2025</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170,917</w:t>
            </w:r>
          </w:p>
        </w:tc>
        <w:tc>
          <w:tcPr>
            <w:tcW w:w="8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ind w:right="73"/>
              <w:spacing w:after="0"/>
              <w:rPr>
                <w:sz w:val="20"/>
                <w:szCs w:val="20"/>
                <w:color w:val="auto"/>
              </w:rPr>
            </w:pPr>
            <w:r>
              <w:rPr>
                <w:rFonts w:ascii="Times New Roman" w:cs="Times New Roman" w:eastAsia="Times New Roman" w:hAnsi="Times New Roman"/>
                <w:sz w:val="17"/>
                <w:szCs w:val="17"/>
                <w:color w:val="auto"/>
              </w:rPr>
              <w:t>40.37</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170,917</w:t>
            </w:r>
          </w:p>
        </w:tc>
        <w:tc>
          <w:tcPr>
            <w:tcW w:w="7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281,019</w:t>
            </w:r>
          </w:p>
        </w:tc>
      </w:tr>
      <w:tr>
        <w:trPr>
          <w:trHeight w:val="24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627,911</w:t>
            </w:r>
          </w:p>
        </w:tc>
        <w:tc>
          <w:tcPr>
            <w:tcW w:w="8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627,911</w:t>
            </w:r>
          </w:p>
        </w:tc>
        <w:tc>
          <w:tcPr>
            <w:tcW w:w="7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jc w:val="both"/>
        <w:ind w:left="320" w:hanging="315"/>
        <w:spacing w:after="0" w:line="257" w:lineRule="auto"/>
        <w:tabs>
          <w:tab w:leader="none" w:pos="36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31, 2023, our Board of Directors authorized the $200 million 2023 Repurchase Program (excluding associated costs and applicable taxes) effective through December 31, 2025. On February 5, 2025, our Board of Directors authorized the new $250 million 2025 Repurchase Program (excluding associated costs and applicable taxes) effective through December 31, 2027 and extended the 2023 Repurchase Program through December 31, 2027 to align its remaining tenor with that of the 2025 Repurchase Program. See Part I, Item 1, “Financial Statements - Notes to Condensed Consolidated Financial Statements - Note 10, Stockholder's Equity” for additional information.</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Our Section 16 officers and directors (as defined in Rule 16a-1 under the Exchange Act) may from time to time enter into plans for the purchase or sale of the Company's stock that are intended to satisfy the affirmative defense conditions of Rule 10b5-1(c) under the Exchange Act. During the quarter ended June 30, 2025, none of our Section 16 officers or directors adopted, modified or terminated “Rule 10b5-1 trading arrangements” or "non-Rule 10b5-1 trading arrangements" (each as defined in Item 408 under Regulation S-K of the Exchange Act).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0" w:type="dxa"/>
            <w:vAlign w:val="bottom"/>
          </w:tcPr>
          <w:p>
            <w:pPr>
              <w:jc w:val="center"/>
              <w:ind w:right="2293"/>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3080" w:type="dxa"/>
            <w:vAlign w:val="bottom"/>
            <w:vMerge w:val="restart"/>
          </w:tcPr>
          <w:p>
            <w:pPr>
              <w:ind w:left="2220"/>
              <w:spacing w:after="0"/>
              <w:rPr>
                <w:sz w:val="20"/>
                <w:szCs w:val="20"/>
                <w:color w:val="auto"/>
              </w:rPr>
            </w:pPr>
            <w:r>
              <w:rPr>
                <w:rFonts w:ascii="Times New Roman" w:cs="Times New Roman" w:eastAsia="Times New Roman" w:hAnsi="Times New Roman"/>
                <w:sz w:val="17"/>
                <w:szCs w:val="17"/>
                <w:b w:val="1"/>
                <w:bCs w:val="1"/>
                <w:color w:val="auto"/>
                <w:w w:val="99"/>
              </w:rPr>
              <w:t>Description</w:t>
            </w:r>
          </w:p>
        </w:tc>
        <w:tc>
          <w:tcPr>
            <w:tcW w:w="0" w:type="dxa"/>
            <w:vAlign w:val="bottom"/>
          </w:tcPr>
          <w:p>
            <w:pPr>
              <w:spacing w:after="0"/>
              <w:rPr>
                <w:sz w:val="1"/>
                <w:szCs w:val="1"/>
                <w:color w:val="auto"/>
              </w:rPr>
            </w:pPr>
          </w:p>
        </w:tc>
      </w:tr>
      <w:tr>
        <w:trPr>
          <w:trHeight w:val="235"/>
        </w:trPr>
        <w:tc>
          <w:tcPr>
            <w:tcW w:w="3400" w:type="dxa"/>
            <w:vAlign w:val="bottom"/>
          </w:tcPr>
          <w:p>
            <w:pPr>
              <w:jc w:val="center"/>
              <w:ind w:right="2293"/>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3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69710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71030" cy="8255"/>
                    </a:xfrm>
                    <a:prstGeom prst="rect">
                      <a:avLst/>
                    </a:prstGeom>
                    <a:noFill/>
                  </pic:spPr>
                </pic:pic>
              </a:graphicData>
            </a:graphic>
          </wp:anchor>
        </w:drawing>
      </w:r>
    </w:p>
    <w:p>
      <w:pPr>
        <w:spacing w:after="0" w:line="171" w:lineRule="exact"/>
        <w:rPr>
          <w:sz w:val="20"/>
          <w:szCs w:val="20"/>
          <w:color w:val="auto"/>
        </w:rPr>
      </w:pPr>
    </w:p>
    <w:p>
      <w:pPr>
        <w:jc w:val="right"/>
        <w:ind w:left="400"/>
        <w:spacing w:after="0" w:line="228"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1.1      </w:t>
      </w:r>
      <w:hyperlink r:id="rId66">
        <w:r>
          <w:rPr>
            <w:rFonts w:ascii="Times New Roman" w:cs="Times New Roman" w:eastAsia="Times New Roman" w:hAnsi="Times New Roman"/>
            <w:sz w:val="17"/>
            <w:szCs w:val="17"/>
            <w:u w:val="single" w:color="auto"/>
            <w:color w:val="0000FF"/>
          </w:rPr>
          <w:t>Underwriting Agreement, dated May 7, 2024, among the Company, RBC Capital Markets, LLC, Goldman Sachs &amp; Co. LLC, BMO Capital</w:t>
        </w:r>
      </w:hyperlink>
      <w:r>
        <w:rPr>
          <w:rFonts w:ascii="Times New Roman" w:cs="Times New Roman" w:eastAsia="Times New Roman" w:hAnsi="Times New Roman"/>
          <w:sz w:val="17"/>
          <w:szCs w:val="17"/>
          <w:color w:val="auto"/>
        </w:rPr>
        <w:t xml:space="preserve"> </w:t>
      </w:r>
      <w:hyperlink r:id="rId66">
        <w:r>
          <w:rPr>
            <w:rFonts w:ascii="Times New Roman" w:cs="Times New Roman" w:eastAsia="Times New Roman" w:hAnsi="Times New Roman"/>
            <w:sz w:val="17"/>
            <w:szCs w:val="17"/>
            <w:u w:val="single" w:color="auto"/>
            <w:color w:val="0000FF"/>
          </w:rPr>
          <w:t>Markets Corp., Citigroup Global Markets Inc. and Truist Securities, Inc. acting as representatives of several underwriters named therein</w:t>
        </w:r>
      </w:hyperlink>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(incorporated herein by reference to Exhibit 1.1 to our Form 8-K, filed on May 8, 2024)</w:t>
      </w:r>
    </w:p>
    <w:p>
      <w:pPr>
        <w:spacing w:after="0" w:line="1" w:lineRule="exact"/>
        <w:rPr>
          <w:sz w:val="20"/>
          <w:szCs w:val="20"/>
          <w:color w:val="auto"/>
        </w:rPr>
      </w:pPr>
    </w:p>
    <w:p>
      <w:pPr>
        <w:ind w:left="40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3.1</w:t>
      </w:r>
      <w:r>
        <w:rPr>
          <w:sz w:val="20"/>
          <w:szCs w:val="20"/>
          <w:color w:val="auto"/>
        </w:rPr>
        <w:tab/>
      </w:r>
      <w:hyperlink r:id="rId67">
        <w:r>
          <w:rPr>
            <w:rFonts w:ascii="Times New Roman" w:cs="Times New Roman" w:eastAsia="Times New Roman" w:hAnsi="Times New Roman"/>
            <w:sz w:val="17"/>
            <w:szCs w:val="17"/>
            <w:u w:val="single" w:color="auto"/>
            <w:color w:val="0000FF"/>
          </w:rPr>
          <w:t xml:space="preserve">Third Amended and Restated Certificate of Incorporation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3.1 to our Form 8-K, filed on May 10,</w:t>
      </w:r>
    </w:p>
    <w:p>
      <w:pPr>
        <w:ind w:left="1140"/>
        <w:spacing w:after="0"/>
        <w:rPr>
          <w:sz w:val="20"/>
          <w:szCs w:val="20"/>
          <w:color w:val="auto"/>
        </w:rPr>
      </w:pPr>
      <w:r>
        <w:rPr>
          <w:rFonts w:ascii="Times New Roman" w:cs="Times New Roman" w:eastAsia="Times New Roman" w:hAnsi="Times New Roman"/>
          <w:sz w:val="17"/>
          <w:szCs w:val="17"/>
          <w:color w:val="auto"/>
        </w:rPr>
        <w:t>2024)</w:t>
      </w:r>
    </w:p>
    <w:p>
      <w:pPr>
        <w:spacing w:after="0" w:line="20" w:lineRule="exact"/>
        <w:rPr>
          <w:sz w:val="20"/>
          <w:szCs w:val="20"/>
          <w:color w:val="auto"/>
        </w:rPr>
      </w:pPr>
    </w:p>
    <w:p>
      <w:pPr>
        <w:ind w:left="40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3.2</w:t>
      </w:r>
      <w:r>
        <w:rPr>
          <w:sz w:val="20"/>
          <w:szCs w:val="20"/>
          <w:color w:val="auto"/>
        </w:rPr>
        <w:tab/>
      </w:r>
      <w:hyperlink r:id="rId68">
        <w:r>
          <w:rPr>
            <w:rFonts w:ascii="Times New Roman" w:cs="Times New Roman" w:eastAsia="Times New Roman" w:hAnsi="Times New Roman"/>
            <w:sz w:val="17"/>
            <w:szCs w:val="17"/>
            <w:u w:val="single" w:color="auto"/>
            <w:color w:val="0000FF"/>
          </w:rPr>
          <w:t xml:space="preserve">Fifth Amended and Restated Bylaws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3.2 to our Form 8-K, filed on May 10, 2024)</w:t>
      </w:r>
    </w:p>
    <w:p>
      <w:pPr>
        <w:spacing w:after="0" w:line="32" w:lineRule="exact"/>
        <w:rPr>
          <w:sz w:val="20"/>
          <w:szCs w:val="20"/>
          <w:color w:val="auto"/>
        </w:rPr>
      </w:pPr>
    </w:p>
    <w:p>
      <w:pPr>
        <w:ind w:left="1140" w:hanging="733"/>
        <w:spacing w:after="0" w:line="241"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4.1</w:t>
      </w:r>
      <w:r>
        <w:rPr>
          <w:sz w:val="20"/>
          <w:szCs w:val="20"/>
          <w:color w:val="auto"/>
        </w:rPr>
        <w:tab/>
      </w:r>
      <w:hyperlink r:id="rId69">
        <w:r>
          <w:rPr>
            <w:rFonts w:ascii="Times New Roman" w:cs="Times New Roman" w:eastAsia="Times New Roman" w:hAnsi="Times New Roman"/>
            <w:sz w:val="17"/>
            <w:szCs w:val="17"/>
            <w:u w:val="single" w:color="auto"/>
            <w:color w:val="0000FF"/>
          </w:rPr>
          <w:t>Indenture, dated as of May 21, 2024, by and between NMI Holdings, Inc. and The Bank of New York Mellon Trust Company, N.A. as</w:t>
        </w:r>
      </w:hyperlink>
      <w:r>
        <w:rPr>
          <w:rFonts w:ascii="Times New Roman" w:cs="Times New Roman" w:eastAsia="Times New Roman" w:hAnsi="Times New Roman"/>
          <w:sz w:val="17"/>
          <w:szCs w:val="17"/>
          <w:u w:val="single" w:color="auto"/>
          <w:color w:val="0000FF"/>
        </w:rPr>
        <w:t xml:space="preserve"> </w:t>
      </w:r>
      <w:hyperlink r:id="rId69">
        <w:r>
          <w:rPr>
            <w:rFonts w:ascii="Times New Roman" w:cs="Times New Roman" w:eastAsia="Times New Roman" w:hAnsi="Times New Roman"/>
            <w:sz w:val="17"/>
            <w:szCs w:val="17"/>
            <w:u w:val="single" w:color="auto"/>
            <w:color w:val="0000FF"/>
          </w:rPr>
          <w:t>Trustee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4.1 to our Form 8-K, filed on May 21, 2024)</w:t>
        </w:r>
      </w:hyperlink>
    </w:p>
    <w:p>
      <w:pPr>
        <w:spacing w:after="0" w:line="7" w:lineRule="exact"/>
        <w:rPr>
          <w:sz w:val="20"/>
          <w:szCs w:val="20"/>
          <w:color w:val="auto"/>
        </w:rPr>
      </w:pPr>
    </w:p>
    <w:p>
      <w:pPr>
        <w:ind w:left="1140" w:hanging="733"/>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4.2</w:t>
      </w:r>
      <w:r>
        <w:rPr>
          <w:sz w:val="20"/>
          <w:szCs w:val="20"/>
          <w:color w:val="auto"/>
        </w:rPr>
        <w:tab/>
      </w:r>
      <w:hyperlink r:id="rId70">
        <w:r>
          <w:rPr>
            <w:rFonts w:ascii="Times New Roman" w:cs="Times New Roman" w:eastAsia="Times New Roman" w:hAnsi="Times New Roman"/>
            <w:sz w:val="17"/>
            <w:szCs w:val="17"/>
            <w:u w:val="single" w:color="auto"/>
            <w:color w:val="0000FF"/>
          </w:rPr>
          <w:t>Supplemental Indenture, dated as of May 21, 2024, by and between NMI Holdings, Inc. and The Bank of New York Mellon Trust Company,</w:t>
        </w:r>
      </w:hyperlink>
      <w:r>
        <w:rPr>
          <w:rFonts w:ascii="Times New Roman" w:cs="Times New Roman" w:eastAsia="Times New Roman" w:hAnsi="Times New Roman"/>
          <w:sz w:val="17"/>
          <w:szCs w:val="17"/>
          <w:u w:val="single" w:color="auto"/>
          <w:color w:val="0000FF"/>
        </w:rPr>
        <w:t xml:space="preserve"> </w:t>
      </w:r>
      <w:hyperlink r:id="rId70">
        <w:r>
          <w:rPr>
            <w:rFonts w:ascii="Times New Roman" w:cs="Times New Roman" w:eastAsia="Times New Roman" w:hAnsi="Times New Roman"/>
            <w:sz w:val="17"/>
            <w:szCs w:val="17"/>
            <w:u w:val="single" w:color="auto"/>
            <w:color w:val="0000FF"/>
          </w:rPr>
          <w:t>N.A. as Trustee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(including the form of the Notes) (incorporated herein by reference to Exhibit 4.2 to our Form 8-K, filed on May 21, 2024)</w:t>
        </w:r>
      </w:hyperlink>
    </w:p>
    <w:p>
      <w:pPr>
        <w:spacing w:after="0" w:line="3" w:lineRule="exact"/>
        <w:rPr>
          <w:sz w:val="20"/>
          <w:szCs w:val="20"/>
          <w:color w:val="auto"/>
        </w:rPr>
      </w:pPr>
    </w:p>
    <w:p>
      <w:pPr>
        <w:ind w:left="40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4.3</w:t>
      </w:r>
      <w:r>
        <w:rPr>
          <w:sz w:val="20"/>
          <w:szCs w:val="20"/>
          <w:color w:val="auto"/>
        </w:rPr>
        <w:tab/>
      </w:r>
      <w:hyperlink r:id="rId71">
        <w:r>
          <w:rPr>
            <w:rFonts w:ascii="Times New Roman" w:cs="Times New Roman" w:eastAsia="Times New Roman" w:hAnsi="Times New Roman"/>
            <w:sz w:val="17"/>
            <w:szCs w:val="17"/>
            <w:u w:val="single" w:color="auto"/>
            <w:color w:val="0000FF"/>
          </w:rPr>
          <w:t xml:space="preserve">Description of Securities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4.4 to our Form 10-Q, filed on July 31, 2024)</w:t>
      </w:r>
    </w:p>
    <w:p>
      <w:pPr>
        <w:spacing w:after="0" w:line="32" w:lineRule="exact"/>
        <w:rPr>
          <w:sz w:val="20"/>
          <w:szCs w:val="20"/>
          <w:color w:val="auto"/>
        </w:rPr>
      </w:pPr>
    </w:p>
    <w:p>
      <w:pPr>
        <w:ind w:left="1140" w:hanging="845"/>
        <w:spacing w:after="0" w:line="241"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 ~</w:t>
      </w:r>
      <w:r>
        <w:rPr>
          <w:sz w:val="20"/>
          <w:szCs w:val="20"/>
          <w:color w:val="auto"/>
        </w:rPr>
        <w:tab/>
      </w:r>
      <w:hyperlink r:id="rId72">
        <w:r>
          <w:rPr>
            <w:rFonts w:ascii="Times New Roman" w:cs="Times New Roman" w:eastAsia="Times New Roman" w:hAnsi="Times New Roman"/>
            <w:sz w:val="17"/>
            <w:szCs w:val="17"/>
            <w:u w:val="single" w:color="auto"/>
            <w:color w:val="0000FF"/>
          </w:rPr>
          <w:t xml:space="preserve">NMI Holdings, Inc. 2012 Stock Incentive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10.1 to our Form S-1 Registration Statement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(Registration No. 333-191635), filed on October 9, 2013)</w:t>
      </w:r>
    </w:p>
    <w:p>
      <w:pPr>
        <w:spacing w:after="0" w:line="7" w:lineRule="exact"/>
        <w:rPr>
          <w:sz w:val="20"/>
          <w:szCs w:val="20"/>
          <w:color w:val="auto"/>
        </w:rPr>
      </w:pPr>
    </w:p>
    <w:p>
      <w:pPr>
        <w:ind w:left="1140" w:right="26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 ~</w:t>
      </w:r>
      <w:r>
        <w:rPr>
          <w:sz w:val="20"/>
          <w:szCs w:val="20"/>
          <w:color w:val="auto"/>
        </w:rPr>
        <w:tab/>
      </w:r>
      <w:hyperlink r:id="rId73">
        <w:r>
          <w:rPr>
            <w:rFonts w:ascii="Times New Roman" w:cs="Times New Roman" w:eastAsia="Times New Roman" w:hAnsi="Times New Roman"/>
            <w:sz w:val="17"/>
            <w:szCs w:val="17"/>
            <w:u w:val="single" w:color="auto"/>
            <w:color w:val="0000FF"/>
          </w:rPr>
          <w:t xml:space="preserve">Form of NMI Holdings, Inc. 2012 Stock Incentive Plan Nonqualified Stock Option Award Agreement (For CEO and CFO)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10.5 to our Form S-1 Registration Statement (Registration No. 333-191635), filed on October 9, 2013)</w:t>
      </w:r>
    </w:p>
    <w:p>
      <w:pPr>
        <w:spacing w:after="0" w:line="3" w:lineRule="exact"/>
        <w:rPr>
          <w:sz w:val="20"/>
          <w:szCs w:val="20"/>
          <w:color w:val="auto"/>
        </w:rPr>
      </w:pPr>
    </w:p>
    <w:p>
      <w:pPr>
        <w:ind w:left="1140" w:right="38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 ~</w:t>
      </w:r>
      <w:r>
        <w:rPr>
          <w:sz w:val="20"/>
          <w:szCs w:val="20"/>
          <w:color w:val="auto"/>
        </w:rPr>
        <w:tab/>
      </w:r>
      <w:hyperlink r:id="rId74">
        <w:r>
          <w:rPr>
            <w:rFonts w:ascii="Times New Roman" w:cs="Times New Roman" w:eastAsia="Times New Roman" w:hAnsi="Times New Roman"/>
            <w:sz w:val="17"/>
            <w:szCs w:val="17"/>
            <w:u w:val="single" w:color="auto"/>
            <w:color w:val="0000FF"/>
          </w:rPr>
          <w:t xml:space="preserve">Form of NMI Holdings, Inc. 2012 Stock Incentive Plan Nonqualified Stock Option Award Agreement (For Management)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10.6 to our Form S-1 Registration Statement (Registration No. 333-191635), filed on October 9, 2013)</w:t>
      </w:r>
    </w:p>
    <w:p>
      <w:pPr>
        <w:spacing w:after="0" w:line="3" w:lineRule="exact"/>
        <w:rPr>
          <w:sz w:val="20"/>
          <w:szCs w:val="20"/>
          <w:color w:val="auto"/>
        </w:rPr>
      </w:pPr>
    </w:p>
    <w:p>
      <w:pPr>
        <w:ind w:left="1140" w:right="20" w:hanging="845"/>
        <w:spacing w:after="0" w:line="228"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 ~</w:t>
      </w:r>
      <w:r>
        <w:rPr>
          <w:sz w:val="20"/>
          <w:szCs w:val="20"/>
          <w:color w:val="auto"/>
        </w:rPr>
        <w:tab/>
      </w:r>
      <w:hyperlink r:id="rId75">
        <w:r>
          <w:rPr>
            <w:rFonts w:ascii="Times New Roman" w:cs="Times New Roman" w:eastAsia="Times New Roman" w:hAnsi="Times New Roman"/>
            <w:sz w:val="17"/>
            <w:szCs w:val="17"/>
            <w:u w:val="single" w:color="auto"/>
            <w:color w:val="0000FF"/>
          </w:rPr>
          <w:t>Form of NMI Holdings, Inc. 2012 Stock Incentive Plan Nonqualified Stock Option Award Agreement (For Non-Employee Directors)</w:t>
        </w:r>
      </w:hyperlink>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(incorporated herein by reference to Exhibit 10.7 to our Form S-1 Registration Statement (Registration No. 333-191635), filed on October 9,</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2013)</w:t>
      </w:r>
    </w:p>
    <w:p>
      <w:pPr>
        <w:spacing w:after="0" w:line="12" w:lineRule="exact"/>
        <w:rPr>
          <w:sz w:val="20"/>
          <w:szCs w:val="20"/>
          <w:color w:val="auto"/>
        </w:rPr>
      </w:pPr>
    </w:p>
    <w:p>
      <w:pPr>
        <w:ind w:left="1140" w:right="80" w:hanging="845"/>
        <w:spacing w:after="0" w:line="241"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10.5 ~</w:t>
      </w:r>
      <w:r>
        <w:rPr>
          <w:sz w:val="20"/>
          <w:szCs w:val="20"/>
          <w:color w:val="auto"/>
        </w:rPr>
        <w:tab/>
      </w:r>
      <w:hyperlink r:id="rId76">
        <w:r>
          <w:rPr>
            <w:rFonts w:ascii="Times New Roman" w:cs="Times New Roman" w:eastAsia="Times New Roman" w:hAnsi="Times New Roman"/>
            <w:sz w:val="17"/>
            <w:szCs w:val="17"/>
            <w:u w:val="single" w:color="auto"/>
            <w:color w:val="0000FF"/>
          </w:rPr>
          <w:t xml:space="preserve">Form of NMI Holdings, Inc. 2012 Stock Incentive Plan Nonqualified Stock Option Award Agreement (For CEO/CFO)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10.8 to our Form 10-K, filed on February 17, 2017)</w:t>
      </w:r>
    </w:p>
    <w:p>
      <w:pPr>
        <w:spacing w:after="0" w:line="7" w:lineRule="exact"/>
        <w:rPr>
          <w:sz w:val="20"/>
          <w:szCs w:val="20"/>
          <w:color w:val="auto"/>
        </w:rPr>
      </w:pPr>
    </w:p>
    <w:p>
      <w:pPr>
        <w:ind w:left="1140" w:right="4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10.6 ~</w:t>
      </w:r>
      <w:r>
        <w:rPr>
          <w:sz w:val="20"/>
          <w:szCs w:val="20"/>
          <w:color w:val="auto"/>
        </w:rPr>
        <w:tab/>
      </w:r>
      <w:hyperlink r:id="rId77">
        <w:r>
          <w:rPr>
            <w:rFonts w:ascii="Times New Roman" w:cs="Times New Roman" w:eastAsia="Times New Roman" w:hAnsi="Times New Roman"/>
            <w:sz w:val="17"/>
            <w:szCs w:val="17"/>
            <w:u w:val="single" w:color="auto"/>
            <w:color w:val="0000FF"/>
          </w:rPr>
          <w:t xml:space="preserve">Form of NMI Holdings, Inc. 2012 Stock Incentive Plan Nonqualified Stock Option Award Agreement (For Employees)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10.9 to our Form 10-K, filed on February 17, 2017)</w:t>
      </w:r>
    </w:p>
    <w:p>
      <w:pPr>
        <w:spacing w:after="0" w:line="3" w:lineRule="exact"/>
        <w:rPr>
          <w:sz w:val="20"/>
          <w:szCs w:val="20"/>
          <w:color w:val="auto"/>
        </w:rPr>
      </w:pPr>
    </w:p>
    <w:p>
      <w:pPr>
        <w:ind w:left="1140" w:right="32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10.7 ~</w:t>
      </w:r>
      <w:r>
        <w:rPr>
          <w:sz w:val="20"/>
          <w:szCs w:val="20"/>
          <w:color w:val="auto"/>
        </w:rPr>
        <w:tab/>
      </w:r>
      <w:hyperlink r:id="rId78">
        <w:r>
          <w:rPr>
            <w:rFonts w:ascii="Times New Roman" w:cs="Times New Roman" w:eastAsia="Times New Roman" w:hAnsi="Times New Roman"/>
            <w:sz w:val="17"/>
            <w:szCs w:val="17"/>
            <w:u w:val="single" w:color="auto"/>
            <w:color w:val="0000FF"/>
          </w:rPr>
          <w:t xml:space="preserve">Form of NMI Holdings, Inc. 2012 Stock Incentive Plan Nonqualified Stock Option Agreement (For Employees)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10.32 to our Form 10-Q, filed on May 2, 2019)</w:t>
      </w:r>
    </w:p>
    <w:p>
      <w:pPr>
        <w:spacing w:after="0" w:line="3" w:lineRule="exact"/>
        <w:rPr>
          <w:sz w:val="20"/>
          <w:szCs w:val="20"/>
          <w:color w:val="auto"/>
        </w:rPr>
      </w:pPr>
    </w:p>
    <w:p>
      <w:pPr>
        <w:ind w:left="114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10.8 ~</w:t>
      </w:r>
      <w:r>
        <w:rPr>
          <w:sz w:val="20"/>
          <w:szCs w:val="20"/>
          <w:color w:val="auto"/>
        </w:rPr>
        <w:tab/>
      </w:r>
      <w:hyperlink r:id="rId79">
        <w:r>
          <w:rPr>
            <w:rFonts w:ascii="Times New Roman" w:cs="Times New Roman" w:eastAsia="Times New Roman" w:hAnsi="Times New Roman"/>
            <w:sz w:val="17"/>
            <w:szCs w:val="17"/>
            <w:u w:val="single" w:color="auto"/>
            <w:color w:val="0000FF"/>
          </w:rPr>
          <w:t xml:space="preserve">NMI Holdings, Inc. Amended and Restated 2014 Omnibus Incentive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Appendix A to our 2022</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Annual Proxy Statement, filed on March 29, 2022)</w:t>
      </w:r>
    </w:p>
    <w:p>
      <w:pPr>
        <w:ind w:left="280"/>
        <w:spacing w:after="0" w:line="236"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10.9 ~</w:t>
      </w:r>
      <w:r>
        <w:rPr>
          <w:sz w:val="20"/>
          <w:szCs w:val="20"/>
          <w:color w:val="auto"/>
        </w:rPr>
        <w:tab/>
      </w:r>
      <w:hyperlink r:id="rId80">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Award Agreement (For CEO)</w:t>
        </w:r>
      </w:hyperlink>
    </w:p>
    <w:p>
      <w:pPr>
        <w:ind w:left="1140"/>
        <w:spacing w:after="0"/>
        <w:rPr>
          <w:sz w:val="20"/>
          <w:szCs w:val="20"/>
          <w:color w:val="auto"/>
        </w:rPr>
      </w:pPr>
      <w:r>
        <w:rPr>
          <w:rFonts w:ascii="Times New Roman" w:cs="Times New Roman" w:eastAsia="Times New Roman" w:hAnsi="Times New Roman"/>
          <w:sz w:val="17"/>
          <w:szCs w:val="17"/>
          <w:color w:val="auto"/>
        </w:rPr>
        <w:t>(incorporated herein by reference to Exhibit 10.23 to our Form 10-Q filed on August 1, 2017)</w:t>
      </w:r>
    </w:p>
    <w:p>
      <w:pPr>
        <w:spacing w:after="0" w:line="20" w:lineRule="exact"/>
        <w:rPr>
          <w:sz w:val="20"/>
          <w:szCs w:val="20"/>
          <w:color w:val="auto"/>
        </w:rPr>
      </w:pPr>
    </w:p>
    <w:p>
      <w:pPr>
        <w:ind w:left="1140" w:hanging="889"/>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10.10 ~</w:t>
      </w:r>
      <w:r>
        <w:rPr>
          <w:sz w:val="20"/>
          <w:szCs w:val="20"/>
          <w:color w:val="auto"/>
        </w:rPr>
        <w:tab/>
      </w:r>
      <w:hyperlink r:id="rId81">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Award Agreement (For</w:t>
        </w:r>
      </w:hyperlink>
      <w:r>
        <w:rPr>
          <w:rFonts w:ascii="Times New Roman" w:cs="Times New Roman" w:eastAsia="Times New Roman" w:hAnsi="Times New Roman"/>
          <w:sz w:val="17"/>
          <w:szCs w:val="17"/>
          <w:u w:val="single" w:color="auto"/>
          <w:color w:val="0000FF"/>
        </w:rPr>
        <w:t xml:space="preserve"> </w:t>
      </w:r>
      <w:hyperlink r:id="rId81">
        <w:r>
          <w:rPr>
            <w:rFonts w:ascii="Times New Roman" w:cs="Times New Roman" w:eastAsia="Times New Roman" w:hAnsi="Times New Roman"/>
            <w:sz w:val="17"/>
            <w:szCs w:val="17"/>
            <w:u w:val="single" w:color="auto"/>
            <w:color w:val="0000FF"/>
          </w:rPr>
          <w:t>Executive Officers and Employees</w:t>
        </w:r>
        <w:r>
          <w:rPr>
            <w:rFonts w:ascii="Times New Roman" w:cs="Times New Roman" w:eastAsia="Times New Roman" w:hAnsi="Times New Roman"/>
            <w:sz w:val="17"/>
            <w:szCs w:val="17"/>
            <w:color w:val="000000"/>
          </w:rPr>
          <w:t>) (incorporated herein by reference to Exhibit 10.24 to our Form 10-Q filed on August 1, 2017)</w:t>
        </w:r>
      </w:hyperlink>
    </w:p>
    <w:p>
      <w:pPr>
        <w:spacing w:after="0" w:line="3" w:lineRule="exact"/>
        <w:rPr>
          <w:sz w:val="20"/>
          <w:szCs w:val="20"/>
          <w:color w:val="auto"/>
        </w:rPr>
      </w:pPr>
    </w:p>
    <w:p>
      <w:pPr>
        <w:ind w:left="1140" w:hanging="886"/>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10.11 ~</w:t>
      </w:r>
      <w:r>
        <w:rPr>
          <w:sz w:val="20"/>
          <w:szCs w:val="20"/>
          <w:color w:val="auto"/>
        </w:rPr>
        <w:tab/>
      </w:r>
      <w:hyperlink r:id="rId82">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7"/>
          <w:szCs w:val="17"/>
          <w:u w:val="single" w:color="auto"/>
          <w:color w:val="0000FF"/>
        </w:rPr>
        <w:t xml:space="preserve"> </w:t>
      </w:r>
      <w:hyperlink r:id="rId82">
        <w:r>
          <w:rPr>
            <w:rFonts w:ascii="Times New Roman" w:cs="Times New Roman" w:eastAsia="Times New Roman" w:hAnsi="Times New Roman"/>
            <w:sz w:val="17"/>
            <w:szCs w:val="17"/>
            <w:u w:val="single" w:color="auto"/>
            <w:color w:val="0000FF"/>
          </w:rPr>
          <w:t>Based)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10.38 to our Form 10-Q, filed on May 7, 2020)</w:t>
        </w:r>
      </w:hyperlink>
    </w:p>
    <w:p>
      <w:pPr>
        <w:spacing w:after="0" w:line="3" w:lineRule="exact"/>
        <w:rPr>
          <w:sz w:val="20"/>
          <w:szCs w:val="20"/>
          <w:color w:val="auto"/>
        </w:rPr>
      </w:pPr>
    </w:p>
    <w:p>
      <w:pPr>
        <w:ind w:left="1140" w:hanging="889"/>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10.12 ~</w:t>
      </w:r>
      <w:r>
        <w:rPr>
          <w:sz w:val="20"/>
          <w:szCs w:val="20"/>
          <w:color w:val="auto"/>
        </w:rPr>
        <w:tab/>
      </w:r>
      <w:hyperlink r:id="rId83">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3">
        <w:r>
          <w:rPr>
            <w:rFonts w:ascii="Times New Roman" w:cs="Times New Roman" w:eastAsia="Times New Roman" w:hAnsi="Times New Roman"/>
            <w:sz w:val="17"/>
            <w:szCs w:val="17"/>
            <w:u w:val="single" w:color="auto"/>
            <w:color w:val="0000FF"/>
          </w:rPr>
          <w:t>Independent Directors)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10.20 to our Form 10-K, filed on February 15, 2024)</w:t>
        </w:r>
      </w:hyperlink>
    </w:p>
    <w:p>
      <w:pPr>
        <w:spacing w:after="0" w:line="3" w:lineRule="exact"/>
        <w:rPr>
          <w:sz w:val="20"/>
          <w:szCs w:val="20"/>
          <w:color w:val="auto"/>
        </w:rPr>
      </w:pPr>
    </w:p>
    <w:p>
      <w:pPr>
        <w:ind w:left="1140" w:hanging="889"/>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10.13 ~</w:t>
      </w:r>
      <w:r>
        <w:rPr>
          <w:sz w:val="20"/>
          <w:szCs w:val="20"/>
          <w:color w:val="auto"/>
        </w:rPr>
        <w:tab/>
      </w:r>
      <w:hyperlink r:id="rId84">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4">
        <w:r>
          <w:rPr>
            <w:rFonts w:ascii="Times New Roman" w:cs="Times New Roman" w:eastAsia="Times New Roman" w:hAnsi="Times New Roman"/>
            <w:sz w:val="17"/>
            <w:szCs w:val="17"/>
            <w:u w:val="single" w:color="auto"/>
            <w:color w:val="0000FF"/>
          </w:rPr>
          <w:t>Employees</w:t>
        </w:r>
        <w:r>
          <w:rPr>
            <w:rFonts w:ascii="Times New Roman" w:cs="Times New Roman" w:eastAsia="Times New Roman" w:hAnsi="Times New Roman"/>
            <w:sz w:val="17"/>
            <w:szCs w:val="17"/>
            <w:color w:val="000000"/>
          </w:rPr>
          <w:t>) (incorporated herein by reference to Exhibit 10.12 to our Form 10-K, filed on February 14, 2025)</w:t>
        </w:r>
      </w:hyperlink>
    </w:p>
    <w:p>
      <w:pPr>
        <w:spacing w:after="0" w:line="3" w:lineRule="exact"/>
        <w:rPr>
          <w:sz w:val="20"/>
          <w:szCs w:val="20"/>
          <w:color w:val="auto"/>
        </w:rPr>
      </w:pPr>
    </w:p>
    <w:p>
      <w:pPr>
        <w:ind w:left="1140" w:hanging="889"/>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10.14 ~</w:t>
      </w:r>
      <w:r>
        <w:rPr>
          <w:sz w:val="20"/>
          <w:szCs w:val="20"/>
          <w:color w:val="auto"/>
        </w:rPr>
        <w:tab/>
      </w:r>
      <w:hyperlink r:id="rId85">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Executives)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10.22 to our Form 10-K, filed on February 15, 2024)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982" w:right="619" w:bottom="1440" w:gutter="0" w:footer="0" w:header="0"/>
        </w:sectPr>
      </w:pPr>
    </w:p>
    <w:bookmarkStart w:id="56" w:name="page57"/>
    <w:bookmarkEnd w:id="56"/>
    <w:p>
      <w:pPr>
        <w:ind w:left="900" w:hanging="889"/>
        <w:spacing w:after="0" w:line="247"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10.15 ~</w:t>
      </w:r>
      <w:r>
        <w:rPr>
          <w:sz w:val="20"/>
          <w:szCs w:val="20"/>
          <w:color w:val="auto"/>
        </w:rPr>
        <w:tab/>
      </w:r>
      <w:hyperlink r:id="rId87">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7">
        <w:r>
          <w:rPr>
            <w:rFonts w:ascii="Times New Roman" w:cs="Times New Roman" w:eastAsia="Times New Roman" w:hAnsi="Times New Roman"/>
            <w:sz w:val="17"/>
            <w:szCs w:val="17"/>
            <w:u w:val="single" w:color="auto"/>
            <w:color w:val="0000FF"/>
          </w:rPr>
          <w:t>Employees)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10.23 to our Form 10-K, filed on February 15, 2024)</w:t>
        </w:r>
      </w:hyperlink>
    </w:p>
    <w:p>
      <w:pPr>
        <w:spacing w:after="0" w:line="3"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10.16 ~</w:t>
      </w:r>
      <w:r>
        <w:rPr>
          <w:sz w:val="20"/>
          <w:szCs w:val="20"/>
          <w:color w:val="auto"/>
        </w:rPr>
        <w:tab/>
      </w:r>
      <w:hyperlink r:id="rId88">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7"/>
          <w:szCs w:val="17"/>
          <w:u w:val="single" w:color="auto"/>
          <w:color w:val="0000FF"/>
        </w:rPr>
        <w:t xml:space="preserve"> </w:t>
      </w:r>
      <w:hyperlink r:id="rId88">
        <w:r>
          <w:rPr>
            <w:rFonts w:ascii="Times New Roman" w:cs="Times New Roman" w:eastAsia="Times New Roman" w:hAnsi="Times New Roman"/>
            <w:sz w:val="17"/>
            <w:szCs w:val="17"/>
            <w:u w:val="single" w:color="auto"/>
            <w:color w:val="0000FF"/>
          </w:rPr>
          <w:t>Based)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10.24 to our Form 10-K, filed on February 15, 2024)</w:t>
        </w:r>
      </w:hyperlink>
    </w:p>
    <w:p>
      <w:pPr>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10.17 ~</w:t>
      </w:r>
      <w:r>
        <w:rPr>
          <w:sz w:val="20"/>
          <w:szCs w:val="20"/>
          <w:color w:val="auto"/>
        </w:rPr>
        <w:tab/>
      </w:r>
      <w:hyperlink r:id="rId89">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Agreement (For Employees</w:t>
        </w:r>
      </w:hyperlink>
      <w:r>
        <w:rPr>
          <w:rFonts w:ascii="Times New Roman" w:cs="Times New Roman" w:eastAsia="Times New Roman" w:hAnsi="Times New Roman"/>
          <w:sz w:val="17"/>
          <w:szCs w:val="17"/>
          <w:color w:val="000000"/>
        </w:rPr>
        <w:t>)</w:t>
      </w:r>
    </w:p>
    <w:p>
      <w:pPr>
        <w:ind w:left="900"/>
        <w:spacing w:after="0"/>
        <w:rPr>
          <w:sz w:val="20"/>
          <w:szCs w:val="20"/>
          <w:color w:val="auto"/>
        </w:rPr>
      </w:pPr>
      <w:r>
        <w:rPr>
          <w:rFonts w:ascii="Times New Roman" w:cs="Times New Roman" w:eastAsia="Times New Roman" w:hAnsi="Times New Roman"/>
          <w:sz w:val="17"/>
          <w:szCs w:val="17"/>
          <w:color w:val="auto"/>
        </w:rPr>
        <w:t>(incorporated herein by reference to Exhibit 10.35 to our Form 10-Q, filed on May 2, 2019)</w:t>
      </w:r>
    </w:p>
    <w:p>
      <w:pPr>
        <w:spacing w:after="0" w:line="20"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10.18 ~</w:t>
      </w:r>
      <w:r>
        <w:rPr>
          <w:sz w:val="20"/>
          <w:szCs w:val="20"/>
          <w:color w:val="auto"/>
        </w:rPr>
        <w:tab/>
      </w:r>
      <w:hyperlink r:id="rId90">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90">
        <w:r>
          <w:rPr>
            <w:rFonts w:ascii="Times New Roman" w:cs="Times New Roman" w:eastAsia="Times New Roman" w:hAnsi="Times New Roman"/>
            <w:sz w:val="17"/>
            <w:szCs w:val="17"/>
            <w:u w:val="single" w:color="auto"/>
            <w:color w:val="0000FF"/>
          </w:rPr>
          <w:t>Executives)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10.18 to our Form 10-K, filed on February 14, 2025)</w:t>
        </w:r>
      </w:hyperlink>
    </w:p>
    <w:p>
      <w:pPr>
        <w:spacing w:after="0" w:line="3"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10.19 ~</w:t>
      </w:r>
      <w:r>
        <w:rPr>
          <w:sz w:val="20"/>
          <w:szCs w:val="20"/>
          <w:color w:val="auto"/>
        </w:rPr>
        <w:tab/>
      </w:r>
      <w:hyperlink r:id="rId91">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91">
        <w:r>
          <w:rPr>
            <w:rFonts w:ascii="Times New Roman" w:cs="Times New Roman" w:eastAsia="Times New Roman" w:hAnsi="Times New Roman"/>
            <w:sz w:val="17"/>
            <w:szCs w:val="17"/>
            <w:u w:val="single" w:color="auto"/>
            <w:color w:val="0000FF"/>
          </w:rPr>
          <w:t>Employees)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10.18 to our Form 10-K, filed on February 14, 2025)</w:t>
        </w:r>
      </w:hyperlink>
    </w:p>
    <w:p>
      <w:pPr>
        <w:spacing w:after="0" w:line="3"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10.20 ~</w:t>
      </w:r>
      <w:r>
        <w:rPr>
          <w:sz w:val="20"/>
          <w:szCs w:val="20"/>
          <w:color w:val="auto"/>
        </w:rPr>
        <w:tab/>
      </w:r>
      <w:hyperlink r:id="rId92">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7"/>
          <w:szCs w:val="17"/>
          <w:u w:val="single" w:color="auto"/>
          <w:color w:val="0000FF"/>
        </w:rPr>
        <w:t xml:space="preserve"> </w:t>
      </w:r>
      <w:hyperlink r:id="rId92">
        <w:r>
          <w:rPr>
            <w:rFonts w:ascii="Times New Roman" w:cs="Times New Roman" w:eastAsia="Times New Roman" w:hAnsi="Times New Roman"/>
            <w:sz w:val="17"/>
            <w:szCs w:val="17"/>
            <w:u w:val="single" w:color="auto"/>
            <w:color w:val="0000FF"/>
          </w:rPr>
          <w:t>Based)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10.18 to our Form 10-K, filed on February 14, 2025)</w:t>
        </w:r>
      </w:hyperlink>
    </w:p>
    <w:p>
      <w:pPr>
        <w:spacing w:after="0" w:line="3"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10.21 ~</w:t>
      </w:r>
      <w:r>
        <w:rPr>
          <w:sz w:val="20"/>
          <w:szCs w:val="20"/>
          <w:color w:val="auto"/>
        </w:rPr>
        <w:tab/>
      </w:r>
      <w:hyperlink r:id="rId93">
        <w:r>
          <w:rPr>
            <w:rFonts w:ascii="Times New Roman" w:cs="Times New Roman" w:eastAsia="Times New Roman" w:hAnsi="Times New Roman"/>
            <w:sz w:val="17"/>
            <w:szCs w:val="17"/>
            <w:u w:val="single" w:color="auto"/>
            <w:color w:val="0000FF"/>
          </w:rPr>
          <w:t xml:space="preserve">Form of Indemnification Agreement between NMI Holdings, Inc. and its directors and certain executive officers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10.1 to our Form 8-K, filed on November 25, 2014)</w:t>
      </w:r>
    </w:p>
    <w:p>
      <w:pPr>
        <w:spacing w:after="0" w:line="3"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10.22 ~</w:t>
      </w:r>
      <w:r>
        <w:rPr>
          <w:sz w:val="20"/>
          <w:szCs w:val="20"/>
          <w:color w:val="auto"/>
        </w:rPr>
        <w:tab/>
      </w:r>
      <w:hyperlink r:id="rId94">
        <w:r>
          <w:rPr>
            <w:rFonts w:ascii="Times New Roman" w:cs="Times New Roman" w:eastAsia="Times New Roman" w:hAnsi="Times New Roman"/>
            <w:sz w:val="17"/>
            <w:szCs w:val="17"/>
            <w:u w:val="single" w:color="auto"/>
            <w:color w:val="0000FF"/>
          </w:rPr>
          <w:t xml:space="preserve">NMI Holdings, Inc. Severance Benefit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10.1 to our Form 8-K, filed on February 17, 2016)</w:t>
      </w:r>
    </w:p>
    <w:p>
      <w:pPr>
        <w:spacing w:after="0" w:line="32" w:lineRule="exact"/>
        <w:rPr>
          <w:sz w:val="20"/>
          <w:szCs w:val="20"/>
          <w:color w:val="auto"/>
        </w:rPr>
      </w:pPr>
    </w:p>
    <w:p>
      <w:pPr>
        <w:ind w:left="900" w:hanging="889"/>
        <w:spacing w:after="0" w:line="241"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10.23 ~</w:t>
      </w:r>
      <w:r>
        <w:rPr>
          <w:sz w:val="20"/>
          <w:szCs w:val="20"/>
          <w:color w:val="auto"/>
        </w:rPr>
        <w:tab/>
      </w:r>
      <w:hyperlink r:id="rId95">
        <w:r>
          <w:rPr>
            <w:rFonts w:ascii="Times New Roman" w:cs="Times New Roman" w:eastAsia="Times New Roman" w:hAnsi="Times New Roman"/>
            <w:sz w:val="17"/>
            <w:szCs w:val="17"/>
            <w:u w:val="single" w:color="auto"/>
            <w:color w:val="0000FF"/>
          </w:rPr>
          <w:t xml:space="preserve">NMI Holdings, Inc. Amended and Restated Change in Control Severance Benefit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10.30 to</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our Form 10-Q, filed on October 30, 2018)</w:t>
      </w:r>
    </w:p>
    <w:p>
      <w:pPr>
        <w:spacing w:after="0" w:line="7"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10.24 ~</w:t>
      </w:r>
      <w:r>
        <w:rPr>
          <w:sz w:val="20"/>
          <w:szCs w:val="20"/>
          <w:color w:val="auto"/>
        </w:rPr>
        <w:tab/>
      </w:r>
      <w:hyperlink r:id="rId96">
        <w:r>
          <w:rPr>
            <w:rFonts w:ascii="Times New Roman" w:cs="Times New Roman" w:eastAsia="Times New Roman" w:hAnsi="Times New Roman"/>
            <w:sz w:val="17"/>
            <w:szCs w:val="17"/>
            <w:u w:val="single" w:color="auto"/>
            <w:color w:val="0000FF"/>
          </w:rPr>
          <w:t xml:space="preserve">NMI Holdings, Inc. Clawback Policy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10.2 to our Form 8-K, filed on February 23, 2017)</w:t>
      </w:r>
    </w:p>
    <w:p>
      <w:pPr>
        <w:spacing w:after="0" w:line="21"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10.25 ~</w:t>
      </w:r>
      <w:r>
        <w:rPr>
          <w:sz w:val="20"/>
          <w:szCs w:val="20"/>
          <w:color w:val="auto"/>
        </w:rPr>
        <w:tab/>
      </w:r>
      <w:hyperlink r:id="rId97">
        <w:r>
          <w:rPr>
            <w:rFonts w:ascii="Times New Roman" w:cs="Times New Roman" w:eastAsia="Times New Roman" w:hAnsi="Times New Roman"/>
            <w:sz w:val="17"/>
            <w:szCs w:val="17"/>
            <w:u w:val="single" w:color="auto"/>
            <w:color w:val="0000FF"/>
          </w:rPr>
          <w:t xml:space="preserve">Offer Letter by and between NMI Holdings, Inc. and William Leatherberry, dated July 11, 2014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00"/>
        <w:spacing w:after="0"/>
        <w:rPr>
          <w:sz w:val="20"/>
          <w:szCs w:val="20"/>
          <w:color w:val="auto"/>
        </w:rPr>
      </w:pPr>
      <w:r>
        <w:rPr>
          <w:rFonts w:ascii="Times New Roman" w:cs="Times New Roman" w:eastAsia="Times New Roman" w:hAnsi="Times New Roman"/>
          <w:sz w:val="17"/>
          <w:szCs w:val="17"/>
          <w:color w:val="auto"/>
        </w:rPr>
        <w:t>10.10 to our Form 10-Q, filed on April 28, 2016)</w:t>
      </w:r>
    </w:p>
    <w:p>
      <w:pPr>
        <w:spacing w:after="0" w:line="20"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10.26 ~</w:t>
      </w:r>
      <w:r>
        <w:rPr>
          <w:sz w:val="20"/>
          <w:szCs w:val="20"/>
          <w:color w:val="auto"/>
        </w:rPr>
        <w:tab/>
      </w:r>
      <w:hyperlink r:id="rId98">
        <w:r>
          <w:rPr>
            <w:rFonts w:ascii="Times New Roman" w:cs="Times New Roman" w:eastAsia="Times New Roman" w:hAnsi="Times New Roman"/>
            <w:sz w:val="17"/>
            <w:szCs w:val="17"/>
            <w:u w:val="single" w:color="auto"/>
            <w:color w:val="0000FF"/>
          </w:rPr>
          <w:t xml:space="preserve">Employment Letter by and between NMI Holdings, Inc. and Bradley M. Shuster, effective as of January 1, 2019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10.1 to our Form 8-K, filed on December 28, 2018)</w:t>
      </w:r>
    </w:p>
    <w:p>
      <w:pPr>
        <w:spacing w:after="0" w:line="49"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10.27 ~</w:t>
      </w:r>
      <w:r>
        <w:rPr>
          <w:sz w:val="20"/>
          <w:szCs w:val="20"/>
          <w:color w:val="auto"/>
        </w:rPr>
        <w:tab/>
      </w:r>
      <w:hyperlink r:id="rId99">
        <w:r>
          <w:rPr>
            <w:rFonts w:ascii="Times New Roman" w:cs="Times New Roman" w:eastAsia="Times New Roman" w:hAnsi="Times New Roman"/>
            <w:sz w:val="17"/>
            <w:szCs w:val="17"/>
            <w:u w:val="single" w:color="auto"/>
            <w:color w:val="0000FF"/>
          </w:rPr>
          <w:t xml:space="preserve">Offer Letter by and between NMI Holdings, Inc. and Adam Pollitzer, dated September 9, 2021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00"/>
        <w:spacing w:after="0"/>
        <w:rPr>
          <w:sz w:val="20"/>
          <w:szCs w:val="20"/>
          <w:color w:val="auto"/>
        </w:rPr>
      </w:pPr>
      <w:r>
        <w:rPr>
          <w:rFonts w:ascii="Times New Roman" w:cs="Times New Roman" w:eastAsia="Times New Roman" w:hAnsi="Times New Roman"/>
          <w:sz w:val="17"/>
          <w:szCs w:val="17"/>
          <w:color w:val="auto"/>
        </w:rPr>
        <w:t>10.1 to our Form 8-K, filed on September 9, 2021)</w:t>
      </w:r>
    </w:p>
    <w:p>
      <w:pPr>
        <w:spacing w:after="0" w:line="14"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10.28 ~</w:t>
      </w:r>
      <w:r>
        <w:rPr>
          <w:sz w:val="20"/>
          <w:szCs w:val="20"/>
          <w:color w:val="auto"/>
        </w:rPr>
        <w:tab/>
      </w:r>
      <w:hyperlink r:id="rId100">
        <w:r>
          <w:rPr>
            <w:rFonts w:ascii="Times New Roman" w:cs="Times New Roman" w:eastAsia="Times New Roman" w:hAnsi="Times New Roman"/>
            <w:sz w:val="17"/>
            <w:szCs w:val="17"/>
            <w:u w:val="single" w:color="auto"/>
            <w:color w:val="0000FF"/>
          </w:rPr>
          <w:t xml:space="preserve">Offer Letter by and between NMI Holdings, Inc. and Aurora Swithenbank, dated March 1, 2024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00"/>
        <w:spacing w:after="0"/>
        <w:rPr>
          <w:sz w:val="20"/>
          <w:szCs w:val="20"/>
          <w:color w:val="auto"/>
        </w:rPr>
      </w:pPr>
      <w:r>
        <w:rPr>
          <w:rFonts w:ascii="Times New Roman" w:cs="Times New Roman" w:eastAsia="Times New Roman" w:hAnsi="Times New Roman"/>
          <w:sz w:val="17"/>
          <w:szCs w:val="17"/>
          <w:color w:val="auto"/>
        </w:rPr>
        <w:t>10.1 to our Form 8-K, filed on March 4, 2024)</w:t>
      </w:r>
    </w:p>
    <w:p>
      <w:pPr>
        <w:spacing w:after="0" w:line="14"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10.29 ~</w:t>
      </w:r>
      <w:r>
        <w:rPr>
          <w:sz w:val="20"/>
          <w:szCs w:val="20"/>
          <w:color w:val="auto"/>
        </w:rPr>
        <w:tab/>
      </w:r>
      <w:hyperlink r:id="rId101">
        <w:r>
          <w:rPr>
            <w:rFonts w:ascii="Times New Roman" w:cs="Times New Roman" w:eastAsia="Times New Roman" w:hAnsi="Times New Roman"/>
            <w:sz w:val="17"/>
            <w:szCs w:val="17"/>
            <w:u w:val="single" w:color="auto"/>
            <w:color w:val="0000FF"/>
          </w:rPr>
          <w:t xml:space="preserve">Offer letter by and between NMI Holdings, Inc. and Ravi Mallela, dated December 20, 2021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00"/>
        <w:spacing w:after="0"/>
        <w:rPr>
          <w:sz w:val="20"/>
          <w:szCs w:val="20"/>
          <w:color w:val="auto"/>
        </w:rPr>
      </w:pPr>
      <w:r>
        <w:rPr>
          <w:rFonts w:ascii="Times New Roman" w:cs="Times New Roman" w:eastAsia="Times New Roman" w:hAnsi="Times New Roman"/>
          <w:sz w:val="17"/>
          <w:szCs w:val="17"/>
          <w:color w:val="auto"/>
        </w:rPr>
        <w:t>10.1 to our Form 8-K, filed on December 21, 2021)</w:t>
      </w:r>
    </w:p>
    <w:p>
      <w:pPr>
        <w:spacing w:after="0" w:line="14"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10.30 ~</w:t>
      </w:r>
      <w:r>
        <w:rPr>
          <w:sz w:val="20"/>
          <w:szCs w:val="20"/>
          <w:color w:val="auto"/>
        </w:rPr>
        <w:tab/>
      </w:r>
      <w:hyperlink r:id="rId100">
        <w:r>
          <w:rPr>
            <w:rFonts w:ascii="Times New Roman" w:cs="Times New Roman" w:eastAsia="Times New Roman" w:hAnsi="Times New Roman"/>
            <w:sz w:val="17"/>
            <w:szCs w:val="17"/>
            <w:u w:val="single" w:color="auto"/>
            <w:color w:val="0000FF"/>
          </w:rPr>
          <w:t>Offer Letter by and between NMI Holdings, Inc. and Aurora Swithenbank, dated March 1, 202</w:t>
        </w:r>
      </w:hyperlink>
      <w:r>
        <w:rPr>
          <w:rFonts w:ascii="Times New Roman" w:cs="Times New Roman" w:eastAsia="Times New Roman" w:hAnsi="Times New Roman"/>
          <w:sz w:val="17"/>
          <w:szCs w:val="17"/>
          <w:color w:val="000000"/>
        </w:rPr>
        <w:t>4</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(incorporated herein by reference to Exhibit</w:t>
      </w:r>
    </w:p>
    <w:p>
      <w:pPr>
        <w:ind w:left="900"/>
        <w:spacing w:after="0"/>
        <w:rPr>
          <w:sz w:val="20"/>
          <w:szCs w:val="20"/>
          <w:color w:val="auto"/>
        </w:rPr>
      </w:pPr>
      <w:r>
        <w:rPr>
          <w:rFonts w:ascii="Times New Roman" w:cs="Times New Roman" w:eastAsia="Times New Roman" w:hAnsi="Times New Roman"/>
          <w:sz w:val="17"/>
          <w:szCs w:val="17"/>
          <w:color w:val="auto"/>
        </w:rPr>
        <w:t>10.1 to our Form 8-K, filed on March 4, 2024)</w:t>
      </w:r>
    </w:p>
    <w:p>
      <w:pPr>
        <w:spacing w:after="0" w:line="20"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10.31 ~</w:t>
      </w:r>
      <w:r>
        <w:rPr>
          <w:sz w:val="20"/>
          <w:szCs w:val="20"/>
          <w:color w:val="auto"/>
        </w:rPr>
        <w:tab/>
      </w:r>
      <w:hyperlink r:id="rId102">
        <w:r>
          <w:rPr>
            <w:rFonts w:ascii="Times New Roman" w:cs="Times New Roman" w:eastAsia="Times New Roman" w:hAnsi="Times New Roman"/>
            <w:sz w:val="17"/>
            <w:szCs w:val="17"/>
            <w:u w:val="single" w:color="auto"/>
            <w:color w:val="0000FF"/>
          </w:rPr>
          <w:t xml:space="preserve">Separation Agreement by and between NMI Holdings, Inc. and Ravi Mallela, dated March 1, 2024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Exhibit 10.2 to our Form 8-K, filed on March 4, 2024)</w:t>
      </w:r>
    </w:p>
    <w:p>
      <w:pPr>
        <w:spacing w:after="0" w:line="3" w:lineRule="exact"/>
        <w:rPr>
          <w:sz w:val="20"/>
          <w:szCs w:val="20"/>
          <w:color w:val="auto"/>
        </w:rPr>
      </w:pPr>
    </w:p>
    <w:p>
      <w:pPr>
        <w:jc w:val="right"/>
        <w:spacing w:after="0" w:line="228"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10.32 +    </w:t>
      </w:r>
      <w:hyperlink r:id="rId103">
        <w:r>
          <w:rPr>
            <w:rFonts w:ascii="Times New Roman" w:cs="Times New Roman" w:eastAsia="Times New Roman" w:hAnsi="Times New Roman"/>
            <w:sz w:val="17"/>
            <w:szCs w:val="17"/>
            <w:u w:val="single" w:color="auto"/>
            <w:color w:val="0000FF"/>
          </w:rPr>
          <w:t>Commitment Letter dated July 12, 2013 for Bulk Fannie Mae-Paid Loss-on-Sale Mortgage Insurance on the Portfolio of approximately</w:t>
        </w:r>
      </w:hyperlink>
      <w:r>
        <w:rPr>
          <w:rFonts w:ascii="Times New Roman" w:cs="Times New Roman" w:eastAsia="Times New Roman" w:hAnsi="Times New Roman"/>
          <w:sz w:val="17"/>
          <w:szCs w:val="17"/>
          <w:color w:val="auto"/>
        </w:rPr>
        <w:t xml:space="preserve"> </w:t>
      </w:r>
      <w:hyperlink r:id="rId103">
        <w:r>
          <w:rPr>
            <w:rFonts w:ascii="Times New Roman" w:cs="Times New Roman" w:eastAsia="Times New Roman" w:hAnsi="Times New Roman"/>
            <w:sz w:val="17"/>
            <w:szCs w:val="17"/>
            <w:u w:val="single" w:color="auto"/>
            <w:color w:val="0000FF"/>
          </w:rPr>
          <w:t>$5.46 billion Purchased by Fannie Mae and Identified by Fannie Mae as Deal No. 2013 MIRT 01 and by the Company as Policy No. P-</w:t>
        </w:r>
      </w:hyperlink>
    </w:p>
    <w:p>
      <w:pPr>
        <w:spacing w:after="0" w:line="1" w:lineRule="exact"/>
        <w:rPr>
          <w:sz w:val="20"/>
          <w:szCs w:val="20"/>
          <w:color w:val="auto"/>
        </w:rPr>
      </w:pPr>
    </w:p>
    <w:p>
      <w:pPr>
        <w:ind w:left="900"/>
        <w:spacing w:after="0" w:line="231" w:lineRule="auto"/>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u w:val="single" w:color="auto"/>
            <w:color w:val="0000FF"/>
          </w:rPr>
          <w:t>0001-01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10.14 to our Form S-1 Registration Statement (Registration No. 333-191635), filed on</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October 9, 2013)</w:t>
      </w:r>
    </w:p>
    <w:p>
      <w:pPr>
        <w:spacing w:after="0" w:line="1" w:lineRule="exact"/>
        <w:rPr>
          <w:sz w:val="20"/>
          <w:szCs w:val="20"/>
          <w:color w:val="auto"/>
        </w:rPr>
      </w:pPr>
    </w:p>
    <w:p>
      <w:pPr>
        <w:ind w:left="900" w:hanging="820"/>
        <w:spacing w:after="0" w:line="241"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10.33</w:t>
      </w:r>
      <w:r>
        <w:rPr>
          <w:sz w:val="20"/>
          <w:szCs w:val="20"/>
          <w:color w:val="auto"/>
        </w:rPr>
        <w:tab/>
      </w:r>
      <w:hyperlink r:id="rId104">
        <w:r>
          <w:rPr>
            <w:rFonts w:ascii="Times New Roman" w:cs="Times New Roman" w:eastAsia="Times New Roman" w:hAnsi="Times New Roman"/>
            <w:sz w:val="17"/>
            <w:szCs w:val="17"/>
            <w:u w:val="single" w:color="auto"/>
            <w:color w:val="0000FF"/>
          </w:rPr>
          <w:t>Credit Agreement, dated as of April 29, 2024, by and among the Company, the lenders party hereto, and Royal Bank of Canada, as the</w:t>
        </w:r>
      </w:hyperlink>
      <w:r>
        <w:rPr>
          <w:rFonts w:ascii="Times New Roman" w:cs="Times New Roman" w:eastAsia="Times New Roman" w:hAnsi="Times New Roman"/>
          <w:sz w:val="17"/>
          <w:szCs w:val="17"/>
          <w:u w:val="single" w:color="auto"/>
          <w:color w:val="0000FF"/>
        </w:rPr>
        <w:t xml:space="preserve"> </w:t>
      </w:r>
      <w:hyperlink r:id="rId104">
        <w:r>
          <w:rPr>
            <w:rFonts w:ascii="Times New Roman" w:cs="Times New Roman" w:eastAsia="Times New Roman" w:hAnsi="Times New Roman"/>
            <w:sz w:val="17"/>
            <w:szCs w:val="17"/>
            <w:u w:val="single" w:color="auto"/>
            <w:color w:val="0000FF"/>
          </w:rPr>
          <w:t>Agent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10.31 to our Form 10-Q, filed on May 1, 2024)</w:t>
        </w:r>
      </w:hyperlink>
    </w:p>
    <w:p>
      <w:pPr>
        <w:spacing w:after="0" w:line="7" w:lineRule="exact"/>
        <w:rPr>
          <w:sz w:val="20"/>
          <w:szCs w:val="20"/>
          <w:color w:val="auto"/>
        </w:rPr>
      </w:pPr>
    </w:p>
    <w:p>
      <w:pPr>
        <w:ind w:left="12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19.1</w:t>
      </w:r>
      <w:r>
        <w:rPr>
          <w:sz w:val="20"/>
          <w:szCs w:val="20"/>
          <w:color w:val="auto"/>
        </w:rPr>
        <w:tab/>
      </w:r>
      <w:hyperlink r:id="rId105">
        <w:r>
          <w:rPr>
            <w:rFonts w:ascii="Times New Roman" w:cs="Times New Roman" w:eastAsia="Times New Roman" w:hAnsi="Times New Roman"/>
            <w:sz w:val="17"/>
            <w:szCs w:val="17"/>
            <w:u w:val="single" w:color="auto"/>
            <w:color w:val="0000FF"/>
          </w:rPr>
          <w:t xml:space="preserve">Insider Trading and Information Policy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19.1 to our Form 10-K, filed on February 14, 2025)</w:t>
      </w:r>
    </w:p>
    <w:p>
      <w:pPr>
        <w:spacing w:after="0" w:line="32" w:lineRule="exact"/>
        <w:rPr>
          <w:sz w:val="20"/>
          <w:szCs w:val="20"/>
          <w:color w:val="auto"/>
        </w:rPr>
      </w:pPr>
    </w:p>
    <w:p>
      <w:pPr>
        <w:ind w:left="12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21.1</w:t>
      </w:r>
      <w:r>
        <w:rPr>
          <w:sz w:val="20"/>
          <w:szCs w:val="20"/>
          <w:color w:val="auto"/>
        </w:rPr>
        <w:tab/>
      </w:r>
      <w:hyperlink r:id="rId106">
        <w:r>
          <w:rPr>
            <w:rFonts w:ascii="Times New Roman" w:cs="Times New Roman" w:eastAsia="Times New Roman" w:hAnsi="Times New Roman"/>
            <w:sz w:val="17"/>
            <w:szCs w:val="17"/>
            <w:u w:val="single" w:color="auto"/>
            <w:color w:val="0000FF"/>
          </w:rPr>
          <w:t xml:space="preserve">Subsidiaries of NMI Holdings, Inc.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21.1 to our Form 10-Q, filed on October 30, 2015)</w:t>
      </w:r>
    </w:p>
    <w:p>
      <w:pPr>
        <w:spacing w:after="0" w:line="27"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Principal Executive Officer's Certification Pursuant to Section 302 of the Sarbanes-Oxley Act of 2002</w:t>
      </w:r>
    </w:p>
    <w:p>
      <w:pPr>
        <w:spacing w:after="0" w:line="27"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Principal Financial Officer's Certification Pursuant to Section 302 of the Sarbanes-Oxley Act of 2002</w:t>
      </w:r>
    </w:p>
    <w:p>
      <w:pPr>
        <w:spacing w:after="0" w:line="27"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7"/>
          <w:szCs w:val="17"/>
          <w:color w:val="auto"/>
        </w:rPr>
        <w:t>32.1 #</w:t>
      </w:r>
      <w:r>
        <w:rPr>
          <w:sz w:val="20"/>
          <w:szCs w:val="20"/>
          <w:color w:val="auto"/>
        </w:rPr>
        <w:tab/>
      </w:r>
      <w:r>
        <w:rPr>
          <w:rFonts w:ascii="Times New Roman" w:cs="Times New Roman" w:eastAsia="Times New Roman" w:hAnsi="Times New Roman"/>
          <w:sz w:val="17"/>
          <w:szCs w:val="17"/>
          <w:u w:val="single" w:color="auto"/>
          <w:color w:val="0000FF"/>
        </w:rPr>
        <w:t>Certifications of CEO and CFO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20"/>
          </w:cols>
          <w:pgMar w:left="560" w:top="1023" w:right="619" w:bottom="1440" w:gutter="0" w:footer="0" w:header="0"/>
        </w:sectPr>
      </w:pPr>
    </w:p>
    <w:bookmarkStart w:id="57" w:name="page58"/>
    <w:bookmarkEnd w:id="57"/>
    <w:p>
      <w:pPr>
        <w:ind w:left="1007" w:right="60" w:hanging="776"/>
        <w:spacing w:after="0" w:line="247" w:lineRule="auto"/>
        <w:tabs>
          <w:tab w:leader="none" w:pos="987"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97.1</w:t>
      </w:r>
      <w:r>
        <w:rPr>
          <w:sz w:val="20"/>
          <w:szCs w:val="20"/>
          <w:color w:val="auto"/>
        </w:rPr>
        <w:tab/>
      </w:r>
      <w:hyperlink r:id="rId108">
        <w:r>
          <w:rPr>
            <w:rFonts w:ascii="Times New Roman" w:cs="Times New Roman" w:eastAsia="Times New Roman" w:hAnsi="Times New Roman"/>
            <w:sz w:val="17"/>
            <w:szCs w:val="17"/>
            <w:u w:val="single" w:color="auto"/>
            <w:color w:val="0000FF"/>
          </w:rPr>
          <w:t xml:space="preserve">NMI Holdings, Inc. Compensation Recovery Policy, Effective September 13, 2023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97.1 to our</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Form 10-K, filed on February 15, 2024)</w:t>
      </w:r>
    </w:p>
    <w:p>
      <w:pPr>
        <w:spacing w:after="0" w:line="3" w:lineRule="exact"/>
        <w:rPr>
          <w:sz w:val="20"/>
          <w:szCs w:val="20"/>
          <w:color w:val="auto"/>
        </w:rPr>
      </w:pPr>
    </w:p>
    <w:p>
      <w:pPr>
        <w:ind w:left="1007" w:right="560" w:hanging="763"/>
        <w:spacing w:after="0" w:line="247" w:lineRule="auto"/>
        <w:tabs>
          <w:tab w:leader="none" w:pos="100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NMI Holdings, Inc.'s Quarterly Report on Form 10-Q for the quarter ended June 30, 2025 (Unaudited) formatted in XBRL (eXtensible Business Reporting Language):</w:t>
      </w:r>
    </w:p>
    <w:p>
      <w:pPr>
        <w:spacing w:after="0" w:line="2" w:lineRule="exact"/>
        <w:rPr>
          <w:rFonts w:ascii="Times New Roman" w:cs="Times New Roman" w:eastAsia="Times New Roman" w:hAnsi="Times New Roman"/>
          <w:sz w:val="17"/>
          <w:szCs w:val="17"/>
          <w:color w:val="auto"/>
        </w:rPr>
      </w:pPr>
    </w:p>
    <w:p>
      <w:pPr>
        <w:ind w:left="1207" w:hanging="207"/>
        <w:spacing w:after="0"/>
        <w:tabs>
          <w:tab w:leader="none" w:pos="120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Balance Sheets as of June 30, 2025 (Unaudited) and December 31, 2024;</w:t>
      </w:r>
    </w:p>
    <w:p>
      <w:pPr>
        <w:spacing w:after="0" w:line="31" w:lineRule="exact"/>
        <w:rPr>
          <w:rFonts w:ascii="Times New Roman" w:cs="Times New Roman" w:eastAsia="Times New Roman" w:hAnsi="Times New Roman"/>
          <w:sz w:val="17"/>
          <w:szCs w:val="17"/>
          <w:color w:val="auto"/>
        </w:rPr>
      </w:pPr>
    </w:p>
    <w:p>
      <w:pPr>
        <w:ind w:left="1007" w:right="340" w:hanging="7"/>
        <w:spacing w:after="0" w:line="241" w:lineRule="auto"/>
        <w:tabs>
          <w:tab w:leader="none" w:pos="1263"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Statements of Operations and Comprehensive Income for the three months ended June 30, 2025 and 2024 (Unaudited);</w:t>
      </w:r>
    </w:p>
    <w:p>
      <w:pPr>
        <w:spacing w:after="0" w:line="7" w:lineRule="exact"/>
        <w:rPr>
          <w:rFonts w:ascii="Times New Roman" w:cs="Times New Roman" w:eastAsia="Times New Roman" w:hAnsi="Times New Roman"/>
          <w:sz w:val="17"/>
          <w:szCs w:val="17"/>
          <w:color w:val="auto"/>
        </w:rPr>
      </w:pPr>
    </w:p>
    <w:p>
      <w:pPr>
        <w:ind w:left="1007" w:right="780" w:hanging="7"/>
        <w:spacing w:after="0" w:line="247" w:lineRule="auto"/>
        <w:tabs>
          <w:tab w:leader="none" w:pos="1312"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Statements of Changes in Shareholders' Equity for the three months ended June 30, 2025 and 2024 (Unaudited);</w:t>
      </w:r>
    </w:p>
    <w:p>
      <w:pPr>
        <w:spacing w:after="0" w:line="2" w:lineRule="exact"/>
        <w:rPr>
          <w:rFonts w:ascii="Times New Roman" w:cs="Times New Roman" w:eastAsia="Times New Roman" w:hAnsi="Times New Roman"/>
          <w:sz w:val="17"/>
          <w:szCs w:val="17"/>
          <w:color w:val="auto"/>
        </w:rPr>
      </w:pPr>
    </w:p>
    <w:p>
      <w:pPr>
        <w:ind w:left="1287" w:hanging="287"/>
        <w:spacing w:after="0"/>
        <w:tabs>
          <w:tab w:leader="none" w:pos="128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Statements of Cash Flows for the three months ended June 30, 2025 and 2024 (Unaudited); and</w:t>
      </w:r>
    </w:p>
    <w:p>
      <w:pPr>
        <w:spacing w:after="0" w:line="31" w:lineRule="exact"/>
        <w:rPr>
          <w:rFonts w:ascii="Times New Roman" w:cs="Times New Roman" w:eastAsia="Times New Roman" w:hAnsi="Times New Roman"/>
          <w:sz w:val="17"/>
          <w:szCs w:val="17"/>
          <w:color w:val="auto"/>
        </w:rPr>
      </w:pPr>
    </w:p>
    <w:p>
      <w:pPr>
        <w:ind w:left="1007" w:hanging="7"/>
        <w:spacing w:after="0" w:line="241" w:lineRule="auto"/>
        <w:tabs>
          <w:tab w:leader="none" w:pos="125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Condensed Consolidated Financial Statements (Unaudited). The instance document does not appear in the Interactive Data File because XBRL tags are embedded within the Inline XBRL document.</w:t>
      </w:r>
    </w:p>
    <w:p>
      <w:pPr>
        <w:spacing w:after="0" w:line="7" w:lineRule="exact"/>
        <w:rPr>
          <w:sz w:val="20"/>
          <w:szCs w:val="20"/>
          <w:color w:val="auto"/>
        </w:rPr>
      </w:pPr>
    </w:p>
    <w:p>
      <w:pPr>
        <w:ind w:left="1007" w:right="60" w:hanging="763"/>
        <w:spacing w:after="0" w:line="247" w:lineRule="auto"/>
        <w:tabs>
          <w:tab w:leader="none" w:pos="100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NMI Holdings, Inc.'s Quarterly Report on Form 10-Q for the quarter ended June 30, 2025 (formatted as Inline XBRL and contained in Exhibit 101).</w:t>
      </w:r>
    </w:p>
    <w:p>
      <w:pPr>
        <w:spacing w:after="0" w:line="281" w:lineRule="exact"/>
        <w:rPr>
          <w:rFonts w:ascii="Times New Roman" w:cs="Times New Roman" w:eastAsia="Times New Roman" w:hAnsi="Times New Roman"/>
          <w:sz w:val="17"/>
          <w:szCs w:val="17"/>
          <w:color w:val="auto"/>
        </w:rPr>
      </w:pPr>
    </w:p>
    <w:p>
      <w:pPr>
        <w:ind w:left="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Filed herewith</w:t>
      </w:r>
    </w:p>
    <w:p>
      <w:pPr>
        <w:spacing w:after="0" w:line="25" w:lineRule="exact"/>
        <w:rPr>
          <w:sz w:val="20"/>
          <w:szCs w:val="20"/>
          <w:color w:val="auto"/>
        </w:rPr>
      </w:pPr>
    </w:p>
    <w:p>
      <w:pPr>
        <w:ind w:left="267" w:hanging="267"/>
        <w:spacing w:after="0"/>
        <w:tabs>
          <w:tab w:leader="none" w:pos="26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contract.</w:t>
      </w:r>
    </w:p>
    <w:p>
      <w:pPr>
        <w:spacing w:after="0" w:line="25" w:lineRule="exact"/>
        <w:rPr>
          <w:sz w:val="20"/>
          <w:szCs w:val="20"/>
          <w:color w:val="auto"/>
        </w:rPr>
      </w:pPr>
    </w:p>
    <w:p>
      <w:pPr>
        <w:ind w:left="267" w:hanging="267"/>
        <w:spacing w:after="0"/>
        <w:tabs>
          <w:tab w:leader="none" w:pos="26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granted as to certain portions, which portions have been filed separately with the SEC.</w:t>
      </w:r>
    </w:p>
    <w:p>
      <w:pPr>
        <w:spacing w:after="0" w:line="25" w:lineRule="exact"/>
        <w:rPr>
          <w:sz w:val="20"/>
          <w:szCs w:val="20"/>
          <w:color w:val="auto"/>
        </w:rPr>
      </w:pPr>
    </w:p>
    <w:p>
      <w:pPr>
        <w:ind w:left="267" w:hanging="267"/>
        <w:spacing w:after="0" w:line="224" w:lineRule="auto"/>
        <w:tabs>
          <w:tab w:leader="none" w:pos="26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32.1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26"/>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74295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47"/>
          </w:cols>
          <w:pgMar w:left="453" w:top="1023" w:right="69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64"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NMI HOLDINGS, INC.</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Date: July 29, 2025</w:t>
      </w:r>
    </w:p>
    <w:p>
      <w:pPr>
        <w:spacing w:after="0" w:line="2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By: /s/ Aurora Swithenbank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-3810</wp:posOffset>
            </wp:positionV>
            <wp:extent cx="15481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0">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4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Name: Aurora Swithenbank</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1240"/>
          </w:cols>
          <w:pgMar w:left="320" w:top="103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EXECUTIVE OFFICER’S CERTIFICATION PURSUANT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Adam S. Pollitzer, certify that:</w:t>
      </w:r>
    </w:p>
    <w:p>
      <w:pPr>
        <w:spacing w:after="0" w:line="118" w:lineRule="exact"/>
        <w:rPr>
          <w:sz w:val="20"/>
          <w:szCs w:val="20"/>
          <w:color w:val="auto"/>
        </w:rPr>
      </w:pPr>
    </w:p>
    <w:p>
      <w:pPr>
        <w:ind w:left="320" w:hanging="315"/>
        <w:spacing w:after="0"/>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NMI Holdings, Inc.;</w:t>
      </w:r>
    </w:p>
    <w:p>
      <w:pPr>
        <w:spacing w:after="0" w:line="170"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jc w:val="both"/>
        <w:ind w:left="320" w:hanging="315"/>
        <w:spacing w:after="0" w:line="276"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2"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28"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940" w:hanging="308"/>
        <w:spacing w:after="0" w:line="295" w:lineRule="auto"/>
        <w:tabs>
          <w:tab w:leader="none" w:pos="932"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28"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940" w:hanging="308"/>
        <w:spacing w:after="0" w:line="295" w:lineRule="auto"/>
        <w:tabs>
          <w:tab w:leader="none" w:pos="932"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940" w:right="280" w:hanging="308"/>
        <w:spacing w:after="0" w:line="295" w:lineRule="auto"/>
        <w:tabs>
          <w:tab w:leader="none" w:pos="928"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800" w:type="dxa"/>
        <w:tblCellMar>
          <w:top w:w="0" w:type="dxa"/>
          <w:left w:w="0" w:type="dxa"/>
          <w:bottom w:w="0" w:type="dxa"/>
          <w:right w:w="0" w:type="dxa"/>
        </w:tblCellMar>
      </w:tblPr>
      <w:tr>
        <w:trPr>
          <w:trHeight w:val="195"/>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July 29, 2025</w:t>
            </w: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Adam S. Pollitzer</w:t>
            </w:r>
          </w:p>
        </w:tc>
      </w:tr>
      <w:tr>
        <w:trPr>
          <w:trHeight w:val="236"/>
        </w:trPr>
        <w:tc>
          <w:tcPr>
            <w:tcW w:w="55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Adam S. Pollitzer</w:t>
            </w:r>
          </w:p>
        </w:tc>
        <w:tc>
          <w:tcPr>
            <w:tcW w:w="580" w:type="dxa"/>
            <w:vAlign w:val="bottom"/>
          </w:tcPr>
          <w:p>
            <w:pPr>
              <w:spacing w:after="0"/>
              <w:rPr>
                <w:sz w:val="20"/>
                <w:szCs w:val="20"/>
                <w:color w:val="auto"/>
              </w:rPr>
            </w:pPr>
          </w:p>
        </w:tc>
      </w:tr>
      <w:tr>
        <w:trPr>
          <w:trHeight w:val="222"/>
        </w:trPr>
        <w:tc>
          <w:tcPr>
            <w:tcW w:w="550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7"/>
        </w:trPr>
        <w:tc>
          <w:tcPr>
            <w:tcW w:w="550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17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FINANCIAL OFFICER’S CERTIFICATION PURSUANT TO</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Aurora Swithenbank, certify that:</w:t>
      </w:r>
    </w:p>
    <w:p>
      <w:pPr>
        <w:spacing w:after="0" w:line="170" w:lineRule="exact"/>
        <w:rPr>
          <w:sz w:val="20"/>
          <w:szCs w:val="20"/>
          <w:color w:val="auto"/>
        </w:rPr>
      </w:pPr>
    </w:p>
    <w:p>
      <w:pPr>
        <w:ind w:left="320" w:hanging="315"/>
        <w:spacing w:after="0"/>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NMI Holdings, Inc.;</w:t>
      </w:r>
    </w:p>
    <w:p>
      <w:pPr>
        <w:spacing w:after="0" w:line="170"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94" w:lineRule="exact"/>
        <w:rPr>
          <w:rFonts w:ascii="Times New Roman" w:cs="Times New Roman" w:eastAsia="Times New Roman" w:hAnsi="Times New Roman"/>
          <w:sz w:val="17"/>
          <w:szCs w:val="17"/>
          <w:color w:val="auto"/>
        </w:rPr>
      </w:pPr>
    </w:p>
    <w:p>
      <w:pPr>
        <w:jc w:val="both"/>
        <w:ind w:left="780" w:hanging="305"/>
        <w:spacing w:after="0" w:line="276" w:lineRule="auto"/>
        <w:tabs>
          <w:tab w:leader="none" w:pos="77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jc w:val="both"/>
        <w:ind w:left="780" w:hanging="305"/>
        <w:spacing w:after="0" w:line="276" w:lineRule="auto"/>
        <w:tabs>
          <w:tab w:leader="none" w:pos="7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780" w:hanging="305"/>
        <w:spacing w:after="0" w:line="295" w:lineRule="auto"/>
        <w:tabs>
          <w:tab w:leader="none" w:pos="77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780" w:hanging="305"/>
        <w:spacing w:after="0" w:line="276" w:lineRule="auto"/>
        <w:tabs>
          <w:tab w:leader="none" w:pos="7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780" w:hanging="305"/>
        <w:spacing w:after="0" w:line="295" w:lineRule="auto"/>
        <w:tabs>
          <w:tab w:leader="none" w:pos="77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780" w:hanging="305"/>
        <w:spacing w:after="0" w:line="295" w:lineRule="auto"/>
        <w:tabs>
          <w:tab w:leader="none" w:pos="7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July 29, 2025</w:t>
            </w:r>
          </w:p>
        </w:tc>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Aurora Swithenbank</w:t>
            </w:r>
          </w:p>
        </w:tc>
      </w:tr>
      <w:tr>
        <w:trPr>
          <w:trHeight w:val="236"/>
        </w:trPr>
        <w:tc>
          <w:tcPr>
            <w:tcW w:w="564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Aurora Swithenbank</w:t>
            </w:r>
          </w:p>
        </w:tc>
        <w:tc>
          <w:tcPr>
            <w:tcW w:w="320" w:type="dxa"/>
            <w:vAlign w:val="bottom"/>
          </w:tcPr>
          <w:p>
            <w:pPr>
              <w:spacing w:after="0"/>
              <w:rPr>
                <w:sz w:val="20"/>
                <w:szCs w:val="20"/>
                <w:color w:val="auto"/>
              </w:rPr>
            </w:pPr>
          </w:p>
        </w:tc>
      </w:tr>
      <w:tr>
        <w:trPr>
          <w:trHeight w:val="222"/>
        </w:trPr>
        <w:tc>
          <w:tcPr>
            <w:tcW w:w="564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7"/>
        </w:trPr>
        <w:tc>
          <w:tcPr>
            <w:tcW w:w="564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40"/>
          </w:cols>
          <w:pgMar w:left="320" w:top="17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3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of NMI Holdings, Inc. (the "Company") on Form 10-Q for the quarter ended June 30, 2025,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July 29, 2025</w:t>
      </w:r>
    </w:p>
    <w:p>
      <w:pPr>
        <w:spacing w:after="0" w:line="2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-3810</wp:posOffset>
            </wp:positionV>
            <wp:extent cx="12807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1">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Adam S. Pollitzer</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July 29, 2025</w:t>
      </w:r>
    </w:p>
    <w:p>
      <w:pPr>
        <w:spacing w:after="0" w:line="2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u w:val="single" w:color="auto"/>
          <w:color w:val="auto"/>
        </w:rPr>
        <w:t>/s/ Aurora Swithenbank</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Aurora Swithenbank</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lowerRoman"/>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01"/>
    </w:lvl>
    <w:lvl w:ilvl="1">
      <w:lvlJc w:val="left"/>
      <w:lvlText w:val="(%2)"/>
      <w:numFmt w:val="lowerRoman"/>
      <w:start w:val="1"/>
    </w:lvl>
  </w:abstractNum>
  <w:abstractNum w:abstractNumId="23">
    <w:nsid w:val="189A769B"/>
    <w:multiLevelType w:val="hybridMultilevel"/>
    <w:lvl w:ilvl="0">
      <w:lvlJc w:val="left"/>
      <w:lvlText w:val="*"/>
      <w:numFmt w:val="bullet"/>
      <w:start w:val="1"/>
    </w:lvl>
    <w:lvl w:ilvl="1">
      <w:lvlJc w:val="left"/>
      <w:lvlText w:val="%2"/>
      <w:numFmt w:val="decimal"/>
      <w:start w:val="104"/>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6" Type="http://schemas.openxmlformats.org/officeDocument/2006/relationships/image" Target="media/image59.png"/><Relationship Id="rId107" Type="http://schemas.openxmlformats.org/officeDocument/2006/relationships/image" Target="media/image60.png"/><Relationship Id="rId109" Type="http://schemas.openxmlformats.org/officeDocument/2006/relationships/image" Target="media/image61.png"/><Relationship Id="rId110" Type="http://schemas.openxmlformats.org/officeDocument/2006/relationships/image" Target="media/image62.png"/><Relationship Id="rId111" Type="http://schemas.openxmlformats.org/officeDocument/2006/relationships/image" Target="media/image63.png"/><Relationship Id="rId66" Type="http://schemas.openxmlformats.org/officeDocument/2006/relationships/hyperlink" Target="https://www.sec.gov/Archives/edgar/data/1547903/000119312524134340/d816160dex11.htm" TargetMode="External"/><Relationship Id="rId67" Type="http://schemas.openxmlformats.org/officeDocument/2006/relationships/hyperlink" Target="https://www.sec.gov/Archives/edgar/data/1547903/000154790324000111/nmih-certificateofincorpor.htm" TargetMode="External"/><Relationship Id="rId68" Type="http://schemas.openxmlformats.org/officeDocument/2006/relationships/hyperlink" Target="https://www.sec.gov/Archives/edgar/data/1547903/000154790324000111/fifthamendedandrestatedbyl.htm" TargetMode="External"/><Relationship Id="rId69" Type="http://schemas.openxmlformats.org/officeDocument/2006/relationships/hyperlink" Target="https://www.sec.gov/Archives/edgar/data/1547903/000119312524144008/d768666dex41.htm" TargetMode="External"/><Relationship Id="rId70" Type="http://schemas.openxmlformats.org/officeDocument/2006/relationships/hyperlink" Target="https://www.sec.gov/Archives/edgar/data/1547903/000119312524144008/d768666dex42.htm" TargetMode="External"/><Relationship Id="rId71" Type="http://schemas.openxmlformats.org/officeDocument/2006/relationships/hyperlink" Target="https://www.sec.gov/Archives/edgar/data/1547903/000154790324000139/exhibit44nmihdescriptionof.htm" TargetMode="External"/><Relationship Id="rId72" Type="http://schemas.openxmlformats.org/officeDocument/2006/relationships/hyperlink" Target="https://www.sec.gov/Archives/edgar/data/1547903/000154790313000020/a101nmiholdingsinc2012stoc.htm" TargetMode="External"/><Relationship Id="rId73" Type="http://schemas.openxmlformats.org/officeDocument/2006/relationships/hyperlink" Target="https://www.sec.gov/Archives/edgar/data/1547903/000154790313000020/a105formofnonqualifiedstoc.htm" TargetMode="External"/><Relationship Id="rId74" Type="http://schemas.openxmlformats.org/officeDocument/2006/relationships/hyperlink" Target="https://www.sec.gov/Archives/edgar/data/1547903/000154790313000020/a106formofnonqualifiedstoc.htm" TargetMode="External"/><Relationship Id="rId75" Type="http://schemas.openxmlformats.org/officeDocument/2006/relationships/hyperlink" Target="https://www.sec.gov/Archives/edgar/data/1547903/000154790313000020/a107formofnonqualifiedstoc.htm" TargetMode="External"/><Relationship Id="rId76" Type="http://schemas.openxmlformats.org/officeDocument/2006/relationships/hyperlink" Target="https://www.sec.gov/Archives/edgar/data/1547903/000154790317000032/exhibit108-2012stockincent.htm" TargetMode="External"/><Relationship Id="rId77" Type="http://schemas.openxmlformats.org/officeDocument/2006/relationships/hyperlink" Target="https://www.sec.gov/Archives/edgar/data/1547903/000154790317000032/exhibit109-2012stockincent.htm" TargetMode="External"/><Relationship Id="rId78" Type="http://schemas.openxmlformats.org/officeDocument/2006/relationships/hyperlink" Target="https://www.sec.gov/Archives/edgar/data/1547903/000154790319000064/exhibit1032.htm" TargetMode="External"/><Relationship Id="rId79" Type="http://schemas.openxmlformats.org/officeDocument/2006/relationships/hyperlink" Target="https://www.sec.gov/ix?doc=/Archives/edgar/data/1547903/000154790324000103/nmih-20240331.htm" TargetMode="External"/><Relationship Id="rId80" Type="http://schemas.openxmlformats.org/officeDocument/2006/relationships/hyperlink" Target="https://www.sec.gov/Archives/edgar/data/1547903/000154790317000100/ex1023nqsceo.htm" TargetMode="External"/><Relationship Id="rId81" Type="http://schemas.openxmlformats.org/officeDocument/2006/relationships/hyperlink" Target="https://www.sec.gov/Archives/edgar/data/1547903/000154790317000100/ex1024nqseoee.htm" TargetMode="External"/><Relationship Id="rId82" Type="http://schemas.openxmlformats.org/officeDocument/2006/relationships/hyperlink" Target="https://www.sec.gov/Archives/edgar/data/1547903/000154790320000045/ex1038202010q.htm" TargetMode="External"/><Relationship Id="rId83" Type="http://schemas.openxmlformats.org/officeDocument/2006/relationships/hyperlink" Target="https://www.sec.gov/Archives/edgar/data/1547903/000154790325000026/ex1012rsuagreementforindep.htm" TargetMode="External"/><Relationship Id="rId84" Type="http://schemas.openxmlformats.org/officeDocument/2006/relationships/hyperlink" Target="https://www.sec.gov/Archives/edgar/data/1547903/000154790319000064/exhibit1034.htm" TargetMode="External"/><Relationship Id="rId85" Type="http://schemas.openxmlformats.org/officeDocument/2006/relationships/hyperlink" Target="https://www.sec.gov/Archives/edgar/data/1547903/000154790324000035/ex1022ye2023rsuawardagreem.htm" TargetMode="External"/><Relationship Id="rId87" Type="http://schemas.openxmlformats.org/officeDocument/2006/relationships/hyperlink" Target="https://www.sec.gov/Archives/edgar/data/1547903/000154790324000035/ex1023ye2023rsuawardagreem.htm" TargetMode="External"/><Relationship Id="rId88" Type="http://schemas.openxmlformats.org/officeDocument/2006/relationships/hyperlink" Target="https://www.sec.gov/Archives/edgar/data/1547903/000154790324000035/ex1024ye2023rsuawardagreem.htm" TargetMode="External"/><Relationship Id="rId89" Type="http://schemas.openxmlformats.org/officeDocument/2006/relationships/hyperlink" Target="https://www.sec.gov/Archives/edgar/data/1547903/000154790319000064/exhibit1035.htm" TargetMode="External"/><Relationship Id="rId90" Type="http://schemas.openxmlformats.org/officeDocument/2006/relationships/hyperlink" Target="https://www.sec.gov/Archives/edgar/data/1547903/000154790325000026/ex1018rsuagreementforexecu.htm" TargetMode="External"/><Relationship Id="rId91" Type="http://schemas.openxmlformats.org/officeDocument/2006/relationships/hyperlink" Target="https://www.sec.gov/Archives/edgar/data/1547903/000154790325000026/ex1019rsuagreementforemplo.htm" TargetMode="External"/><Relationship Id="rId92" Type="http://schemas.openxmlformats.org/officeDocument/2006/relationships/hyperlink" Target="https://www.sec.gov/Archives/edgar/data/1547903/000154790325000026/ex1020rsuagreementperforma.htm" TargetMode="External"/><Relationship Id="rId93" Type="http://schemas.openxmlformats.org/officeDocument/2006/relationships/hyperlink" Target="https://www.sec.gov/Archives/edgar/data/1547903/000154790314000146/exhibit101november252014.htm" TargetMode="External"/><Relationship Id="rId94" Type="http://schemas.openxmlformats.org/officeDocument/2006/relationships/hyperlink" Target="https://www.sec.gov/Archives/edgar/data/1547903/000154790316000185/ex101severancebenefitplan.htm" TargetMode="External"/><Relationship Id="rId95" Type="http://schemas.openxmlformats.org/officeDocument/2006/relationships/hyperlink" Target="https://www.sec.gov/Archives/edgar/data/1547903/000154790318000133/exhibit1030arcicsbp.htm" TargetMode="External"/><Relationship Id="rId96" Type="http://schemas.openxmlformats.org/officeDocument/2006/relationships/hyperlink" Target="https://www.sec.gov/Archives/edgar/data/1547903/000154790317000035/exhibit102.htm" TargetMode="External"/><Relationship Id="rId97" Type="http://schemas.openxmlformats.org/officeDocument/2006/relationships/hyperlink" Target="https://www.sec.gov/Archives/edgar/data/1547903/000154790316000230/exhibit1010leatherberrybil.htm" TargetMode="External"/><Relationship Id="rId98" Type="http://schemas.openxmlformats.org/officeDocument/2006/relationships/hyperlink" Target="https://www.sec.gov/Archives/edgar/data/1547903/000154790318000137/exhibit101shuster.htm" TargetMode="External"/><Relationship Id="rId99" Type="http://schemas.openxmlformats.org/officeDocument/2006/relationships/hyperlink" Target="https://www.sec.gov/Archives/edgar/data/0001547903/000154790321000153/exhibit101-nmihxapollitz.htm" TargetMode="External"/><Relationship Id="rId100" Type="http://schemas.openxmlformats.org/officeDocument/2006/relationships/hyperlink" Target="https://www.sec.gov/Archives/edgar/data/1547903/000154790324000041/nmih-aswithenbankofferlett.htm" TargetMode="External"/><Relationship Id="rId101" Type="http://schemas.openxmlformats.org/officeDocument/2006/relationships/hyperlink" Target="https://www.sec.gov/Archives/edgar/data/0001547903/000154790321000188/rmallelaofferletter.htm" TargetMode="External"/><Relationship Id="rId102" Type="http://schemas.openxmlformats.org/officeDocument/2006/relationships/hyperlink" Target="https://www.sec.gov/Archives/edgar/data/1547903/000154790324000041/nmih-rmallelaseparationagr.htm" TargetMode="External"/><Relationship Id="rId103" Type="http://schemas.openxmlformats.org/officeDocument/2006/relationships/hyperlink" Target="https://www.sec.gov/Archives/edgar/data/1547903/000154790313000020/a1014commitmentletterforbu.htm" TargetMode="External"/><Relationship Id="rId104" Type="http://schemas.openxmlformats.org/officeDocument/2006/relationships/hyperlink" Target="https://www.sec.gov/Archives/edgar/data/1547903/000154790324000103/ex1031q12024.htm" TargetMode="External"/><Relationship Id="rId105" Type="http://schemas.openxmlformats.org/officeDocument/2006/relationships/hyperlink" Target="https://www.sec.gov/Archives/edgar/data/1547903/000154790325000026/ex191insidertradingandinfo.htm" TargetMode="External"/><Relationship Id="rId106" Type="http://schemas.openxmlformats.org/officeDocument/2006/relationships/hyperlink" Target="https://www.sec.gov/Archives/edgar/data/1547903/000154790315000133/exhibit211subsidiariesofnm.htm" TargetMode="External"/><Relationship Id="rId108" Type="http://schemas.openxmlformats.org/officeDocument/2006/relationships/hyperlink" Target="https://www.sec.gov/Archives/edgar/data/1547903/000154790324000035/ex971ye2023compensationr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2025-07-30T05:23:51Z</dcterms:created>
  <dcterms:modified xsi:type="dcterms:W3CDTF">2025-07-30T05:23:51Z</dcterms:modified>
</cp:coreProperties>
</file>