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March 31, 2018</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Arial" w:cs="Arial" w:eastAsia="Arial" w:hAnsi="Arial"/>
                <w:sz w:val="18"/>
                <w:szCs w:val="18"/>
                <w:color w:val="auto"/>
                <w:w w:val="94"/>
              </w:rPr>
              <w:t>TRANSITION REPORT PURSUANT TO SECTION 13 OR 15(d) OF THE SECURITIES EXCHANGE ACT OF 1934</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rPr>
              <w:t>o</w:t>
            </w:r>
          </w:p>
        </w:tc>
        <w:tc>
          <w:tcPr>
            <w:tcW w:w="2480" w:type="dxa"/>
            <w:vAlign w:val="bottom"/>
          </w:tcPr>
          <w:p>
            <w:pPr>
              <w:ind w:left="300"/>
              <w:spacing w:after="0" w:line="190" w:lineRule="exact"/>
              <w:rPr>
                <w:sz w:val="20"/>
                <w:szCs w:val="20"/>
                <w:color w:val="auto"/>
              </w:rPr>
            </w:pPr>
            <w:r>
              <w:rPr>
                <w:rFonts w:ascii="Arial" w:cs="Arial" w:eastAsia="Arial" w:hAnsi="Arial"/>
                <w:sz w:val="18"/>
                <w:szCs w:val="18"/>
                <w:color w:val="auto"/>
                <w:w w:val="93"/>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16"/>
                <w:szCs w:val="16"/>
                <w:color w:val="auto"/>
                <w:w w:val="93"/>
              </w:rPr>
              <w:t xml:space="preserve">Commission file number </w:t>
            </w:r>
            <w:r>
              <w:rPr>
                <w:rFonts w:ascii="Arial" w:cs="Arial" w:eastAsia="Arial" w:hAnsi="Arial"/>
                <w:sz w:val="16"/>
                <w:szCs w:val="16"/>
                <w:b w:val="1"/>
                <w:bCs w:val="1"/>
                <w:color w:val="auto"/>
                <w:w w:val="93"/>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4"/>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32"/>
                <w:szCs w:val="32"/>
                <w:b w:val="1"/>
                <w:bCs w:val="1"/>
                <w:color w:val="auto"/>
                <w:w w:val="96"/>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4"/>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c>
          <w:tcPr>
            <w:tcW w:w="2040" w:type="dxa"/>
            <w:vAlign w:val="bottom"/>
          </w:tcPr>
          <w:p>
            <w:pPr>
              <w:spacing w:after="0"/>
              <w:rPr>
                <w:sz w:val="16"/>
                <w:szCs w:val="16"/>
                <w:color w:val="auto"/>
              </w:rPr>
            </w:pPr>
          </w:p>
        </w:tc>
      </w:tr>
      <w:tr>
        <w:trPr>
          <w:trHeight w:val="540"/>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1"/>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w w:val="91"/>
              </w:rPr>
              <w:t>2100 Powell Street, Emeryville, CA</w:t>
            </w:r>
          </w:p>
        </w:tc>
        <w:tc>
          <w:tcPr>
            <w:tcW w:w="2320" w:type="dxa"/>
            <w:vAlign w:val="bottom"/>
            <w:gridSpan w:val="2"/>
          </w:tcPr>
          <w:p>
            <w:pPr>
              <w:jc w:val="right"/>
              <w:ind w:right="888"/>
              <w:spacing w:after="0"/>
              <w:rPr>
                <w:sz w:val="20"/>
                <w:szCs w:val="20"/>
                <w:color w:val="auto"/>
              </w:rPr>
            </w:pPr>
            <w:r>
              <w:rPr>
                <w:rFonts w:ascii="Arial" w:cs="Arial" w:eastAsia="Arial" w:hAnsi="Arial"/>
                <w:sz w:val="18"/>
                <w:szCs w:val="18"/>
                <w:b w:val="1"/>
                <w:bCs w:val="1"/>
                <w:color w:val="auto"/>
              </w:rPr>
              <w:t>94608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(855) 530-6642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4"/>
          </w:tcPr>
          <w:p>
            <w:pPr>
              <w:jc w:val="center"/>
              <w:ind w:right="194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0" w:lineRule="exact"/>
        <w:rPr>
          <w:sz w:val="24"/>
          <w:szCs w:val="24"/>
          <w:color w:val="auto"/>
        </w:rPr>
      </w:pPr>
    </w:p>
    <w:p>
      <w:pPr>
        <w:spacing w:after="0" w:line="2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27"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(Do not check if a smaller reporting company)</w:t>
      </w:r>
    </w:p>
    <w:p>
      <w:pPr>
        <w:spacing w:after="0" w:line="3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Emerging growth company x</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ectPr>
          <w:pgSz w:w="11900" w:h="16838" w:orient="portrait"/>
          <w:cols w:equalWidth="0" w:num="1">
            <w:col w:w="11420"/>
          </w:cols>
          <w:pgMar w:left="240" w:top="684" w:right="239" w:bottom="1440" w:gutter="0" w:footer="0" w:header="0"/>
        </w:sectPr>
      </w:pPr>
    </w:p>
    <w:p>
      <w:pPr>
        <w:spacing w:after="0" w:line="39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$0.01 par value per share, of the registrant outstanding on April 27, 2018 was 65,573,093 shares.</w:t>
      </w:r>
    </w:p>
    <w:p>
      <w:pPr>
        <w:sectPr>
          <w:pgSz w:w="11900" w:h="16838" w:orient="portrait"/>
          <w:cols w:equalWidth="0" w:num="1">
            <w:col w:w="11420"/>
          </w:cols>
          <w:pgMar w:left="240" w:top="68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5"/>
            <w:shd w:val="clear" w:color="auto" w:fill="CCEEFF"/>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2.</w:t>
            </w:r>
          </w:p>
        </w:tc>
        <w:tc>
          <w:tcPr>
            <w:tcW w:w="10140" w:type="dxa"/>
            <w:vAlign w:val="bottom"/>
            <w:gridSpan w:val="10"/>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4.</w:t>
            </w:r>
          </w:p>
        </w:tc>
        <w:tc>
          <w:tcPr>
            <w:tcW w:w="10140" w:type="dxa"/>
            <w:vAlign w:val="bottom"/>
            <w:gridSpan w:val="10"/>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w:t>
              </w:r>
            </w:hyperlink>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03"/>
        </w:trPr>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gridSpan w:val="2"/>
          </w:tcPr>
          <w:p>
            <w:pPr>
              <w:ind w:left="140"/>
              <w:spacing w:after="0" w:line="202" w:lineRule="exact"/>
              <w:rPr>
                <w:sz w:val="20"/>
                <w:szCs w:val="20"/>
                <w:color w:val="auto"/>
              </w:rPr>
            </w:pPr>
            <w:r>
              <w:rPr>
                <w:rFonts w:ascii="Arial" w:cs="Arial" w:eastAsia="Arial" w:hAnsi="Arial"/>
                <w:sz w:val="18"/>
                <w:szCs w:val="18"/>
                <w:color w:val="auto"/>
                <w:w w:val="90"/>
              </w:rPr>
              <w:t>Item 1.</w:t>
            </w:r>
          </w:p>
        </w:tc>
        <w:tc>
          <w:tcPr>
            <w:tcW w:w="380" w:type="dxa"/>
            <w:vAlign w:val="bottom"/>
            <w:tcBorders>
              <w:top w:val="single" w:sz="8" w:color="CCEEFF"/>
            </w:tcBorders>
            <w:gridSpan w:val="2"/>
          </w:tcPr>
          <w:p>
            <w:pPr>
              <w:spacing w:after="0"/>
              <w:rPr>
                <w:sz w:val="17"/>
                <w:szCs w:val="17"/>
                <w:color w:val="auto"/>
              </w:rPr>
            </w:pPr>
          </w:p>
        </w:tc>
        <w:tc>
          <w:tcPr>
            <w:tcW w:w="10140" w:type="dxa"/>
            <w:vAlign w:val="bottom"/>
            <w:tcBorders>
              <w:top w:val="single" w:sz="8" w:color="CCEEFF"/>
            </w:tcBorders>
            <w:gridSpan w:val="10"/>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7"/>
                <w:shd w:val="clear" w:color="auto" w:fill="CCEEFF"/>
              </w:rPr>
            </w:pPr>
            <w:hyperlink w:anchor="page45">
              <w:r>
                <w:rPr>
                  <w:rFonts w:ascii="Arial" w:cs="Arial" w:eastAsia="Arial" w:hAnsi="Arial"/>
                  <w:sz w:val="18"/>
                  <w:szCs w:val="18"/>
                  <w:color w:val="0000EE"/>
                  <w:w w:val="8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6.</w:t>
            </w:r>
          </w:p>
        </w:tc>
        <w:tc>
          <w:tcPr>
            <w:tcW w:w="10140" w:type="dxa"/>
            <w:vAlign w:val="bottom"/>
            <w:gridSpan w:val="10"/>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Signatures</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15"/>
          </w:tcPr>
          <w:p>
            <w:pPr>
              <w:ind w:left="40"/>
              <w:spacing w:after="0" w:line="202"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Exhibit Index</w:t>
              </w:r>
            </w:hyperlink>
          </w:p>
        </w:tc>
        <w:tc>
          <w:tcPr>
            <w:tcW w:w="80" w:type="dxa"/>
            <w:vAlign w:val="bottom"/>
          </w:tcPr>
          <w:p>
            <w:pPr>
              <w:spacing w:after="0"/>
              <w:rPr>
                <w:sz w:val="17"/>
                <w:szCs w:val="17"/>
                <w:color w:val="auto"/>
              </w:rPr>
            </w:pPr>
          </w:p>
        </w:tc>
        <w:tc>
          <w:tcPr>
            <w:tcW w:w="120" w:type="dxa"/>
            <w:vAlign w:val="bottom"/>
            <w:gridSpan w:val="2"/>
          </w:tcPr>
          <w:p>
            <w:pPr>
              <w:ind w:left="40"/>
              <w:spacing w:after="0" w:line="202" w:lineRule="exact"/>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w:t>
              </w:r>
            </w:hyperlink>
          </w:p>
        </w:tc>
      </w:tr>
      <w:tr>
        <w:trPr>
          <w:trHeight w:val="939"/>
        </w:trPr>
        <w:tc>
          <w:tcPr>
            <w:tcW w:w="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20" w:type="dxa"/>
            <w:vAlign w:val="bottom"/>
            <w:gridSpan w:val="8"/>
          </w:tcPr>
          <w:p>
            <w:pPr>
              <w:jc w:val="right"/>
              <w:ind w:right="176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decisions that have the impact of decreasing or discontinuing the use of mortgage insurance as credit enhancement;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including governmental agencies like the Federal Housing Administration (FHA) and the Veterans Administration (VA), and potential market entry by new competitors or consolidation of existing competitors;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adoption of new or changes to existing laws and regulations that impact our business or financial condition directly or the mortgage insurance industry generally or their enforcement and implementation by regulators;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7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adverse impacts arising from recent natural disasters, including, with respect to the affected areas, a decline in new business, adverse effects on home prices, and an increase in notices of default on insured mortgages;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 party reinsurers, to meet their obligations to us;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which could be limited or eliminated in various ways, including if we experience an ownership change as defined in Section 382 of the Internal Revenue Code;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technology providers to perform;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II, Item 1A of this report and in Part I, Item 1A, of our Annual Report on Form 10-K for the year ended December 31, 2017 (2017 10-K), as subsequently updated in other reports we file from time to time with the U.S. Securities and Exchange Commission (SEC).</w:t>
      </w:r>
    </w:p>
    <w:p>
      <w:pPr>
        <w:spacing w:after="0" w:line="1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the "Company" in this document refer to NMI Holdings, Inc., a Delaware corporation, and its wholly owned subsidiaries on a consolidated basis.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 as of March 31, 2018 and December 31, 2017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shd w:val="clear" w:color="auto" w:fill="CCEEFF"/>
              </w:rPr>
            </w:pPr>
            <w:hyperlink w:anchor="page6">
              <w:r>
                <w:rPr>
                  <w:rFonts w:ascii="Arial" w:cs="Arial" w:eastAsia="Arial" w:hAnsi="Arial"/>
                  <w:sz w:val="18"/>
                  <w:szCs w:val="18"/>
                  <w:color w:val="0000EE"/>
                  <w:w w:val="79"/>
                  <w:shd w:val="clear" w:color="auto" w:fill="CCEEFF"/>
                </w:rPr>
                <w:t>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Operations and Comprehensive Income for the three months ended March 31, 2018 and 2017</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1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Condensed Consolidated Statements of Changes in Shareholders' Equity for the three months ended March 31, 2018 and the year ended December</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3"/>
        </w:trPr>
        <w:tc>
          <w:tcPr>
            <w:tcW w:w="1122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31, 2017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shd w:val="clear" w:color="auto" w:fill="CCEEFF"/>
              </w:rPr>
            </w:pPr>
            <w:hyperlink w:anchor="page8">
              <w:r>
                <w:rPr>
                  <w:rFonts w:ascii="Arial" w:cs="Arial" w:eastAsia="Arial" w:hAnsi="Arial"/>
                  <w:sz w:val="18"/>
                  <w:szCs w:val="18"/>
                  <w:color w:val="0000EE"/>
                  <w:w w:val="79"/>
                  <w:shd w:val="clear" w:color="auto" w:fill="CCEEFF"/>
                </w:rPr>
                <w:t>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Cash Flows for the three months ended March 31, 2018 and 2017</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10">
              <w:r>
                <w:rPr>
                  <w:rFonts w:ascii="Arial" w:cs="Arial" w:eastAsia="Arial" w:hAnsi="Arial"/>
                  <w:sz w:val="18"/>
                  <w:szCs w:val="18"/>
                  <w:color w:val="0000EE"/>
                  <w:w w:val="79"/>
                  <w:shd w:val="clear" w:color="auto" w:fill="CCEEFF"/>
                </w:rPr>
                <w:t>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2017</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1"/>
                <w:szCs w:val="21"/>
                <w:color w:val="auto"/>
              </w:rPr>
            </w:pPr>
          </w:p>
        </w:tc>
        <w:tc>
          <w:tcPr>
            <w:tcW w:w="328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Fixed maturities, available-for-sale, at fair value (amortized cost of $733,153 and $713,859 as of March</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31, 2018 and December 31, 2017, respectively)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723,790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715,875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101,890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19,196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25,179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4,765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4,212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40,026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37,925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Intangible assets and goodwill</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reinsurance premiums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40,250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asset,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16,343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19,929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3,695</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987,591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894,848</w:t>
            </w:r>
          </w:p>
        </w:tc>
      </w:tr>
      <w:tr>
        <w:trPr>
          <w:trHeight w:val="311"/>
        </w:trPr>
        <w:tc>
          <w:tcPr>
            <w:tcW w:w="7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143,882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premiums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165,590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163,166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8,761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Reinsurance funds withheld</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34,102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ceding commission</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4,838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5,024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385,647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385,771</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7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w w:val="89"/>
              </w:rPr>
              <w:t>65,569,342 and 60,517,512 shares issued and outstanding as of March 31, 2018 and December 31, 2017,</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respectively (250,000,000 shares authorized)</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605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585,488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(2,859)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601,944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509,077</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987,591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894,848</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ONDENSED CONSOLIDATED STATEMENTS OF OPERATIONS AND COMPREHENSIVE INCOME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1"/>
                <w:szCs w:val="21"/>
                <w:color w:val="auto"/>
              </w:rPr>
            </w:pPr>
          </w:p>
        </w:tc>
        <w:tc>
          <w:tcPr>
            <w:tcW w:w="3140" w:type="dxa"/>
            <w:vAlign w:val="bottom"/>
            <w:gridSpan w:val="4"/>
          </w:tcPr>
          <w:p>
            <w:pPr>
              <w:jc w:val="right"/>
              <w:ind w:right="451"/>
              <w:spacing w:after="0"/>
              <w:rPr>
                <w:sz w:val="20"/>
                <w:szCs w:val="20"/>
                <w:color w:val="auto"/>
              </w:rPr>
            </w:pPr>
            <w:r>
              <w:rPr>
                <w:rFonts w:ascii="Arial" w:cs="Arial" w:eastAsia="Arial" w:hAnsi="Arial"/>
                <w:sz w:val="14"/>
                <w:szCs w:val="14"/>
                <w:i w:val="1"/>
                <w:iCs w:val="1"/>
                <w:color w:val="auto"/>
              </w:rPr>
              <w:t>(In Thousands, except for per share data)</w:t>
            </w: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54,914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33,225</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59,552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37,054</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3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28,453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25,989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30,022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26,624</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from change in fair value of warrant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w:t>
            </w: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77"/>
        </w:trPr>
        <w:tc>
          <w:tcPr>
            <w:tcW w:w="77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4,176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22,355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62,099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59,184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62,339</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Net unrealized (losses) gains in accumulated other comprehensive income, net of tax benefit of $423</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tax expense $664 for the quarters ended March 31, 2018 and 2017,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29"/>
        </w:trPr>
        <w:tc>
          <w:tcPr>
            <w:tcW w:w="7780" w:type="dxa"/>
            <w:vAlign w:val="bottom"/>
          </w:tcPr>
          <w:p>
            <w:pPr>
              <w:ind w:left="280"/>
              <w:spacing w:after="0"/>
              <w:rPr>
                <w:sz w:val="20"/>
                <w:szCs w:val="20"/>
                <w:color w:val="auto"/>
              </w:rPr>
            </w:pPr>
            <w:r>
              <w:rPr>
                <w:rFonts w:ascii="Arial" w:cs="Arial" w:eastAsia="Arial" w:hAnsi="Arial"/>
                <w:sz w:val="18"/>
                <w:szCs w:val="18"/>
                <w:color w:val="auto"/>
                <w:w w:val="94"/>
              </w:rPr>
              <w:t>Reclassification adjustment for realized losses included in net income, net of tax expenses of $0 for</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80"/>
              <w:spacing w:after="0"/>
              <w:rPr>
                <w:sz w:val="20"/>
                <w:szCs w:val="20"/>
                <w:color w:val="auto"/>
              </w:rPr>
            </w:pPr>
            <w:r>
              <w:rPr>
                <w:rFonts w:ascii="Arial" w:cs="Arial" w:eastAsia="Arial" w:hAnsi="Arial"/>
                <w:sz w:val="18"/>
                <w:szCs w:val="18"/>
                <w:color w:val="auto"/>
              </w:rPr>
              <w:t>the quarters ended March 31, 2018 and 2017, respectively</w:t>
            </w:r>
          </w:p>
        </w:tc>
        <w:tc>
          <w:tcPr>
            <w:tcW w:w="3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11,399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6,725</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3400"/>
              <w:spacing w:after="0"/>
              <w:rPr>
                <w:sz w:val="20"/>
                <w:szCs w:val="20"/>
                <w:color w:val="auto"/>
              </w:rPr>
            </w:pPr>
            <w:r>
              <w:rPr>
                <w:rFonts w:ascii="Arial" w:cs="Arial" w:eastAsia="Arial" w:hAnsi="Arial"/>
                <w:sz w:val="18"/>
                <w:szCs w:val="18"/>
                <w:i w:val="1"/>
                <w:iCs w:val="1"/>
                <w:color w:val="auto"/>
                <w:w w:val="87"/>
              </w:rPr>
              <w:t>See accompanying notes to consolidated financial statements.</w:t>
            </w: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7780" w:type="dxa"/>
            <w:vAlign w:val="bottom"/>
          </w:tcPr>
          <w:p>
            <w:pPr>
              <w:ind w:left="558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5"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380" w:type="dxa"/>
            <w:vAlign w:val="bottom"/>
            <w:gridSpan w:val="3"/>
          </w:tcPr>
          <w:p>
            <w:pPr>
              <w:jc w:val="right"/>
              <w:ind w:right="311"/>
              <w:spacing w:after="0"/>
              <w:rPr>
                <w:sz w:val="20"/>
                <w:szCs w:val="20"/>
                <w:color w:val="auto"/>
              </w:rPr>
            </w:pPr>
            <w:r>
              <w:rPr>
                <w:rFonts w:ascii="Arial" w:cs="Arial" w:eastAsia="Arial" w:hAnsi="Arial"/>
                <w:sz w:val="14"/>
                <w:szCs w:val="14"/>
                <w:b w:val="1"/>
                <w:bCs w:val="1"/>
                <w:color w:val="auto"/>
              </w:rPr>
              <w:t>Common Stock - Class A</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right"/>
              <w:ind w:right="233"/>
              <w:spacing w:after="0" w:line="126"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1200" w:type="dxa"/>
            <w:vAlign w:val="bottom"/>
            <w:vMerge w:val="restart"/>
          </w:tcPr>
          <w:p>
            <w:pPr>
              <w:jc w:val="center"/>
              <w:ind w:right="72"/>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4"/>
                <w:szCs w:val="4"/>
                <w:color w:val="auto"/>
              </w:rPr>
            </w:pPr>
          </w:p>
        </w:tc>
        <w:tc>
          <w:tcPr>
            <w:tcW w:w="1080" w:type="dxa"/>
            <w:vAlign w:val="bottom"/>
            <w:vMerge w:val="restart"/>
          </w:tcPr>
          <w:p>
            <w:pPr>
              <w:jc w:val="right"/>
              <w:ind w:right="132"/>
              <w:spacing w:after="0" w:line="126" w:lineRule="exact"/>
              <w:rPr>
                <w:sz w:val="20"/>
                <w:szCs w:val="20"/>
                <w:color w:val="auto"/>
              </w:rPr>
            </w:pPr>
            <w:r>
              <w:rPr>
                <w:rFonts w:ascii="Arial" w:cs="Arial" w:eastAsia="Arial" w:hAnsi="Arial"/>
                <w:sz w:val="14"/>
                <w:szCs w:val="14"/>
                <w:b w:val="1"/>
                <w:bCs w:val="1"/>
                <w:color w:val="auto"/>
                <w:w w:val="95"/>
              </w:rPr>
              <w:t>Accumulated</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900" w:type="dxa"/>
            <w:vAlign w:val="bottom"/>
          </w:tcPr>
          <w:p>
            <w:pPr>
              <w:spacing w:after="0"/>
              <w:rPr>
                <w:sz w:val="4"/>
                <w:szCs w:val="4"/>
                <w:color w:val="auto"/>
              </w:rPr>
            </w:pPr>
          </w:p>
        </w:tc>
        <w:tc>
          <w:tcPr>
            <w:tcW w:w="12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4"/>
                <w:szCs w:val="4"/>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3"/>
          </w:tcPr>
          <w:p>
            <w:pPr>
              <w:jc w:val="right"/>
              <w:ind w:right="692"/>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January 1, 2017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576,927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(96,722)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475,509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4"/>
              </w:rPr>
              <w:t>Cumulative effect of change in accounting principle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Common stock: class A shares issued related to</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5"/>
              </w:rPr>
              <w:t>Common stock: class A shares issued under stock</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w w:val="99"/>
              </w:rPr>
              <w:t>plans, net of shares withheld for employee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1,341</w:t>
            </w:r>
          </w:p>
        </w:tc>
        <w:tc>
          <w:tcPr>
            <w:tcW w:w="2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1"/>
              </w:rPr>
              <w:t>Change in unrealized investment gains/losses, net of</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tax expense of $1,307</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2,428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22,050</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Balances, December 31, 2017</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60,518</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585,488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(74,157)</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509,077</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Cumulative effect of change in accounting principle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9"/>
              </w:rPr>
              <w:t>Common stock: class A shares issued related to</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public offering</w:t>
            </w:r>
          </w:p>
        </w:tc>
        <w:tc>
          <w:tcPr>
            <w:tcW w:w="1220" w:type="dxa"/>
            <w:vAlign w:val="bottom"/>
          </w:tcPr>
          <w:p>
            <w:pPr>
              <w:jc w:val="right"/>
              <w:spacing w:after="0"/>
              <w:rPr>
                <w:sz w:val="20"/>
                <w:szCs w:val="20"/>
                <w:color w:val="auto"/>
              </w:rPr>
            </w:pPr>
            <w:r>
              <w:rPr>
                <w:rFonts w:ascii="Arial" w:cs="Arial" w:eastAsia="Arial" w:hAnsi="Arial"/>
                <w:sz w:val="18"/>
                <w:szCs w:val="18"/>
                <w:color w:val="auto"/>
              </w:rPr>
              <w:t>4,255</w:t>
            </w:r>
          </w:p>
        </w:tc>
        <w:tc>
          <w:tcPr>
            <w:tcW w:w="2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79,122</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79,165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Common stock: class A shares issued related to</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5"/>
              </w:rPr>
              <w:t>Common stock: class A shares issued under stock</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w w:val="99"/>
              </w:rPr>
              <w:t>plans, net of shares withheld for employee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(999)</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1"/>
              </w:rPr>
              <w:t>Change in unrealized investment gains/losses, net of</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tax benefit of $423</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(10,956)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22,355</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22,355</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Balances, March 31, 2018</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65,569</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666,905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(52,084)</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601,944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8"/>
        <w:spacing w:after="0" w:line="275" w:lineRule="auto"/>
        <w:tabs>
          <w:tab w:leader="none" w:pos="124"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year ended December 31, 2017 and the three months ended March 31, 2018, we issued 32,368 and 25,686 common shares, respectively, with a par value of $0.01 related to the exercise of warrants, which is not identifiable in this schedule due to rounding.</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jc w:val="center"/>
        <w:ind w:right="280"/>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640" w:type="dxa"/>
            <w:vAlign w:val="bottom"/>
            <w:tcBorders>
              <w:bottom w:val="single" w:sz="8" w:color="auto"/>
            </w:tcBorders>
          </w:tcPr>
          <w:p>
            <w:pPr>
              <w:spacing w:after="0"/>
              <w:rPr>
                <w:sz w:val="16"/>
                <w:szCs w:val="16"/>
                <w:color w:val="auto"/>
              </w:rPr>
            </w:pPr>
          </w:p>
        </w:tc>
      </w:tr>
      <w:tr>
        <w:trPr>
          <w:trHeight w:val="263"/>
        </w:trPr>
        <w:tc>
          <w:tcPr>
            <w:tcW w:w="746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7"/>
                <w:szCs w:val="17"/>
                <w:color w:val="auto"/>
              </w:rPr>
              <w:t>Cash flows from operating activities</w:t>
            </w:r>
          </w:p>
        </w:tc>
        <w:tc>
          <w:tcPr>
            <w:tcW w:w="1080" w:type="dxa"/>
            <w:vAlign w:val="bottom"/>
          </w:tcPr>
          <w:p>
            <w:pPr>
              <w:spacing w:after="0"/>
              <w:rPr>
                <w:sz w:val="20"/>
                <w:szCs w:val="20"/>
                <w:color w:val="auto"/>
              </w:rPr>
            </w:pPr>
          </w:p>
        </w:tc>
        <w:tc>
          <w:tcPr>
            <w:tcW w:w="1960" w:type="dxa"/>
            <w:vAlign w:val="bottom"/>
            <w:gridSpan w:val="3"/>
          </w:tcPr>
          <w:p>
            <w:pPr>
              <w:jc w:val="right"/>
              <w:ind w:right="658"/>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20"/>
                <w:szCs w:val="20"/>
                <w:color w:val="auto"/>
              </w:rPr>
            </w:pPr>
          </w:p>
        </w:tc>
      </w:tr>
      <w:tr>
        <w:trPr>
          <w:trHeight w:val="256"/>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080" w:type="dxa"/>
            <w:vAlign w:val="bottom"/>
            <w:tcBorders>
              <w:bottom w:val="single" w:sz="8" w:color="CCEEFF"/>
            </w:tcBorders>
            <w:shd w:val="clear" w:color="auto" w:fill="CCEEFF"/>
          </w:tcPr>
          <w:p>
            <w:pPr>
              <w:jc w:val="right"/>
              <w:ind w:right="88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22,355</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8"/>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5,492</w:t>
            </w:r>
          </w:p>
        </w:tc>
      </w:tr>
      <w:tr>
        <w:trPr>
          <w:trHeight w:val="239"/>
        </w:trPr>
        <w:tc>
          <w:tcPr>
            <w:tcW w:w="7460" w:type="dxa"/>
            <w:vAlign w:val="bottom"/>
          </w:tcPr>
          <w:p>
            <w:pPr>
              <w:ind w:left="160"/>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realized investment losses</w:t>
            </w:r>
          </w:p>
        </w:tc>
        <w:tc>
          <w:tcPr>
            <w:tcW w:w="10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58</w:t>
            </w:r>
          </w:p>
        </w:tc>
      </w:tr>
      <w:tr>
        <w:trPr>
          <w:trHeight w:val="239"/>
        </w:trPr>
        <w:tc>
          <w:tcPr>
            <w:tcW w:w="7460" w:type="dxa"/>
            <w:vAlign w:val="bottom"/>
          </w:tcPr>
          <w:p>
            <w:pPr>
              <w:ind w:left="260"/>
              <w:spacing w:after="0"/>
              <w:rPr>
                <w:sz w:val="20"/>
                <w:szCs w:val="20"/>
                <w:color w:val="auto"/>
              </w:rPr>
            </w:pPr>
            <w:r>
              <w:rPr>
                <w:rFonts w:ascii="Arial" w:cs="Arial" w:eastAsia="Arial" w:hAnsi="Arial"/>
                <w:sz w:val="17"/>
                <w:szCs w:val="17"/>
                <w:color w:val="auto"/>
              </w:rPr>
              <w:t>(Gain) Loss from change in fair value of warrant liability</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(420)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196</w:t>
            </w: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Depreciation and amortization</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1,858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1,502</w:t>
            </w:r>
          </w:p>
        </w:tc>
      </w:tr>
      <w:tr>
        <w:trPr>
          <w:trHeight w:val="239"/>
        </w:trPr>
        <w:tc>
          <w:tcPr>
            <w:tcW w:w="7460" w:type="dxa"/>
            <w:vAlign w:val="bottom"/>
          </w:tcPr>
          <w:p>
            <w:pPr>
              <w:ind w:left="260"/>
              <w:spacing w:after="0"/>
              <w:rPr>
                <w:sz w:val="20"/>
                <w:szCs w:val="20"/>
                <w:color w:val="auto"/>
              </w:rPr>
            </w:pPr>
            <w:r>
              <w:rPr>
                <w:rFonts w:ascii="Arial" w:cs="Arial" w:eastAsia="Arial" w:hAnsi="Arial"/>
                <w:sz w:val="17"/>
                <w:szCs w:val="17"/>
                <w:color w:val="auto"/>
              </w:rPr>
              <w:t>Net amortization of premium on investment securities</w:t>
            </w:r>
          </w:p>
        </w:tc>
        <w:tc>
          <w:tcPr>
            <w:tcW w:w="108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439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357</w:t>
            </w: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Amortization of debt discount and debt issuance costs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403</w:t>
            </w:r>
          </w:p>
        </w:tc>
      </w:tr>
      <w:tr>
        <w:trPr>
          <w:trHeight w:val="239"/>
        </w:trPr>
        <w:tc>
          <w:tcPr>
            <w:tcW w:w="7460" w:type="dxa"/>
            <w:vAlign w:val="bottom"/>
          </w:tcPr>
          <w:p>
            <w:pPr>
              <w:ind w:left="260"/>
              <w:spacing w:after="0"/>
              <w:rPr>
                <w:sz w:val="20"/>
                <w:szCs w:val="20"/>
                <w:color w:val="auto"/>
              </w:rPr>
            </w:pPr>
            <w:r>
              <w:rPr>
                <w:rFonts w:ascii="Arial" w:cs="Arial" w:eastAsia="Arial" w:hAnsi="Arial"/>
                <w:sz w:val="17"/>
                <w:szCs w:val="17"/>
                <w:color w:val="auto"/>
              </w:rPr>
              <w:t>Share-based compensation expense</w:t>
            </w:r>
          </w:p>
        </w:tc>
        <w:tc>
          <w:tcPr>
            <w:tcW w:w="108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2,805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1,911</w:t>
            </w: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income taxes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4,009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1,146</w:t>
            </w:r>
          </w:p>
        </w:tc>
      </w:tr>
      <w:tr>
        <w:trPr>
          <w:trHeight w:val="239"/>
        </w:trPr>
        <w:tc>
          <w:tcPr>
            <w:tcW w:w="7460" w:type="dxa"/>
            <w:vAlign w:val="bottom"/>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Premiums receivable</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(1,838)</w:t>
            </w:r>
          </w:p>
        </w:tc>
      </w:tr>
      <w:tr>
        <w:trPr>
          <w:trHeight w:val="239"/>
        </w:trPr>
        <w:tc>
          <w:tcPr>
            <w:tcW w:w="7460" w:type="dxa"/>
            <w:vAlign w:val="bottom"/>
          </w:tcPr>
          <w:p>
            <w:pPr>
              <w:ind w:left="380"/>
              <w:spacing w:after="0"/>
              <w:rPr>
                <w:sz w:val="20"/>
                <w:szCs w:val="20"/>
                <w:color w:val="auto"/>
              </w:rPr>
            </w:pPr>
            <w:r>
              <w:rPr>
                <w:rFonts w:ascii="Arial" w:cs="Arial" w:eastAsia="Arial" w:hAnsi="Arial"/>
                <w:sz w:val="17"/>
                <w:szCs w:val="17"/>
                <w:color w:val="auto"/>
              </w:rPr>
              <w:t>Accrued investment income</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(553)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(479)</w:t>
            </w: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(944)</w:t>
            </w:r>
          </w:p>
        </w:tc>
      </w:tr>
      <w:tr>
        <w:trPr>
          <w:trHeight w:val="239"/>
        </w:trPr>
        <w:tc>
          <w:tcPr>
            <w:tcW w:w="7460" w:type="dxa"/>
            <w:vAlign w:val="bottom"/>
          </w:tcPr>
          <w:p>
            <w:pPr>
              <w:ind w:left="380"/>
              <w:spacing w:after="0"/>
              <w:rPr>
                <w:sz w:val="20"/>
                <w:szCs w:val="20"/>
                <w:color w:val="auto"/>
              </w:rPr>
            </w:pPr>
            <w:r>
              <w:rPr>
                <w:rFonts w:ascii="Arial" w:cs="Arial" w:eastAsia="Arial" w:hAnsi="Arial"/>
                <w:sz w:val="17"/>
                <w:szCs w:val="17"/>
                <w:color w:val="auto"/>
              </w:rPr>
              <w:t>Deferred policy acquisition costs, net</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(2,101)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(2,056)</w:t>
            </w: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Other assets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w:t>
            </w:r>
          </w:p>
        </w:tc>
      </w:tr>
      <w:tr>
        <w:trPr>
          <w:trHeight w:val="239"/>
        </w:trPr>
        <w:tc>
          <w:tcPr>
            <w:tcW w:w="746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108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2,424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1,805</w:t>
            </w: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Reserve for insurance claims and claim expenses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760</w:t>
            </w:r>
          </w:p>
        </w:tc>
      </w:tr>
      <w:tr>
        <w:trPr>
          <w:trHeight w:val="239"/>
        </w:trPr>
        <w:tc>
          <w:tcPr>
            <w:tcW w:w="7460" w:type="dxa"/>
            <w:vAlign w:val="bottom"/>
          </w:tcPr>
          <w:p>
            <w:pPr>
              <w:ind w:left="380"/>
              <w:spacing w:after="0"/>
              <w:rPr>
                <w:sz w:val="20"/>
                <w:szCs w:val="20"/>
                <w:color w:val="auto"/>
              </w:rPr>
            </w:pPr>
            <w:r>
              <w:rPr>
                <w:rFonts w:ascii="Arial" w:cs="Arial" w:eastAsia="Arial" w:hAnsi="Arial"/>
                <w:sz w:val="17"/>
                <w:szCs w:val="17"/>
                <w:color w:val="auto"/>
              </w:rPr>
              <w:t>Reinsurance balances, net</w:t>
            </w:r>
          </w:p>
        </w:tc>
        <w:tc>
          <w:tcPr>
            <w:tcW w:w="108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584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141</w:t>
            </w: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(7,556)</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(10,351)</w:t>
            </w:r>
          </w:p>
        </w:tc>
      </w:tr>
      <w:tr>
        <w:trPr>
          <w:trHeight w:val="219"/>
        </w:trPr>
        <w:tc>
          <w:tcPr>
            <w:tcW w:w="7460" w:type="dxa"/>
            <w:vAlign w:val="bottom"/>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0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21,131</w:t>
            </w: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(2,089)</w:t>
            </w:r>
          </w:p>
        </w:tc>
      </w:tr>
      <w:tr>
        <w:trPr>
          <w:trHeight w:val="31"/>
        </w:trPr>
        <w:tc>
          <w:tcPr>
            <w:tcW w:w="74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9"/>
        </w:trPr>
        <w:tc>
          <w:tcPr>
            <w:tcW w:w="7460" w:type="dxa"/>
            <w:vAlign w:val="bottom"/>
          </w:tcPr>
          <w:p>
            <w:pPr>
              <w:ind w:left="160"/>
              <w:spacing w:after="0"/>
              <w:rPr>
                <w:sz w:val="20"/>
                <w:szCs w:val="20"/>
                <w:color w:val="auto"/>
              </w:rPr>
            </w:pPr>
            <w:r>
              <w:rPr>
                <w:rFonts w:ascii="Arial" w:cs="Arial" w:eastAsia="Arial" w:hAnsi="Arial"/>
                <w:sz w:val="17"/>
                <w:szCs w:val="17"/>
                <w:color w:val="auto"/>
              </w:rPr>
              <w:t>Purchase of short-term investments</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(16,858)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8"/>
              </w:rPr>
              <w:t>(38,663)</w:t>
            </w: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Purchase of fixed-maturity investments, available-for-sale</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(74,095)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(60,212)</w:t>
            </w:r>
          </w:p>
        </w:tc>
      </w:tr>
      <w:tr>
        <w:trPr>
          <w:trHeight w:val="243"/>
        </w:trPr>
        <w:tc>
          <w:tcPr>
            <w:tcW w:w="7460" w:type="dxa"/>
            <w:vAlign w:val="bottom"/>
          </w:tcPr>
          <w:p>
            <w:pPr>
              <w:ind w:left="160"/>
              <w:spacing w:after="0"/>
              <w:rPr>
                <w:sz w:val="20"/>
                <w:szCs w:val="20"/>
                <w:color w:val="auto"/>
              </w:rPr>
            </w:pPr>
            <w:r>
              <w:rPr>
                <w:rFonts w:ascii="Arial" w:cs="Arial" w:eastAsia="Arial" w:hAnsi="Arial"/>
                <w:sz w:val="17"/>
                <w:szCs w:val="17"/>
                <w:color w:val="auto"/>
              </w:rPr>
              <w:t>Proceeds from maturity of short-term investments</w:t>
            </w:r>
          </w:p>
        </w:tc>
        <w:tc>
          <w:tcPr>
            <w:tcW w:w="108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31,309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46,845</w:t>
            </w:r>
          </w:p>
        </w:tc>
      </w:tr>
      <w:tr>
        <w:trPr>
          <w:trHeight w:val="27"/>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44,444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99"/>
              </w:rPr>
              <w:t>23,841</w:t>
            </w:r>
          </w:p>
        </w:tc>
      </w:tr>
      <w:tr>
        <w:trPr>
          <w:trHeight w:val="239"/>
        </w:trPr>
        <w:tc>
          <w:tcPr>
            <w:tcW w:w="7460" w:type="dxa"/>
            <w:vAlign w:val="bottom"/>
          </w:tcPr>
          <w:p>
            <w:pPr>
              <w:ind w:left="160"/>
              <w:spacing w:after="0"/>
              <w:rPr>
                <w:sz w:val="20"/>
                <w:szCs w:val="20"/>
                <w:color w:val="auto"/>
              </w:rPr>
            </w:pPr>
            <w:r>
              <w:rPr>
                <w:rFonts w:ascii="Arial" w:cs="Arial" w:eastAsia="Arial" w:hAnsi="Arial"/>
                <w:sz w:val="17"/>
                <w:szCs w:val="17"/>
                <w:color w:val="auto"/>
              </w:rPr>
              <w:t>Additions to software and equipment</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(1,370)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(3,069)</w:t>
            </w:r>
          </w:p>
        </w:tc>
      </w:tr>
      <w:tr>
        <w:trPr>
          <w:trHeight w:val="31"/>
        </w:trPr>
        <w:tc>
          <w:tcPr>
            <w:tcW w:w="74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(16,570)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(31,258)</w:t>
            </w:r>
          </w:p>
        </w:tc>
      </w:tr>
      <w:tr>
        <w:trPr>
          <w:trHeight w:val="233"/>
        </w:trPr>
        <w:tc>
          <w:tcPr>
            <w:tcW w:w="746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issuance of common stock related to public offering</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79,249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9"/>
        </w:trPr>
        <w:tc>
          <w:tcPr>
            <w:tcW w:w="7460" w:type="dxa"/>
            <w:vAlign w:val="bottom"/>
          </w:tcPr>
          <w:p>
            <w:pPr>
              <w:ind w:left="16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108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4,782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2,392</w:t>
            </w: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Taxes paid related to net share settlement of equity awards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(5,523)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(3,503)</w:t>
            </w:r>
          </w:p>
        </w:tc>
      </w:tr>
      <w:tr>
        <w:trPr>
          <w:trHeight w:val="239"/>
        </w:trPr>
        <w:tc>
          <w:tcPr>
            <w:tcW w:w="7460" w:type="dxa"/>
            <w:vAlign w:val="bottom"/>
          </w:tcPr>
          <w:p>
            <w:pPr>
              <w:ind w:left="160"/>
              <w:spacing w:after="0"/>
              <w:rPr>
                <w:sz w:val="20"/>
                <w:szCs w:val="20"/>
                <w:color w:val="auto"/>
              </w:rPr>
            </w:pPr>
            <w:r>
              <w:rPr>
                <w:rFonts w:ascii="Arial" w:cs="Arial" w:eastAsia="Arial" w:hAnsi="Arial"/>
                <w:sz w:val="17"/>
                <w:szCs w:val="17"/>
                <w:color w:val="auto"/>
              </w:rPr>
              <w:t>Repayments of term loan</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(375)</w:t>
            </w: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Payments of debt modification costs</w:t>
            </w:r>
          </w:p>
        </w:tc>
        <w:tc>
          <w:tcPr>
            <w:tcW w:w="10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19"/>
        </w:trPr>
        <w:tc>
          <w:tcPr>
            <w:tcW w:w="7460" w:type="dxa"/>
            <w:vAlign w:val="bottom"/>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0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78,133</w:t>
            </w: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(1,856)</w:t>
            </w:r>
          </w:p>
        </w:tc>
      </w:tr>
      <w:tr>
        <w:trPr>
          <w:trHeight w:val="31"/>
        </w:trPr>
        <w:tc>
          <w:tcPr>
            <w:tcW w:w="74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91"/>
        </w:trPr>
        <w:tc>
          <w:tcPr>
            <w:tcW w:w="74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39"/>
        </w:trPr>
        <w:tc>
          <w:tcPr>
            <w:tcW w:w="746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08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82,694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8"/>
              </w:rPr>
              <w:t>(35,203)</w:t>
            </w: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19,196</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99"/>
              </w:rPr>
              <w:t>47,746</w:t>
            </w:r>
          </w:p>
        </w:tc>
      </w:tr>
      <w:tr>
        <w:trPr>
          <w:trHeight w:val="284"/>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1080" w:type="dxa"/>
            <w:vAlign w:val="bottom"/>
            <w:tcBorders>
              <w:top w:val="single" w:sz="8" w:color="auto"/>
              <w:bottom w:val="single" w:sz="8" w:color="auto"/>
            </w:tcBorders>
          </w:tcPr>
          <w:p>
            <w:pPr>
              <w:jc w:val="right"/>
              <w:ind w:right="880"/>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94"/>
              </w:rPr>
              <w:t>101,890</w:t>
            </w:r>
          </w:p>
        </w:tc>
        <w:tc>
          <w:tcPr>
            <w:tcW w:w="12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958"/>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99"/>
              </w:rPr>
              <w:t>12,543</w:t>
            </w:r>
          </w:p>
        </w:tc>
      </w:tr>
      <w:tr>
        <w:trPr>
          <w:trHeight w:val="284"/>
        </w:trPr>
        <w:tc>
          <w:tcPr>
            <w:tcW w:w="74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39"/>
        </w:trPr>
        <w:tc>
          <w:tcPr>
            <w:tcW w:w="7460" w:type="dxa"/>
            <w:vAlign w:val="bottom"/>
          </w:tcPr>
          <w:p>
            <w:pPr>
              <w:ind w:left="20"/>
              <w:spacing w:after="0"/>
              <w:rPr>
                <w:sz w:val="20"/>
                <w:szCs w:val="20"/>
                <w:color w:val="auto"/>
              </w:rPr>
            </w:pPr>
            <w:r>
              <w:rPr>
                <w:rFonts w:ascii="Arial" w:cs="Arial" w:eastAsia="Arial" w:hAnsi="Arial"/>
                <w:sz w:val="17"/>
                <w:szCs w:val="17"/>
                <w:color w:val="auto"/>
              </w:rPr>
              <w:t>Supplemental disclosures of cash flow information</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Interest paid</w:t>
            </w:r>
          </w:p>
        </w:tc>
        <w:tc>
          <w:tcPr>
            <w:tcW w:w="1080" w:type="dxa"/>
            <w:vAlign w:val="bottom"/>
            <w:tcBorders>
              <w:bottom w:val="single" w:sz="8" w:color="CCEEFF"/>
            </w:tcBorders>
            <w:shd w:val="clear" w:color="auto" w:fill="CCEEFF"/>
          </w:tcPr>
          <w:p>
            <w:pPr>
              <w:jc w:val="right"/>
              <w:ind w:right="88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3,072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8"/>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3,314</w:t>
            </w:r>
          </w:p>
        </w:tc>
      </w:tr>
      <w:tr>
        <w:trPr>
          <w:trHeight w:val="239"/>
        </w:trPr>
        <w:tc>
          <w:tcPr>
            <w:tcW w:w="7460" w:type="dxa"/>
            <w:vAlign w:val="bottom"/>
          </w:tcPr>
          <w:p>
            <w:pPr>
              <w:ind w:left="260"/>
              <w:spacing w:after="0"/>
              <w:rPr>
                <w:sz w:val="20"/>
                <w:szCs w:val="20"/>
                <w:color w:val="auto"/>
              </w:rPr>
            </w:pPr>
            <w:r>
              <w:rPr>
                <w:rFonts w:ascii="Arial" w:cs="Arial" w:eastAsia="Arial" w:hAnsi="Arial"/>
                <w:sz w:val="17"/>
                <w:szCs w:val="17"/>
                <w:color w:val="auto"/>
              </w:rPr>
              <w:t>Income taxes paid</w:t>
            </w:r>
          </w:p>
        </w:tc>
        <w:tc>
          <w:tcPr>
            <w:tcW w:w="10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170</w:t>
            </w:r>
          </w:p>
        </w:tc>
      </w:tr>
    </w:tbl>
    <w:p>
      <w:pPr>
        <w:spacing w:after="0" w:line="17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140"/>
          </w:cols>
          <w:pgMar w:left="520" w:top="125" w:right="239" w:bottom="1440" w:gutter="0" w:footer="0" w:header="0"/>
        </w:sectPr>
      </w:pPr>
    </w:p>
    <w:p>
      <w:pPr>
        <w:spacing w:after="0" w:line="25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140"/>
          </w:cols>
          <w:pgMar w:left="520" w:top="125"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Accounting Principles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2012, we completed a private placement of our securities, through which we offered and sold an aggregate of 55,000,000 of our Class A common stock resulting in net proceeds of approximately $510 million (the Private Placement), and we completed the acquisition of our insurance subsidiaries for $8.5 million in cash, common stock and warrants, plus the assumption of $1.3 million in liabilities. In November 2013, we completed an initial public offering of 2.4 million shares of our common stock, and our common stock began trading on the NASDAQ exchange on November 8, 2013, under the symbol "NMIH." In March 2018, we completed the sale of an additional 4.3 million shares of common stock including a 15% option to purchase additional shares, which was exercised in full.</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a wholly owned subsidiary, NMI Services, Inc. (NMIS), through which we offer outsourced loan review services to mortgage loan originators.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2017, included in our 2017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2018.</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Principles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to our significant accounting principles as described in Item 8, "</w:t>
      </w:r>
      <w:r>
        <w:rPr>
          <w:rFonts w:ascii="Arial" w:cs="Arial" w:eastAsia="Arial" w:hAnsi="Arial"/>
          <w:sz w:val="18"/>
          <w:szCs w:val="18"/>
          <w:i w:val="1"/>
          <w:iCs w:val="1"/>
          <w:color w:val="auto"/>
        </w:rPr>
        <w:t>Financial Statements and Supplementary Data - Notes</w:t>
      </w:r>
      <w:r>
        <w:rPr>
          <w:rFonts w:ascii="Arial" w:cs="Arial" w:eastAsia="Arial" w:hAnsi="Arial"/>
          <w:sz w:val="18"/>
          <w:szCs w:val="18"/>
          <w:color w:val="auto"/>
        </w:rPr>
        <w:t xml:space="preserve"> </w:t>
      </w:r>
      <w:r>
        <w:rPr>
          <w:rFonts w:ascii="Arial" w:cs="Arial" w:eastAsia="Arial" w:hAnsi="Arial"/>
          <w:sz w:val="18"/>
          <w:szCs w:val="18"/>
          <w:i w:val="1"/>
          <w:iCs w:val="1"/>
          <w:color w:val="auto"/>
        </w:rPr>
        <w:t>to Consolidated Financial Statements - Note 2 - Summary of Accounting Principles</w:t>
      </w:r>
      <w:r>
        <w:rPr>
          <w:rFonts w:ascii="Arial" w:cs="Arial" w:eastAsia="Arial" w:hAnsi="Arial"/>
          <w:sz w:val="18"/>
          <w:szCs w:val="18"/>
          <w:color w:val="auto"/>
        </w:rPr>
        <w:t>" of our 2017 Form 10-K, other than as noted in "</w:t>
      </w:r>
      <w:r>
        <w:rPr>
          <w:rFonts w:ascii="Arial" w:cs="Arial" w:eastAsia="Arial" w:hAnsi="Arial"/>
          <w:sz w:val="18"/>
          <w:szCs w:val="18"/>
          <w:i w:val="1"/>
          <w:iCs w:val="1"/>
          <w:color w:val="auto"/>
        </w:rPr>
        <w:t>Reinsurance</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Recent Accounting Pronouncements - Adopted"</w:t>
      </w:r>
      <w:r>
        <w:rPr>
          <w:rFonts w:ascii="Arial" w:cs="Arial" w:eastAsia="Arial" w:hAnsi="Arial"/>
          <w:sz w:val="18"/>
          <w:szCs w:val="18"/>
          <w:color w:val="auto"/>
        </w:rPr>
        <w:t xml:space="preserve">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account for premiums, claims and claim expenses that are ceded to reinsurers on a basis consistent with those we use to account for the original policies we issue and pursuant to the terms of our reinsurance contracts. We account for premiums ceded or otherwise paid to reinsurers as reductions to premium revenue.</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Effective January 1, 2018, NMIC entered into a second quota share reinsurance transaction (2018 QSR Transaction) which is similar in nature to the quota share reinsurance transaction we entered into in September 2016 (2016 QSR Transaction, together with 2018 QSR Transaction, the QSR Transactions) (see Note 5, "</w:t>
      </w:r>
      <w:r>
        <w:rPr>
          <w:rFonts w:ascii="Arial" w:cs="Arial" w:eastAsia="Arial" w:hAnsi="Arial"/>
          <w:sz w:val="16"/>
          <w:szCs w:val="16"/>
          <w:i w:val="1"/>
          <w:iCs w:val="1"/>
          <w:color w:val="auto"/>
        </w:rPr>
        <w:t>Reinsurance</w:t>
      </w:r>
      <w:r>
        <w:rPr>
          <w:rFonts w:ascii="Arial" w:cs="Arial" w:eastAsia="Arial" w:hAnsi="Arial"/>
          <w:sz w:val="16"/>
          <w:szCs w:val="16"/>
          <w:color w:val="auto"/>
        </w:rPr>
        <w:t>"). We earn profit and ceding commissions in connection with the QSR Transactions. Profit commissions represent a percentage of the profits recognized by reinsurers that are returned to us, based on the level of claims and claim expenses that we cede. We recognize any profit commissions we earn as increases to premium revenue. Ceding commissions are calculated as a percentage of ceded written premiums under the 2016 QSR Transaction and as a percentage of ceded earned premiums under the 2018 QSR Transaction, and we intended to cover our costs to acquire and service the direct policies. We earn the ceding commissions in a manner consistent with our recognition of earnings on the underlying insurance policies, over the terms of the policies reinsured. We account for ceding commissions earned as a reduction to underwriting and operating expenses.</w:t>
      </w:r>
    </w:p>
    <w:p>
      <w:pPr>
        <w:spacing w:after="0" w:line="1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QSR Transactions, we cede a portion of claims and claim expenses reserves to our reinsurers, which are accounted for as reinsurance recoverables in "Other Assets" on the consolidated balance sheets and as reductions to claim expense on the consolidated statements of operations. We remain directly liable for all loss payments in the event we are unable to collect from any reinsurer.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 Adopted</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(Topic 606). This update is intended to provide a consistent approach in recognizing revenue. In December 2016, the FASB clarified that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contracts that are within the scope of Topic 944, </w:t>
      </w:r>
      <w:r>
        <w:rPr>
          <w:rFonts w:ascii="Arial" w:cs="Arial" w:eastAsia="Arial" w:hAnsi="Arial"/>
          <w:sz w:val="16"/>
          <w:szCs w:val="16"/>
          <w:i w:val="1"/>
          <w:iCs w:val="1"/>
          <w:color w:val="auto"/>
        </w:rPr>
        <w:t>Financial Services-Insurance</w:t>
      </w:r>
      <w:r>
        <w:rPr>
          <w:rFonts w:ascii="Arial" w:cs="Arial" w:eastAsia="Arial" w:hAnsi="Arial"/>
          <w:sz w:val="16"/>
          <w:szCs w:val="16"/>
          <w:color w:val="auto"/>
        </w:rPr>
        <w:t>, are excluded from the scope of ASU 2014-09. Accordingly, this update did not impact the recognition of revenue related to insurance premiums or investment income, which represent a majority of our total revenues. The update impacted our loan review services revenue, which is the only revenue stream in scope of the update. We adopted this update on January 1, 2018 using the modified-retrospective approach. For the period ended March 31, 2018, the impact was immaterial to our consolidated financial statements.</w:t>
      </w:r>
    </w:p>
    <w:p>
      <w:pPr>
        <w:spacing w:after="0" w:line="1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Recognition and Measurement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(Subtopic 825-10). This update requires entities to reduce the carrying amount of deferred tax assets, if necessary, by the amount of any tax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not expected to be realized. We adopted this update effective January 1, 2018. The impact was immaterial to our consolidated financial statements.</w:t>
      </w:r>
    </w:p>
    <w:p>
      <w:pPr>
        <w:spacing w:after="0" w:line="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In March 2017, the FASB issued ASU 2017-08, </w:t>
      </w:r>
      <w:r>
        <w:rPr>
          <w:rFonts w:ascii="Arial" w:cs="Arial" w:eastAsia="Arial" w:hAnsi="Arial"/>
          <w:sz w:val="16"/>
          <w:szCs w:val="16"/>
          <w:i w:val="1"/>
          <w:iCs w:val="1"/>
          <w:color w:val="auto"/>
        </w:rPr>
        <w:t>Receivables - Nonrefundable Fees and Other Costs</w:t>
      </w:r>
      <w:r>
        <w:rPr>
          <w:rFonts w:ascii="Arial" w:cs="Arial" w:eastAsia="Arial" w:hAnsi="Arial"/>
          <w:sz w:val="16"/>
          <w:szCs w:val="16"/>
          <w:color w:val="auto"/>
        </w:rPr>
        <w:t xml:space="preserve"> (Subtopic 310-20). This update shortened the amortization period for the premium on certain purchased callable debt securities to the earliest call date. The standard took effect for public business entities for fiscal years beginning after December 15, 2017. The adoption of this update had no impact on our consolidated financial statements.</w:t>
      </w:r>
    </w:p>
    <w:p>
      <w:pPr>
        <w:spacing w:after="0" w:line="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Reclassification of</w:t>
      </w:r>
      <w:r>
        <w:rPr>
          <w:rFonts w:ascii="Arial" w:cs="Arial" w:eastAsia="Arial" w:hAnsi="Arial"/>
          <w:sz w:val="18"/>
          <w:szCs w:val="18"/>
          <w:color w:val="auto"/>
        </w:rPr>
        <w:t xml:space="preserve"> Ce</w:t>
      </w:r>
      <w:r>
        <w:rPr>
          <w:rFonts w:ascii="Arial" w:cs="Arial" w:eastAsia="Arial" w:hAnsi="Arial"/>
          <w:sz w:val="18"/>
          <w:szCs w:val="18"/>
          <w:i w:val="1"/>
          <w:iCs w:val="1"/>
          <w:color w:val="auto"/>
        </w:rPr>
        <w:t>rtain Tax Effects from Accumulated Other Comprehensive Income</w:t>
      </w:r>
      <w:r>
        <w:rPr>
          <w:rFonts w:ascii="Arial" w:cs="Arial" w:eastAsia="Arial" w:hAnsi="Arial"/>
          <w:sz w:val="18"/>
          <w:szCs w:val="18"/>
          <w:color w:val="auto"/>
        </w:rPr>
        <w:t xml:space="preserve"> (Topic 220). This update permits a company to reclassify the disproportionate income tax effects as a result of the 2017 Tax Cuts and Jobs Act (the TCJA) on items within accumulated other comprehensive income (AOCI) to retained earnings. This standard will take effect for public business entities for fiscal years, and interim periods within those fiscal years, beginning after December 15, 2018. Early adoption is permitted. We adopted this update on January 1, 2018 and adjusted the disproportionate income tax effects, or "stranded tax effects," resulting in a $0.3 million reduction to our beginning retained earnings as of January 1, 2018.</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 Not Yet Adopted</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update requires that businesses recognize rights and obligations associated with certain leases as assets and liabilities on the balance sheet. The standard also requires additional disclosures regarding the amount, timing, and uncertainty of cash flows arising from leases. For public business entities, this update is effective for annual periods beginning after December 15, 2018 and interim periods therein. Early adoption is permitted in any period. We expect to adopt this guidance on January 1, 2019. In September 2017, ASU 2017-13, added guidance from an SEC Staff Announcement, "Transition Related to Accounting Standards Update No. 2016-02." We anticipate this standard will have an impact on our financial position, primarily due to our office space operating lease, as we will be required to recognize lease assets and lease liabilities on our consolidated balance sheet. We will continue to assess the potential impacts of this standard, including the impact the adoption of this guidance will have on our results of operations or cash flows.</w:t>
      </w:r>
    </w:p>
    <w:p>
      <w:pPr>
        <w:spacing w:after="0" w:line="1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This update requires companies to measure all expected credit losses for financial assets held at the reporting date. The standard also amends the accounting for credit losses on available-for-sale debt securities and purchased financial assets with credit deterioration. The standard will take effect for public business entities for fiscal years, and interim periods within those fiscal years, beginning after December 15, 2019. We are currently evaluating the impact the adoption of this ASU will have, if any, on our consolidated financial statements.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(Topic 480), and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(Topic 815). This update is intended to simplify the accounting for certain equity-linked financial instruments. This standard will take effect for</w:t>
      </w:r>
      <w:r>
        <w:rPr>
          <w:rFonts w:ascii="Arial" w:cs="Arial" w:eastAsia="Arial" w:hAnsi="Arial"/>
          <w:sz w:val="18"/>
          <w:szCs w:val="18"/>
          <w:i w:val="1"/>
          <w:iCs w:val="1"/>
          <w:color w:val="auto"/>
        </w:rPr>
        <w:t xml:space="preserve"> </w:t>
      </w:r>
      <w:r>
        <w:rPr>
          <w:rFonts w:ascii="Arial" w:cs="Arial" w:eastAsia="Arial" w:hAnsi="Arial"/>
          <w:sz w:val="18"/>
          <w:szCs w:val="18"/>
          <w:color w:val="auto"/>
        </w:rPr>
        <w:t>public business entities for fiscal years, and interim periods within those fiscal years, beginning after December 15, 2018. Early adoption is permitted. The guidance must be applied using a full or modified retrospective approach. We are currently evaluating the impact the adoption of this ASU will have, if any,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are, after considering the related tax expense or benefit, recognized through comprehensive income and loss, and on an accumulated basis in shareholders' equity. Net realized investment gains and losses are reported in income based upon specific identification of securities sold.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March 31, 2018</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57,018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55,211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89,792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88,688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453,262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447,185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125,030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124,651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725,102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715,735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Long-term investments - other</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7,698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733,153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723,790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65,669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89,973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89,848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435,562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437,835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100,153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691,357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5,681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693,315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Long-term investments - other</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3"/>
                <w:szCs w:val="23"/>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22,149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22,207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713,859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715,875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2018 and December 31, 2017, approximately $7.0 million of our cash and investments were held in the form of U.S. Treasury securities on deposit with various state insurance departments to satisfy regulatory requirements.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amortized cost and fair values of available-for-sale securities as of March 31, 2018 and December 31, 2017,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March 31, 2018</w:t>
            </w:r>
          </w:p>
        </w:tc>
        <w:tc>
          <w:tcPr>
            <w:tcW w:w="3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4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59,804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59,705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252,066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249,638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287,110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280,837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9,143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8,959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125,030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124,651</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9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733,153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723,790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00" w:type="dxa"/>
            <w:vAlign w:val="bottom"/>
            <w:vMerge w:val="restart"/>
          </w:tcPr>
          <w:p>
            <w:pPr>
              <w:jc w:val="right"/>
              <w:ind w:right="201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97,406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97,394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195,795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195,626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305,798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306,930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14,707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100,153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713,859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715,875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March 31, 2018, the investment portfolio had gross unrealized losses of $10.7 million, $3.5 million of which has been in an unrealized loss position for a period of 12 months or greater. We did not consider these securities to be other-than-temporarily impaired as of March 31, 2018. We based our conclusion that these investments were not other-than-temporarily impaired as of March 31, 2018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March 31, 2018</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54,924</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17,772</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72,696</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302,287</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42,745</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345,032</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74,208</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9,261</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83,469</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459,206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553,944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38,628</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17,945</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56,573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128,313</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48,978</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177,291</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27,947</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12,438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40,385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investment income: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r>
      <w:tr>
        <w:trPr>
          <w:trHeight w:val="250"/>
        </w:trPr>
        <w:tc>
          <w:tcPr>
            <w:tcW w:w="7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80" w:type="dxa"/>
            <w:vAlign w:val="bottom"/>
            <w:gridSpan w:val="3"/>
          </w:tcPr>
          <w:p>
            <w:pPr>
              <w:jc w:val="right"/>
              <w:ind w:right="636"/>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3,993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Investment expenses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4,574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3,807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7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net realized investment gains (losses):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20" w:type="dxa"/>
            <w:vAlign w:val="bottom"/>
            <w:gridSpan w:val="3"/>
          </w:tcPr>
          <w:p>
            <w:pPr>
              <w:ind w:left="220"/>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investment gains</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Gross realized investment losses</w:t>
            </w:r>
          </w:p>
        </w:tc>
        <w:tc>
          <w:tcPr>
            <w:tcW w:w="1120" w:type="dxa"/>
            <w:vAlign w:val="bottom"/>
          </w:tcPr>
          <w:p>
            <w:pPr>
              <w:spacing w:after="0"/>
              <w:rPr>
                <w:sz w:val="21"/>
                <w:szCs w:val="21"/>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(337)</w:t>
            </w:r>
          </w:p>
        </w:tc>
        <w:tc>
          <w:tcPr>
            <w:tcW w:w="100" w:type="dxa"/>
            <w:vAlign w:val="bottom"/>
          </w:tcPr>
          <w:p>
            <w:pPr>
              <w:spacing w:after="0"/>
              <w:rPr>
                <w:sz w:val="21"/>
                <w:szCs w:val="2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realized investment gains (losses)</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quarter ended March 31, 2018, we held no other-than-temporarily impaired securities. There were no credit losses recognized in earnings for which a portion of an OTTI loss was recognized in accumulated other comprehensive income. For the quarter ended March 31, 2017, we recognized OTTI losses in earnings of $144 thousand related to a single security with an unfavorable recovery forecast. The impaired security was liquidated in the second quarter of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Fair value measurements based on quoted prices in active markets that we have the ability to access for identical assets or liabilities.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price data generally is obtained from exchange or dealer markets. We do not adjust the quoted price for such instruments.</w:t>
      </w:r>
    </w:p>
    <w:p>
      <w:pPr>
        <w:spacing w:after="0" w:line="15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3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March 31, 2018</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55,211</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55,211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88,688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88,688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447,185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447,185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124,651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124,651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 – other</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109,592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109,592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165,156</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660,524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825,680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6,563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6,563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6,563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6,563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59,844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89,848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89,848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437,835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437,835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100,944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 - other</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41,403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101,600</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633,471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735,071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7,472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7,472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234"/>
        <w:spacing w:after="0" w:line="277" w:lineRule="auto"/>
        <w:rPr>
          <w:sz w:val="20"/>
          <w:szCs w:val="20"/>
          <w:color w:val="auto"/>
        </w:rPr>
      </w:pPr>
      <w:r>
        <w:rPr>
          <w:rFonts w:ascii="Arial" w:cs="Arial" w:eastAsia="Arial" w:hAnsi="Arial"/>
          <w:sz w:val="18"/>
          <w:szCs w:val="18"/>
          <w:color w:val="auto"/>
        </w:rPr>
        <w:t>There were no transfers between Level 1 and Level 2, nor any transfers in or out of Level 3, of the fair value hierarchy during the three months ended March 31, 2018 and the year ended December 31,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Warrant Liability</w:t>
            </w: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196</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Balance, March 31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6,563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3,563</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key inputs and assumptions used in the Black-Scholes option-pricing model as of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As of March 31,</w:t>
            </w:r>
          </w:p>
        </w:tc>
        <w:tc>
          <w:tcPr>
            <w:tcW w:w="122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ind w:right="655"/>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22"/>
                <w:szCs w:val="22"/>
                <w:color w:val="auto"/>
              </w:rPr>
            </w:pPr>
          </w:p>
        </w:tc>
        <w:tc>
          <w:tcPr>
            <w:tcW w:w="1220" w:type="dxa"/>
            <w:vAlign w:val="bottom"/>
          </w:tcPr>
          <w:p>
            <w:pPr>
              <w:jc w:val="right"/>
              <w:ind w:right="733"/>
              <w:spacing w:after="0"/>
              <w:rPr>
                <w:sz w:val="20"/>
                <w:szCs w:val="20"/>
                <w:color w:val="auto"/>
              </w:rPr>
            </w:pPr>
            <w:r>
              <w:rPr>
                <w:rFonts w:ascii="Arial" w:cs="Arial" w:eastAsia="Arial" w:hAnsi="Arial"/>
                <w:sz w:val="14"/>
                <w:szCs w:val="14"/>
                <w:b w:val="1"/>
                <w:bCs w:val="1"/>
                <w:color w:val="auto"/>
              </w:rPr>
              <w:t>2017</w:t>
            </w: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Price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16.55</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11.40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42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2.37%</w:t>
            </w:r>
          </w:p>
        </w:tc>
        <w:tc>
          <w:tcPr>
            <w:tcW w:w="68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1.70%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2.59 years</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3.92 years</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2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30.1%</w:t>
            </w:r>
          </w:p>
        </w:tc>
        <w:tc>
          <w:tcPr>
            <w:tcW w:w="68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30.5%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w:t>
            </w:r>
          </w:p>
        </w:tc>
      </w:tr>
      <w:tr>
        <w:trPr>
          <w:trHeight w:val="27"/>
        </w:trPr>
        <w:tc>
          <w:tcPr>
            <w:tcW w:w="7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changes in fair value of the warrant liability for the quarters ended March 31, 2018 and 2017 are primarily attributable to changes in the price of our common stock during the respective periods, with additional impact related to changes in the Black-Scholes model inputs and exercises of outstanding warrants.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Term Loan</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November 10, 2015, we entered into a credit agreement (the Credit Agreement) to obtain a $150 million three-year senior secured term loan (the Term Loan). On February 10, 2017, we amended the Credit Agreement (Amendment No. 1) to reduce the interest rate and extend the maturity date of the Term Loan from November 10, 2018 to November 10, 2019. On October 25, 2017, we further amended the Credit Agreement (Amendment No. 2) to remove a covenant that required NMIH to maintain liquidity (as defined therein) in an aggregate amount no less than all remaining interest payments due under the Term Loan. As modified by Amendment No. 2, the Credit Agreement retains a requirement that NMIH maintain liquidity in an aggregate amount no less than the sum of all remaining principal amortization payments due under the Term Loan, excluding principal scheduled to be paid on its maturity date. The amendments to the Credit Agreement have been treated as modifications.</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March 31, 2018, the Term Loan bears interest at the Eurodollar Rate, as defined in the Credit Agreement and subject to a 1.00% floor, plus an annual margin rate of 6.75%, representing an all-in rate of 8.54%, payable monthly or quarterly based on our interest rate election. Quarterly principal payments of $375 thousand are also required. The outstanding balance of the Term Loan as of March 31, 2018 was $146.3 million.</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for the Term Loan includes interest and amortization of issuance costs, modification costs and the original issue discount. Original debt issuance costs totaling $4.9 million, including $445 thousand related to Amendment No.1 and Amendment No.2 modifications and a 1% original issue discount, are being amortized to interest expense, using the effective interest method, over the contractual life of the Term Loan. As of March 31, 2018, the remaining unamortized issuance costs, modification costs and original issue discount totaled $2.4 million. For the three months ended March 31, 2018, we recorded $3.4 million of interest expense.</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subject to various covenants under the amended Credit Agreement, which include, but are not limited to the following: a maximum debt-to-total capitalization ratio (as defined therein) of 35%, maximum risk-to-capital (RTC) ratio of 22.0:1.0, minimum liquidity (as defined therein) of $2.3 million as of March 31, 2018, compliance with the PMIERs financial requirements (subject to any GSE-approved waivers), and minimum shareholders' equity requirements. This description is not intended to be complete in all respects and is qualified in its entirety by the terms of the amended Credit Agreement, including its covenants and events of default. We were in compliance with all covenants as of March 31, 2018.</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for the Term Loan as of March 31, 2018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As of March 31, 2018</w:t>
            </w: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6"/>
                <w:szCs w:val="16"/>
                <w:color w:val="auto"/>
              </w:rPr>
            </w:pPr>
          </w:p>
        </w:tc>
      </w:tr>
      <w:tr>
        <w:trPr>
          <w:trHeight w:val="223"/>
        </w:trPr>
        <w:tc>
          <w:tcPr>
            <w:tcW w:w="9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gridSpan w:val="2"/>
          </w:tcPr>
          <w:p>
            <w:pPr>
              <w:jc w:val="center"/>
              <w:ind w:right="500"/>
              <w:spacing w:after="0"/>
              <w:rPr>
                <w:sz w:val="20"/>
                <w:szCs w:val="20"/>
                <w:color w:val="auto"/>
              </w:rPr>
            </w:pPr>
            <w:r>
              <w:rPr>
                <w:rFonts w:ascii="Arial" w:cs="Arial" w:eastAsia="Arial" w:hAnsi="Arial"/>
                <w:sz w:val="16"/>
                <w:szCs w:val="16"/>
                <w:i w:val="1"/>
                <w:iCs w:val="1"/>
                <w:color w:val="auto"/>
                <w:w w:val="91"/>
              </w:rPr>
              <w:t>(In thousands)</w:t>
            </w:r>
          </w:p>
        </w:tc>
      </w:tr>
      <w:tr>
        <w:trPr>
          <w:trHeight w:val="33"/>
        </w:trPr>
        <w:tc>
          <w:tcPr>
            <w:tcW w:w="9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1900" w:type="dxa"/>
            <w:vAlign w:val="bottom"/>
          </w:tcPr>
          <w:p>
            <w:pPr>
              <w:jc w:val="right"/>
              <w:ind w:right="35"/>
              <w:spacing w:after="0"/>
              <w:rPr>
                <w:sz w:val="20"/>
                <w:szCs w:val="20"/>
                <w:color w:val="auto"/>
              </w:rPr>
            </w:pPr>
            <w:r>
              <w:rPr>
                <w:rFonts w:ascii="Arial" w:cs="Arial" w:eastAsia="Arial" w:hAnsi="Arial"/>
                <w:sz w:val="18"/>
                <w:szCs w:val="18"/>
                <w:color w:val="auto"/>
              </w:rPr>
              <w:t>145,125</w:t>
            </w:r>
          </w:p>
        </w:tc>
        <w:tc>
          <w:tcPr>
            <w:tcW w:w="100" w:type="dxa"/>
            <w:vAlign w:val="bottom"/>
          </w:tcPr>
          <w:p>
            <w:pPr>
              <w:spacing w:after="0"/>
              <w:rPr>
                <w:sz w:val="21"/>
                <w:szCs w:val="2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146,250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9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enter into third-party reinsurance transactions to actively manage our risk, ensure PMIERs compliance and support the growth of our business. The GSEs and the Wisconsin Office of the Commissioner of Insurance (Wisconsin OCI) have approved all such transactions (subject to certain conditions and ongoing review, including levels of approved capital credit).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March 31, 2018</w:t>
            </w: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44"/>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gridSpan w:val="3"/>
          </w:tcPr>
          <w:p>
            <w:pPr>
              <w:jc w:val="right"/>
              <w:ind w:right="1113"/>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5"/>
        </w:trPr>
        <w:tc>
          <w:tcPr>
            <w:tcW w:w="8120" w:type="dxa"/>
            <w:vAlign w:val="bottom"/>
          </w:tcPr>
          <w:p>
            <w:pPr>
              <w:ind w:left="40"/>
              <w:spacing w:after="0"/>
              <w:rPr>
                <w:sz w:val="20"/>
                <w:szCs w:val="20"/>
                <w:color w:val="auto"/>
              </w:rPr>
            </w:pPr>
            <w:r>
              <w:rPr>
                <w:rFonts w:ascii="Arial" w:cs="Arial" w:eastAsia="Arial" w:hAnsi="Arial"/>
                <w:sz w:val="18"/>
                <w:szCs w:val="18"/>
                <w:color w:val="auto"/>
              </w:rPr>
              <w:t>Net premiums written</w:t>
            </w: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66,027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39,245</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w:t>
            </w: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premiums written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59,030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34,604</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63,604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37,438</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w:t>
            </w: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54,914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33,225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Net of profit commission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May 2017, NMIC entered into a reinsurance agreement with Oaktown Re Ltd. (Oaktown Re) that provides for up to $211.3 million of aggregate excess-of-loss reinsurance coverage at inception for new delinquencies on an existing portfolio of mortgage insurance policies written from 2013 through December 31, 2016. For the reinsurance coverage period, NMIC will retain the first layer of $126.8 million of aggregate losses and Oaktown Re will then provide second layer coverage up to the outstanding reinsurance coverage amount. NMIC will then retain losses in excess of the outstanding reinsurance coverage amount. The outstanding reinsurance coverage amount decreases from $211.3 million at inception over a ten-year period as the underlying covered mortgages amortize and/or are repaid and was $166.6 million as of March 31, 2018. The outstanding reinsurance coverage amount will stop amortizing if certain credit enhancement or delinquency thresholds are triggered.</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Oaktown Re financed the coverage by issuing mortgage insurance-linked notes in an aggregate amount of $211.3 million to unaffiliated investors (the Notes). The Notes mature on April 26, 2027. All of the proceeds paid to Oaktown Re from the sale of the Notes were deposited into a reinsurance trust to collateralize and fund the obligations of Oaktown Re to NMIC under the reinsurance agreement. At all times, funds in the reinsurance trust account are required to be invested in high credit quality money market funds. We refer collectively to NMIC's reinsurance agreement with Oaktown Re and the issuance of the Notes by Oaktown Re as the 2017 ILN Transaction. Under the terms of the 2017 ILN Transaction, NMIC makes risk premium payments for the applicable outstanding reinsurance coverage amount and pays Oaktown Re for anticipated operating expenses (capped at $300 thousand per year). For the three months ended March 31, 2018, NMIC paid risk premiums of $1.6 million. NMIC did not cede any losses to Oaktown Re.</w:t>
      </w:r>
    </w:p>
    <w:p>
      <w:pPr>
        <w:spacing w:after="0" w:line="1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reinsurance agreement, NMIC holds an optional termination right if certain events occur, including, among others,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the agreement. In addition, there are certain events that will result in mandatory termination of the agreement, including NMIC's failure to pay premiums or consent to reductions in the trust account to make principal payments to noteholders, among others.</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time the 2017 ILN Transaction was entered into with Oaktown Re, we evaluated the applicability of the accounting guidance that addresses VIEs. As a result of the evaluation of the 2017 ILN Transaction, we concluded that Oaktown Re is a VIE. However, given that NMIC does not have significant economic exposure in Oaktown Re, we do not consolidate Oaktown Re in our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QSR Transaction</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Effective September 1, 2016, NMIC entered into the 2016 QSR Transaction with a panel of third-party reinsurers. Each of the third-party reinsurers has an insurer financial strength rating of A- or better by Standard and Poor’s Rating Services (S&amp;P), A.M. Best or both.</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2016 QSR Transaction, NMIC ceded premiums written related to:</w:t>
      </w:r>
    </w:p>
    <w:p>
      <w:pPr>
        <w:spacing w:after="0" w:line="144" w:lineRule="exact"/>
        <w:rPr>
          <w:sz w:val="20"/>
          <w:szCs w:val="20"/>
          <w:color w:val="auto"/>
        </w:rPr>
      </w:pPr>
    </w:p>
    <w:p>
      <w:pPr>
        <w:ind w:left="720" w:hanging="388"/>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18"/>
          <w:szCs w:val="18"/>
          <w:color w:val="auto"/>
        </w:rPr>
        <w:t>25% of existing risk written on eligible policies as of August 31, 2016;</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of existing risk under our pool agreement with Fannie Mae;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25% of risk on eligible policies written from September 1, 2016 through December 31, 2017.</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2016 QSR Transaction is scheduled to terminate on December 31, 2027, except with respect to the ceded pool risk, which is scheduled to terminate on August 31, 2023. However, NMIC has the option, based on certain conditions and subject to a termination fee, to terminate the agreement as of December 31, 2020, or at the end of any calendar quarter thereafter, which would result in NMIC reassuming the related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QSR Transaction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January 1, 2018, NMIC entered into the 2018 QSR Transaction with a panel of third-party reinsurers. Each of the third-party reinsurers has an insurer financial strength rating of A- or better by S&amp;P, A.M. Best or both. Under the 2018 QSR Transaction, NMIC cedes premiums earned related to 25% of risk on eligible policies written from January 1, 2018 through December 31, 2019.</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2018 QSR Transaction is scheduled to terminate on December 31, 2029. However, NMIC has the option, based on certain conditions and subject to a termination fee, to terminate the agreement as of December 31, 2022, or at the end of any calendar quarter thereafter, which would result in NMIC reassuming the related risk.</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amounts related to the QSR Transactions: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80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2018</w:t>
            </w: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8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gridSpan w:val="3"/>
          </w:tcPr>
          <w:p>
            <w:pPr>
              <w:jc w:val="right"/>
              <w:ind w:right="1172"/>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risk-in-force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3,304,335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2,167,745</w:t>
            </w:r>
          </w:p>
        </w:tc>
      </w:tr>
      <w:tr>
        <w:trPr>
          <w:trHeight w:val="270"/>
        </w:trPr>
        <w:tc>
          <w:tcPr>
            <w:tcW w:w="8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Ceded premiums written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(14,525)</w:t>
            </w: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(10,292)</w:t>
            </w:r>
          </w:p>
        </w:tc>
      </w:tr>
      <w:tr>
        <w:trPr>
          <w:trHeight w:val="270"/>
        </w:trPr>
        <w:tc>
          <w:tcPr>
            <w:tcW w:w="8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Ceded premiums earned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(16,218)</w:t>
            </w: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Ceded claims and claims expenses</w:t>
            </w:r>
          </w:p>
        </w:tc>
        <w:tc>
          <w:tcPr>
            <w:tcW w:w="220" w:type="dxa"/>
            <w:vAlign w:val="bottom"/>
          </w:tcPr>
          <w:p>
            <w:pPr>
              <w:spacing w:after="0"/>
              <w:rPr>
                <w:sz w:val="21"/>
                <w:szCs w:val="21"/>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543</w:t>
            </w:r>
          </w:p>
        </w:tc>
        <w:tc>
          <w:tcPr>
            <w:tcW w:w="3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268</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Ceding commission written</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2,905</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2,058</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Ceding commission earned</w:t>
            </w:r>
          </w:p>
        </w:tc>
        <w:tc>
          <w:tcPr>
            <w:tcW w:w="220" w:type="dxa"/>
            <w:vAlign w:val="bottom"/>
          </w:tcPr>
          <w:p>
            <w:pPr>
              <w:spacing w:after="0"/>
              <w:rPr>
                <w:sz w:val="21"/>
                <w:szCs w:val="21"/>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3,151</w:t>
            </w:r>
          </w:p>
        </w:tc>
        <w:tc>
          <w:tcPr>
            <w:tcW w:w="3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2,065</w:t>
            </w: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color w:val="auto"/>
              </w:rPr>
              <w:t>Profit commission</w:t>
            </w:r>
          </w:p>
        </w:tc>
        <w:tc>
          <w:tcPr>
            <w:tcW w:w="220" w:type="dxa"/>
            <w:vAlign w:val="bottom"/>
          </w:tcPr>
          <w:p>
            <w:pPr>
              <w:spacing w:after="0"/>
              <w:rPr>
                <w:sz w:val="23"/>
                <w:szCs w:val="23"/>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9,201</w:t>
            </w:r>
          </w:p>
        </w:tc>
        <w:tc>
          <w:tcPr>
            <w:tcW w:w="30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5,651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ind w:right="300" w:firstLine="8"/>
        <w:spacing w:after="0" w:line="252" w:lineRule="auto"/>
        <w:tabs>
          <w:tab w:leader="none" w:pos="187"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The presentation of these line items was enhanced starting in the second quarter of 2017, to separately disclose "Profit commission." Prior to the second quarter of 2017, "Profit commission" was netted within both the "Ceded premium written" and "Ceded premium earned" lines.</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Ceded premiums written under the 2016 QSR Transaction are recorded on the balance sheet as prepaid reinsurance premiums and amortized to ceded premiums earned in a manner consistent with the recognition of income on direct premiums. Under the 2018 QSR Transaction, premiums are ceded on an earned basis as defined in the agreement. NMIC receives a 20% ceding commission for premiums ceded under the QSR Transactions. NMIC also receives a profit commission, provided that the loss ratio on the loans covered under the 2016 QSR Transaction and 2018 QSR Transaction generally remains below 60% and 61%, respectively, as measured annually. Ceded claims and claim expenses under the QSR Transactions reduce NMIC's profit commission on a dollar-for-dollar basis.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our 2016 QSR Transaction was $2.3 million as of March 31, 2018.</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2018 QSR Transaction, cash payments for ceded premiums earned are settled on a quarterly basis, offset by amounts due to NMIC for ceding and profit commissions. Any loss recoveries and any potential profit commission to NMIC will also settle quarterly. NMIC's reinsurance recoverable balance is further supported by trust accounts established and maintained by each reinsurer in accordance with the PMIERs funding requirements for risk ceded to non-affiliates. NMIC did not have any reinsurance recoverable on loss reserves related to our 2018 QSR Transaction as of March 31,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 Expenses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establish reserves to recognize the estimated liability for insurance claims and claim expenses related to defaults on insured mortgage loans. Consistent with industry practice, we establish reserves for loans that have been reported to us by servicers as having been in default for at least 60 days, referred to as case reserves, and additional loans that we estimate (based on actuarial review) have been in default for at least 60 days that have not yet been reported to us by servicers, referred to as incurred but not reported (IBNR) reserves. We also establish claims expense reserves, which represent the estimated cost of the claim administration process, including legal and other fees, as well as other general expenses of administering the claims settlement process. As of March 31, 2018, we had reserves for insurance claims and claims expenses of $10.4 million for 1,000 primary loans in default. During the first three months of 2018, we paid 17 claims totaling $482 thousand, including 14 claims covered under the QSR Transactions representing $111 thousand of ceded claims and claims expenses.</w:t>
      </w:r>
    </w:p>
    <w:p>
      <w:pPr>
        <w:spacing w:after="0" w:line="1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March 31, 2018, 64 loans in the pool were past due by 60 days or more. These 64 loans represent approximately $4.2 million of risk-in-force (RIF). Due to the size of the remaining deductible, the low level of notices of default (NODs) reported on loans in the pool through March 31, 2018 and the expected severity (all loans in the pool have loan-to-value ratios (LTV) ratios under 80%), we did not have any case or IBNR reserves for pool risks at March 31, 2018 or March 31, 2017. In connection with the settlement of pool claims, we applied $492 thousand to the pool deductible through March 31, 2018. At March 31, 2018, the remaining pool deductible was $9.9 million. We have not paid any pool claims to date. 100% of our pool RIF is reinsured under the 2016 QSR Transaction.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provides a reconciliation of the beginning and ending reserve balances for primary insurance claims and claim expenses: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54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920" w:type="dxa"/>
            <w:vAlign w:val="bottom"/>
            <w:gridSpan w:val="3"/>
          </w:tcPr>
          <w:p>
            <w:pPr>
              <w:jc w:val="right"/>
              <w:ind w:right="696"/>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3,001</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2,704</w:t>
            </w:r>
          </w:p>
        </w:tc>
      </w:tr>
      <w:tr>
        <w:trPr>
          <w:trHeight w:val="318"/>
        </w:trPr>
        <w:tc>
          <w:tcPr>
            <w:tcW w:w="79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r>
      <w:tr>
        <w:trPr>
          <w:trHeight w:val="318"/>
        </w:trPr>
        <w:tc>
          <w:tcPr>
            <w:tcW w:w="79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0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318"/>
        </w:trPr>
        <w:tc>
          <w:tcPr>
            <w:tcW w:w="790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3,197</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10,391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3,761</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80" w:firstLine="8"/>
        <w:spacing w:after="0" w:line="244" w:lineRule="auto"/>
        <w:tabs>
          <w:tab w:leader="none" w:pos="187"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 xml:space="preserve">Related to ceded losses recoverable on the QSR Transactions, included in "Other Assets" on the Condensed Consolidated Balance Sheets. See Note 5, </w:t>
      </w:r>
      <w:r>
        <w:rPr>
          <w:rFonts w:ascii="Arial" w:cs="Arial" w:eastAsia="Arial" w:hAnsi="Arial"/>
          <w:sz w:val="14"/>
          <w:szCs w:val="14"/>
          <w:i w:val="1"/>
          <w:iCs w:val="1"/>
          <w:color w:val="auto"/>
        </w:rPr>
        <w:t>"Reinsurance"</w:t>
      </w:r>
      <w:r>
        <w:rPr>
          <w:rFonts w:ascii="Arial" w:cs="Arial" w:eastAsia="Arial" w:hAnsi="Arial"/>
          <w:sz w:val="14"/>
          <w:szCs w:val="14"/>
          <w:color w:val="auto"/>
        </w:rPr>
        <w:t xml:space="preserve"> for additional information.</w:t>
      </w:r>
    </w:p>
    <w:p>
      <w:pPr>
        <w:spacing w:after="0" w:line="11" w:lineRule="exact"/>
        <w:rPr>
          <w:rFonts w:ascii="Arial" w:cs="Arial" w:eastAsia="Arial" w:hAnsi="Arial"/>
          <w:sz w:val="22"/>
          <w:szCs w:val="22"/>
          <w:color w:val="auto"/>
          <w:vertAlign w:val="superscript"/>
        </w:rPr>
      </w:pPr>
    </w:p>
    <w:p>
      <w:pPr>
        <w:ind w:firstLine="8"/>
        <w:spacing w:after="0" w:line="244" w:lineRule="auto"/>
        <w:tabs>
          <w:tab w:leader="none" w:pos="187"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w:t>
      </w:r>
    </w:p>
    <w:p>
      <w:pPr>
        <w:spacing w:after="0" w:line="1" w:lineRule="exact"/>
        <w:rPr>
          <w:rFonts w:ascii="Arial" w:cs="Arial" w:eastAsia="Arial" w:hAnsi="Arial"/>
          <w:sz w:val="22"/>
          <w:szCs w:val="22"/>
          <w:color w:val="auto"/>
          <w:vertAlign w:val="superscript"/>
        </w:rPr>
      </w:pPr>
    </w:p>
    <w:p>
      <w:pPr>
        <w:ind w:left="200" w:hanging="192"/>
        <w:spacing w:after="0" w:line="196"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Related to insured loans with defaults occurring in prior years, which have been continuously in default since that time.</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"claims incurred" section of the table above shows claims and claim expenses incurred on NODs for current and prior years, including IBNR reserves. The amount of claims incurred relating to current year NODs represents the estimated amount of claims and claims expenses to be ultimately paid on such loans in default. We recognized $371 thousand and $320 thousand of favorable prior year development during the three months ended March 31, 2018 and 2017, respectively, due to NOD cures and ongoing analysis of recent loss development trends. We may increase or decrease our original estimates as we learn additional information about individual defaults and claims and continue to observe and analyze loss development trends in our portfolio. Gross reserves of $7.2 million related to prior year defaults remained as of March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Basic earnings per share is based on the weighted average number of shares of common stock outstanding, while diluted earnings per share is based on the weighted average number of shares of common stock outstanding and common stock equivalents that would be issuable upon the vesting of service based RSUs, and exercise of vested and unvested stock options and outstanding warrants. The following table reconciles the net income and the weighted average shares of common stock outstanding used in the computations of basic and diluted earnings per share of common stock:</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gridSpan w:val="6"/>
          </w:tcPr>
          <w:p>
            <w:pPr>
              <w:ind w:left="54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79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3520" w:type="dxa"/>
            <w:vAlign w:val="bottom"/>
            <w:gridSpan w:val="6"/>
          </w:tcPr>
          <w:p>
            <w:pPr>
              <w:ind w:left="520"/>
              <w:spacing w:after="0"/>
              <w:rPr>
                <w:sz w:val="20"/>
                <w:szCs w:val="20"/>
                <w:color w:val="auto"/>
              </w:rPr>
            </w:pPr>
            <w:r>
              <w:rPr>
                <w:rFonts w:ascii="Arial" w:cs="Arial" w:eastAsia="Arial" w:hAnsi="Arial"/>
                <w:sz w:val="14"/>
                <w:szCs w:val="14"/>
                <w:i w:val="1"/>
                <w:iCs w:val="1"/>
                <w:color w:val="auto"/>
              </w:rPr>
              <w:t>(In Thousands, except for per share data)</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22,355</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0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62,099</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59,184</w:t>
            </w:r>
          </w:p>
        </w:tc>
        <w:tc>
          <w:tcPr>
            <w:tcW w:w="100" w:type="dxa"/>
            <w:vAlign w:val="bottom"/>
          </w:tcPr>
          <w:p>
            <w:pPr>
              <w:spacing w:after="0"/>
              <w:rPr>
                <w:sz w:val="21"/>
                <w:szCs w:val="2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7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22,355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Warrant gain, net of tax</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22,023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7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62,099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59,184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Dilutive effect of issuable shares</w:t>
            </w:r>
          </w:p>
        </w:tc>
        <w:tc>
          <w:tcPr>
            <w:tcW w:w="10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3,598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1"/>
                <w:szCs w:val="2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65,697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62,339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79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7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7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Anti-dilutive securities</w:t>
            </w: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21"/>
                <w:szCs w:val="21"/>
                <w:color w:val="auto"/>
              </w:rPr>
            </w:pPr>
          </w:p>
        </w:tc>
      </w:tr>
      <w:tr>
        <w:trPr>
          <w:trHeight w:val="27"/>
        </w:trPr>
        <w:tc>
          <w:tcPr>
            <w:tcW w:w="79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issued 992 thousand warrants in connection with the Private Placement. Each warrant gives the holder thereof the right to purchase one share of common stock at an exercise price equal to $10.00. The warrants were issued with an aggregate fair value of $5.1 million.</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months ended March 31, 2018, 54 thousand warrants were exercised resulting in 26 thousand common shares issued. No warrants were exercised during the three months ended March 31, 2017. Upon exercise, we reclassified the fair value of the warrants from warrant liability to additional paid-in capital and recognized a loss of approximately $52 thousand.</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U.S. taxpayer and are subject to a statutory U.S. federal corporate income tax rate of 21% for the current and all future years following the enactment of the TCJA on December 22, 2017. We were subject to a statutory U.S. federal corporate income tax rate of 35% for all prior years through December 31, 2017. NMIH files a consolidated U.S. federal and various state income tax returns on behalf of itself and its subsidiaries. Our provision for income taxes for interim reporting periods is established based on our estimated annual effective tax rates for a given year. Our effective tax rate on our pre-tax income was 15.7% for the three months ended March 31, 2018, compared to 18.5% for the three months ended March 31, 2017. The decrease in the effective tax rate for the three months ended March 31, 2018 compared to the three months ended March 31, 2017 is attributable to the decrease in the statutory U.S. federal corporate income tax rate. We currently pay no federal income tax primarily due to the forecasted utilization of our federal net operating loss carryforwards, which were $93.3 million as of December 31, 2017. As a result, the interim provision for income taxes represents changes to deferred tax assets.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amounts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TCJA reduced the statutory U.S. federal corporate income tax rate from 35% to 21% and changed the tax deductibility of certain expenses for tax years beginning after December 31, 2017. We have not completed our full assessment of the tax effects of the enactment of the TCJA on our deferred tax balances as of March 31, 2018 and December 31, 2017; however, in certain cases, as described below, we have made reasonable estimates of the effects on our deferred tax balances. We recognized a $13.6 million income tax expense in the year ended December 31, 2017 for the items we could reasonably estimate. We are still analyzing the TCJA and refining our calculations, which could impact the measurement of our existing deferred tax assets including those related to share-based compensation. For tax years beginning after December 31, 2017, the TCJA expanded the number of individuals whose</w:t>
      </w:r>
    </w:p>
    <w:p>
      <w:pPr>
        <w:sectPr>
          <w:pgSz w:w="11900" w:h="16838" w:orient="portrait"/>
          <w:cols w:equalWidth="0" w:num="1">
            <w:col w:w="11420"/>
          </w:cols>
          <w:pgMar w:left="240" w:top="125"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is subject to a $1 million cap on tax deductibility and includes performance-based compensation in the calculation. As a result, we recorded a provisional amount to reduce the future tax benefit related to share-based compensation. We will continue to make and refine our calculations as additional analysis is completed. In addition, our estimates may also be affected as we incorporate additional guidance that may be issued by the U.S. Treasury Department, the IRS, or other standard-setting bodies.</w:t>
      </w:r>
    </w:p>
    <w:p>
      <w:pPr>
        <w:spacing w:after="0" w:line="1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Reclassification of</w:t>
      </w:r>
      <w:r>
        <w:rPr>
          <w:rFonts w:ascii="Arial" w:cs="Arial" w:eastAsia="Arial" w:hAnsi="Arial"/>
          <w:sz w:val="16"/>
          <w:szCs w:val="16"/>
          <w:color w:val="auto"/>
        </w:rPr>
        <w:t xml:space="preserve"> Ce</w:t>
      </w:r>
      <w:r>
        <w:rPr>
          <w:rFonts w:ascii="Arial" w:cs="Arial" w:eastAsia="Arial" w:hAnsi="Arial"/>
          <w:sz w:val="16"/>
          <w:szCs w:val="16"/>
          <w:i w:val="1"/>
          <w:iCs w:val="1"/>
          <w:color w:val="auto"/>
        </w:rPr>
        <w:t>rtain Tax Effects from Accumulated Other Comprehensive Income</w:t>
      </w:r>
      <w:r>
        <w:rPr>
          <w:rFonts w:ascii="Arial" w:cs="Arial" w:eastAsia="Arial" w:hAnsi="Arial"/>
          <w:sz w:val="16"/>
          <w:szCs w:val="16"/>
          <w:color w:val="auto"/>
        </w:rPr>
        <w:t xml:space="preserve"> (Topic 220). This update permits a company to reclassify the disproportionate income tax effects as a result of the TCJA on items within AOCI to retained earnings. We adopted this update on January 1, 2018 and adjusted the disproportionate income tax effects, or "stranded tax effects," resulting in a $0.3 million reduction to our beginning retained earnings as of January 1, 2018. The disproportionate tax effects that remain in AOCI of $4.2 million was not related to the TCJA and will remain in AOCI until certain events occur. Our elected accounting policy for available-for-sale debt securities is the "aggregate portfolio" approach.</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Offerings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2018, we completed the sale of 3.7 million shares of common stock and granted the underwriters on the transaction a 15% overallotment option to purchase additional shares. The overallotment option was exercised in full, resulting in a total of 4.3 million shares of common stock issued. The common stock offering generated total proceeds of approximately $79.2 million, net of underwriting discounts, commissions and other direct offering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Regulatory Information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combined statutory net loss was as follows:</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3"/>
          </w:tcPr>
          <w:p>
            <w:pPr>
              <w:jc w:val="center"/>
              <w:ind w:right="259"/>
              <w:spacing w:after="0"/>
              <w:rPr>
                <w:sz w:val="20"/>
                <w:szCs w:val="20"/>
                <w:color w:val="auto"/>
              </w:rPr>
            </w:pPr>
            <w:r>
              <w:rPr>
                <w:rFonts w:ascii="Arial" w:cs="Arial" w:eastAsia="Arial" w:hAnsi="Arial"/>
                <w:sz w:val="14"/>
                <w:szCs w:val="14"/>
                <w:b w:val="1"/>
                <w:bCs w:val="1"/>
                <w:color w:val="auto"/>
                <w:w w:val="93"/>
              </w:rPr>
              <w:t>For the three months ended March 31,</w:t>
            </w:r>
          </w:p>
        </w:tc>
      </w:tr>
      <w:tr>
        <w:trPr>
          <w:trHeight w:val="276"/>
        </w:trPr>
        <w:tc>
          <w:tcPr>
            <w:tcW w:w="77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2017</w:t>
            </w:r>
          </w:p>
        </w:tc>
      </w:tr>
      <w:tr>
        <w:trPr>
          <w:trHeight w:val="250"/>
        </w:trPr>
        <w:tc>
          <w:tcPr>
            <w:tcW w:w="7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0" w:type="dxa"/>
            <w:vAlign w:val="bottom"/>
            <w:gridSpan w:val="2"/>
          </w:tcPr>
          <w:p>
            <w:pPr>
              <w:jc w:val="center"/>
              <w:ind w:left="724"/>
              <w:spacing w:after="0"/>
              <w:rPr>
                <w:sz w:val="20"/>
                <w:szCs w:val="20"/>
                <w:color w:val="auto"/>
              </w:rPr>
            </w:pPr>
            <w:r>
              <w:rPr>
                <w:rFonts w:ascii="Arial" w:cs="Arial" w:eastAsia="Arial" w:hAnsi="Arial"/>
                <w:sz w:val="14"/>
                <w:szCs w:val="14"/>
                <w:i w:val="1"/>
                <w:iCs w:val="1"/>
                <w:color w:val="auto"/>
                <w:w w:val="93"/>
              </w:rPr>
              <w:t>(In Thousands)</w:t>
            </w:r>
          </w:p>
        </w:tc>
        <w:tc>
          <w:tcPr>
            <w:tcW w:w="1140" w:type="dxa"/>
            <w:vAlign w:val="bottom"/>
          </w:tcPr>
          <w:p>
            <w:pPr>
              <w:spacing w:after="0"/>
              <w:rPr>
                <w:sz w:val="21"/>
                <w:szCs w:val="21"/>
                <w:color w:val="auto"/>
              </w:rPr>
            </w:pPr>
          </w:p>
        </w:tc>
      </w:tr>
      <w:tr>
        <w:trPr>
          <w:trHeight w:val="24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(6,814)</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w:t>
            </w:r>
          </w:p>
        </w:tc>
      </w:tr>
      <w:tr>
        <w:trPr>
          <w:trHeight w:val="27"/>
        </w:trPr>
        <w:tc>
          <w:tcPr>
            <w:tcW w:w="7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statutory surplus, contingency reserve and risk to capital (RTC) ratios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March 31, 2018</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3"/>
          </w:tcPr>
          <w:p>
            <w:pPr>
              <w:jc w:val="right"/>
              <w:ind w:right="1174"/>
              <w:spacing w:after="0"/>
              <w:rPr>
                <w:sz w:val="20"/>
                <w:szCs w:val="20"/>
                <w:color w:val="auto"/>
              </w:rPr>
            </w:pPr>
            <w:r>
              <w:rPr>
                <w:rFonts w:ascii="Arial" w:cs="Arial" w:eastAsia="Arial" w:hAnsi="Arial"/>
                <w:sz w:val="14"/>
                <w:szCs w:val="14"/>
                <w:i w:val="1"/>
                <w:iCs w:val="1"/>
                <w:color w:val="auto"/>
              </w:rPr>
              <w:t>($ 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surplus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368,202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371,084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Contingency reserve</w:t>
            </w:r>
          </w:p>
        </w:tc>
        <w:tc>
          <w:tcPr>
            <w:tcW w:w="240" w:type="dxa"/>
            <w:vAlign w:val="bottom"/>
          </w:tcPr>
          <w:p>
            <w:pPr>
              <w:spacing w:after="0"/>
              <w:rPr>
                <w:sz w:val="21"/>
                <w:szCs w:val="21"/>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218,518</w:t>
            </w:r>
          </w:p>
        </w:tc>
        <w:tc>
          <w:tcPr>
            <w:tcW w:w="3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186,641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Risk-to-Capital</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14.4:1</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13.2:1</w:t>
            </w:r>
          </w:p>
        </w:tc>
      </w:tr>
      <w:tr>
        <w:trPr>
          <w:trHeight w:val="27"/>
        </w:trPr>
        <w:tc>
          <w:tcPr>
            <w:tcW w:w="7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NMIH is not subject to any limitations on its ability to pay dividends except those generally applicable to corporations that are incorporated in Delaware. Delaware corporate law provides that dividends are only payable out of a corporation's surplus or, subject to certain limitations, recent net profits. NMIC and Re One's ability to pay dividends to NMIH is subject to Wisconsin OCI notice or approval. Certain other states in which NMIC is licensed also have statutes or regulations that restrict its ability to pay dividends. Since inception, NMIC and Re One have not paid any dividends to NMIH.</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jc w:val="center"/>
        <w:ind w:right="-1212"/>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1212"/>
        <w:spacing w:after="0"/>
        <w:rPr>
          <w:sz w:val="20"/>
          <w:szCs w:val="20"/>
          <w:color w:val="auto"/>
        </w:rPr>
      </w:pPr>
      <w:r>
        <w:rPr>
          <w:rFonts w:ascii="Arial" w:cs="Arial" w:eastAsia="Arial" w:hAnsi="Arial"/>
          <w:sz w:val="17"/>
          <w:szCs w:val="17"/>
          <w:color w:val="auto"/>
        </w:rPr>
        <w:t>NOTES TO CONDENSED CONSOLIDATED FINANCIAL STATEMENTS (UNAUDITED)</w:t>
      </w:r>
    </w:p>
    <w:p>
      <w:pPr>
        <w:spacing w:after="0" w:line="245" w:lineRule="exact"/>
        <w:rPr>
          <w:sz w:val="20"/>
          <w:szCs w:val="20"/>
          <w:color w:val="auto"/>
        </w:rPr>
      </w:pPr>
    </w:p>
    <w:p>
      <w:pPr>
        <w:ind w:left="272" w:hanging="272"/>
        <w:spacing w:after="0"/>
        <w:tabs>
          <w:tab w:leader="none" w:pos="27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Subsequent Event</w:t>
      </w:r>
    </w:p>
    <w:p>
      <w:pPr>
        <w:spacing w:after="0" w:line="17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In April 2018, NMIH made a capital contribution of $70 million to NMIC.</w:t>
      </w:r>
    </w:p>
    <w:p>
      <w:pPr>
        <w:spacing w:after="0" w:line="200" w:lineRule="exact"/>
        <w:rPr>
          <w:sz w:val="20"/>
          <w:szCs w:val="20"/>
          <w:color w:val="auto"/>
        </w:rPr>
      </w:pPr>
    </w:p>
    <w:p>
      <w:pPr>
        <w:spacing w:after="0" w:line="214"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1"/>
          </w:cols>
          <w:pgMar w:left="248" w:top="125"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analysis should be read in conjunction with our unaudited consolidated financial statements and the notes thereto included in this report and our audited financial statements, notes thereto and "Management's Discussion and Analysis of Financial Condition and Results of Operations" included in our 2017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2017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private MI through our wholly 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statutorily required reinsurance to NMIC on insured loans with coverage levels in excess of 25% after giving effect to third-party reinsurance. Our subsidiary, NMIS, provides outsourced loan review services to mortgage loan originators.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March 31, 2018, we had master policy relationships with 1,291 customers, including national and regional mortgage banks, money center banks, credit unions, community banks, builder-owned mortgage lenders and other non bank lenders. As of March 31, 2018, we had $56.6 billion of total insurance-in-force (IIF), including primary IIF of $53.4 billion, and $13.2 billion of gross RIF, including primary RIF of $13.1 billion.</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our success in acquiring a large and diverse group of lender customers and growing a portfolio of high-quality IIF traces to our founding principles, whereby we aim to help qualified individuals achieve the dream of homeownership, ensure that we remain a strong and credible counter-party, deliver a unique customer service experience, establish a differentiated risk management approach that emphasizes the individual underwriting review or validation of the vast majority of the loans we insure, and foster a culture of collaboration and excellence that helps us attract and retain experienced industry leaders.</w:t>
      </w:r>
    </w:p>
    <w:p>
      <w:pPr>
        <w:spacing w:after="0" w:line="10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financial strength and profitability.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trades on the NASDAQ under the symbol "NMIH."</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discuss below our results of operations for the periods presented, as well as the conditions and trends that have impacted or are expected to impact our business, including customer development, new business writings, the composition of our insurance portfolio and other factors that we expect to impact our results. Our headquarters are located in Emeryville, California and our website is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 In Force and Risk In Force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New insurance written (NIW) is the aggregate unpaid principal balance of mortgages underpinning new policies written during a given period. Our NIW is affected by the overall size of the mortgage origination market and the volume of high-LTV mortgage originations, which tend to be generated to a greater extent in purchase originations as compared to refinancings. Our NIW is also affected by the percentage of such high-LTV originations covered by private versus public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set our premium rates on individual policies based on the risk characteristics of the underlying mortgage loans and borrowers, and in accordance with our filed rates and applicable rating rules.</w:t>
      </w:r>
    </w:p>
    <w:p>
      <w:pPr>
        <w:spacing w:after="0" w:line="1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Premiums are generally fixed over the estimated life of the underlying loans. Net premiums written are equal to gross premiums written minus ceded premiums written under our reinsurance arrangements and less premium refunds. As a result, net premiums written are generally influenced by:</w:t>
      </w:r>
    </w:p>
    <w:p>
      <w:pPr>
        <w:spacing w:after="0" w:line="9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NIW;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17" w:lineRule="exact"/>
        <w:rPr>
          <w:rFonts w:ascii="Arial" w:cs="Arial" w:eastAsia="Arial" w:hAnsi="Arial"/>
          <w:sz w:val="18"/>
          <w:szCs w:val="18"/>
          <w:color w:val="auto"/>
        </w:rPr>
      </w:pPr>
    </w:p>
    <w:p>
      <w:pPr>
        <w:ind w:left="660" w:right="34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claims payments and home prices;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initially recorded as unearned premium and earned over the estimated life of the policy. A majority of our single premium policies in force as of December 31, 2017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substantially all of our single premium policies are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or greater premium rate, our profitability is likely to decline.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utilize third-party reinsurance to actively manage our risk, ensure PMIERs compliance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net premiums written and earned and also reduces net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In general, there are no ceding commissions under excess-of-loss reinsurance agreements. We expect to continue to evaluate reinsurance opportunities in the normal course of business.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entered into the 2018 QSR Transaction, which took effect January 1, 2018. Under the terms of the 2018 QSR Transaction, NMIC will cede 25% of its eligible policies written in 2018 and 20% to 30% (such amount to be determined by NMIC at its sole election by December 1, 2018) of eligible policies written in 2019, in exchange for reimbursement of ceded claims and claims expenses on covered policies, a 20% ceding commission, and a profit commission of up to 61% that varies directly and inversely with ceded claims.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entered into the 2016 QSR Transaction in September 2016. Under the terms of the 2016 QSR Transaction, NMIC (1) ceded 100% of the risk relating to our pool agreement with Fannie Mae, (2) ceded 25% of existing risk written on eligible policies as of August 31, 2016 and (3) ceded 25% of the risk relating to eligible primary insurance policies written between September 1, 2016 and December 31, 2017, in exchange for reimbursement of ceded claims and claims expenses on covered policies, a 20% ceding commission, and a profit commission of up to 60% that varies directly and inversely with ceded claims.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2017, NMIC secured $211.3 million of aggregate excess-of-loss reinsurance coverage at inception for an existing portfolio of MI policies written from 2013 through December 31, 2016, through a mortgage insurance-linked notes offering by Oaktown Re. The reinsurance coverage amount under the terms of the 2017 ILN Transaction decreases from $211.3 million at inception over a ten-year period as the underlying covered mortgages amortize and/or are repaid, and was $166.6 million as of March 31, 2018. For the reinsurance coverage period, NMIC will retain the first layer of $126.8 million of aggregate losses and Oaktown Re will then provide a second layer of coverage up to the outstanding reinsurance coverage amount. NMIC retains losses in excess of the outstanding reinsurance coverage amount.</w:t>
      </w:r>
    </w:p>
    <w:p>
      <w:pPr>
        <w:spacing w:after="0" w:line="1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Item 1, "</w:t>
      </w:r>
      <w:r>
        <w:rPr>
          <w:rFonts w:ascii="Arial" w:cs="Arial" w:eastAsia="Arial" w:hAnsi="Arial"/>
          <w:sz w:val="18"/>
          <w:szCs w:val="18"/>
          <w:i w:val="1"/>
          <w:iCs w:val="1"/>
          <w:color w:val="auto"/>
        </w:rPr>
        <w:t>Financial Statements - Notes to Condensed Consolidated Financial Statements - Note 5, Reinsurance</w:t>
      </w:r>
      <w:r>
        <w:rPr>
          <w:rFonts w:ascii="Arial" w:cs="Arial" w:eastAsia="Arial" w:hAnsi="Arial"/>
          <w:sz w:val="18"/>
          <w:szCs w:val="18"/>
          <w:color w:val="auto"/>
        </w:rPr>
        <w:t>" for further discussion of these third-party reinsurance arrangements.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Data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and for the three months ended</w:t>
            </w: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76"/>
        </w:trPr>
        <w:tc>
          <w:tcPr>
            <w:tcW w:w="6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2017</w:t>
            </w:r>
          </w:p>
        </w:tc>
        <w:tc>
          <w:tcPr>
            <w:tcW w:w="800" w:type="dxa"/>
            <w:vAlign w:val="bottom"/>
            <w:tcBorders>
              <w:bottom w:val="single" w:sz="8" w:color="auto"/>
            </w:tcBorders>
          </w:tcPr>
          <w:p>
            <w:pPr>
              <w:spacing w:after="0"/>
              <w:rPr>
                <w:sz w:val="24"/>
                <w:szCs w:val="24"/>
                <w:color w:val="auto"/>
              </w:rPr>
            </w:pPr>
          </w:p>
        </w:tc>
      </w:tr>
      <w:tr>
        <w:trPr>
          <w:trHeight w:val="264"/>
        </w:trPr>
        <w:tc>
          <w:tcPr>
            <w:tcW w:w="60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NIW</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IIF</w:t>
            </w: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NIW</w:t>
            </w:r>
          </w:p>
        </w:tc>
      </w:tr>
      <w:tr>
        <w:trPr>
          <w:trHeight w:val="264"/>
        </w:trPr>
        <w:tc>
          <w:tcPr>
            <w:tcW w:w="6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Millions)</w:t>
            </w: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37,574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21,511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2,892</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Single</w:t>
            </w:r>
          </w:p>
        </w:tc>
        <w:tc>
          <w:tcPr>
            <w:tcW w:w="3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15,860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13,268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667</w:t>
            </w:r>
          </w:p>
        </w:tc>
      </w:tr>
      <w:tr>
        <w:trPr>
          <w:trHeight w:val="27"/>
        </w:trPr>
        <w:tc>
          <w:tcPr>
            <w:tcW w:w="6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53,434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34,779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3,559</w:t>
            </w:r>
          </w:p>
        </w:tc>
      </w:tr>
      <w:tr>
        <w:trPr>
          <w:trHeight w:val="176"/>
        </w:trPr>
        <w:tc>
          <w:tcPr>
            <w:tcW w:w="6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3,545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60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56,587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38,324</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3,559</w:t>
            </w:r>
          </w:p>
        </w:tc>
      </w:tr>
      <w:tr>
        <w:trPr>
          <w:trHeight w:val="20"/>
        </w:trPr>
        <w:tc>
          <w:tcPr>
            <w:tcW w:w="6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2018, primary NIW increased 82%, compared to the three months ended March 31, 2017, primarily because of the growth in our monthly policy volume tied to increased penetration of existing customer accounts and new customer account activations, with additional benefit from growth in our single policy volume. For the three months ended March 31, 2018, monthly premium NIW increased 88% compared to the three months ended March 31, 2017.</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March 31, 2018, 84% of our NIW related to monthly premium policies. As of March 31, 2018, monthly premium policies accounted for 70% of our primary IIF, as compared to 62% at March 31, 2017. We expect the break-down of monthly premium policies and single premium policies (which we refer to as "mix") in our primary IIF to continue to trend toward our current NIW mix over time. Our total IIF increased 48% as of March 31, 2018 compared to March 31, 2017, primarily because of the NIW we generated between such measurement dates and the high persistency of our policies in force.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325"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Primary and pool premiums written and earned</w:t>
            </w:r>
          </w:p>
        </w:tc>
        <w:tc>
          <w:tcPr>
            <w:tcW w:w="2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jc w:val="center"/>
              <w:ind w:right="96"/>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March 31, 2018</w:t>
            </w: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80" w:type="dxa"/>
            <w:vAlign w:val="bottom"/>
            <w:gridSpan w:val="3"/>
          </w:tcPr>
          <w:p>
            <w:pPr>
              <w:jc w:val="center"/>
              <w:ind w:right="116"/>
              <w:spacing w:after="0"/>
              <w:rPr>
                <w:sz w:val="20"/>
                <w:szCs w:val="20"/>
                <w:color w:val="auto"/>
              </w:rPr>
            </w:pPr>
            <w:r>
              <w:rPr>
                <w:rFonts w:ascii="Arial" w:cs="Arial" w:eastAsia="Arial" w:hAnsi="Arial"/>
                <w:sz w:val="14"/>
                <w:szCs w:val="14"/>
                <w:i w:val="1"/>
                <w:iCs w:val="1"/>
                <w:color w:val="auto"/>
                <w:w w:val="93"/>
              </w:rPr>
              <w:t>(In Thousands)</w:t>
            </w:r>
          </w:p>
        </w:tc>
      </w:tr>
      <w:tr>
        <w:trPr>
          <w:trHeight w:val="276"/>
        </w:trPr>
        <w:tc>
          <w:tcPr>
            <w:tcW w:w="7780" w:type="dxa"/>
            <w:vAlign w:val="bottom"/>
            <w:shd w:val="clear" w:color="auto" w:fill="CCEEFF"/>
          </w:tcPr>
          <w:p>
            <w:pPr>
              <w:ind w:left="20"/>
              <w:spacing w:after="0" w:line="276" w:lineRule="exact"/>
              <w:rPr>
                <w:sz w:val="20"/>
                <w:szCs w:val="20"/>
                <w:color w:val="auto"/>
              </w:rPr>
            </w:pPr>
            <w:r>
              <w:rPr>
                <w:rFonts w:ascii="Arial" w:cs="Arial" w:eastAsia="Arial" w:hAnsi="Arial"/>
                <w:sz w:val="18"/>
                <w:szCs w:val="18"/>
                <w:color w:val="auto"/>
              </w:rPr>
              <w:t xml:space="preserve">Net premiums written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59,030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34,604</w:t>
            </w:r>
          </w:p>
        </w:tc>
      </w:tr>
      <w:tr>
        <w:trPr>
          <w:trHeight w:val="341"/>
        </w:trPr>
        <w:tc>
          <w:tcPr>
            <w:tcW w:w="7780" w:type="dxa"/>
            <w:vAlign w:val="bottom"/>
          </w:tcPr>
          <w:p>
            <w:pPr>
              <w:ind w:left="20"/>
              <w:spacing w:after="0"/>
              <w:rPr>
                <w:sz w:val="20"/>
                <w:szCs w:val="20"/>
                <w:color w:val="auto"/>
              </w:rPr>
            </w:pPr>
            <w:r>
              <w:rPr>
                <w:rFonts w:ascii="Arial" w:cs="Arial" w:eastAsia="Arial" w:hAnsi="Arial"/>
                <w:sz w:val="18"/>
                <w:szCs w:val="18"/>
                <w:color w:val="auto"/>
              </w:rPr>
              <w:t xml:space="preserve">Net premiums earned </w:t>
            </w:r>
            <w:r>
              <w:rPr>
                <w:rFonts w:ascii="Arial" w:cs="Arial" w:eastAsia="Arial" w:hAnsi="Arial"/>
                <w:sz w:val="25"/>
                <w:szCs w:val="25"/>
                <w:color w:val="auto"/>
                <w:vertAlign w:val="superscript"/>
              </w:rPr>
              <w:t>(1)</w:t>
            </w:r>
          </w:p>
        </w:tc>
        <w:tc>
          <w:tcPr>
            <w:tcW w:w="220" w:type="dxa"/>
            <w:vAlign w:val="bottom"/>
          </w:tcPr>
          <w:p>
            <w:pPr>
              <w:spacing w:after="0"/>
              <w:rPr>
                <w:sz w:val="24"/>
                <w:szCs w:val="24"/>
                <w:color w:val="auto"/>
              </w:rPr>
            </w:pPr>
          </w:p>
        </w:tc>
        <w:tc>
          <w:tcPr>
            <w:tcW w:w="1380" w:type="dxa"/>
            <w:vAlign w:val="bottom"/>
          </w:tcPr>
          <w:p>
            <w:pPr>
              <w:jc w:val="right"/>
              <w:ind w:right="41"/>
              <w:spacing w:after="0"/>
              <w:rPr>
                <w:sz w:val="20"/>
                <w:szCs w:val="20"/>
                <w:color w:val="auto"/>
              </w:rPr>
            </w:pPr>
            <w:r>
              <w:rPr>
                <w:rFonts w:ascii="Arial" w:cs="Arial" w:eastAsia="Arial" w:hAnsi="Arial"/>
                <w:sz w:val="18"/>
                <w:szCs w:val="18"/>
                <w:color w:val="auto"/>
              </w:rPr>
              <w:t>54,914</w:t>
            </w:r>
          </w:p>
        </w:tc>
        <w:tc>
          <w:tcPr>
            <w:tcW w:w="360" w:type="dxa"/>
            <w:vAlign w:val="bottom"/>
          </w:tcPr>
          <w:p>
            <w:pPr>
              <w:spacing w:after="0"/>
              <w:rPr>
                <w:sz w:val="24"/>
                <w:szCs w:val="24"/>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33,225</w:t>
            </w:r>
          </w:p>
        </w:tc>
      </w:tr>
    </w:tbl>
    <w:p>
      <w:pPr>
        <w:spacing w:after="0" w:line="80"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Net premiums written and earned are reported net of reinsurance and premium refunds.</w:t>
      </w:r>
    </w:p>
    <w:p>
      <w:pPr>
        <w:spacing w:after="0" w:line="14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three months ended March 31, 2018, net premiums written increased 71% and net premiums earned increased 65%, respectively, compared to the three months ended March 31, 2017. The increase in net premiums written is due to the growth of our IIF and increased monthly and single policy production, partially offset by increased cessions under the QSR Transactions tied to the growth of our direct premium volume. The increase in net premiums earned is primarily due to the growth in our IIF, increased monthly and single policy production, and higher earnings from cancellations, partially offset by increased cessions under the QSR Transactions tied to the growth of our direct premium volume and the inception of the 2017 ILN Transaction in May 2017. Pool premiums written and earned for the three months ended March 31, 2018 and 2017, were $0.9 million and $1.0 million, respectively, before the effects of the 2016 QSR Transaction, under which all of our written and earned pool premiums have been ceded.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 and for the periods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ind w:left="40"/>
              <w:spacing w:after="0"/>
              <w:rPr>
                <w:sz w:val="20"/>
                <w:szCs w:val="20"/>
                <w:color w:val="auto"/>
              </w:rPr>
            </w:pPr>
            <w:r>
              <w:rPr>
                <w:rFonts w:ascii="Arial" w:cs="Arial" w:eastAsia="Arial" w:hAnsi="Arial"/>
                <w:sz w:val="14"/>
                <w:szCs w:val="14"/>
                <w:b w:val="1"/>
                <w:bCs w:val="1"/>
                <w:color w:val="auto"/>
              </w:rPr>
              <w:t>Primary portfolio trends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5"/>
          </w:tcPr>
          <w:p>
            <w:pPr>
              <w:jc w:val="center"/>
              <w:ind w:right="31"/>
              <w:spacing w:after="0"/>
              <w:rPr>
                <w:sz w:val="20"/>
                <w:szCs w:val="20"/>
                <w:color w:val="auto"/>
              </w:rPr>
            </w:pPr>
            <w:r>
              <w:rPr>
                <w:rFonts w:ascii="Arial" w:cs="Arial" w:eastAsia="Arial" w:hAnsi="Arial"/>
                <w:sz w:val="14"/>
                <w:szCs w:val="14"/>
                <w:b w:val="1"/>
                <w:bCs w:val="1"/>
                <w:color w:val="auto"/>
                <w:w w:val="91"/>
              </w:rPr>
              <w:t>As of and for the three months ended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76"/>
        </w:trPr>
        <w:tc>
          <w:tcPr>
            <w:tcW w:w="3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March 31, 2018</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1"/>
              </w:rPr>
              <w:t>September 30, 2017</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6"/>
              </w:rPr>
              <w:t>June 30, 2017</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March 31, 2017</w:t>
            </w:r>
          </w:p>
        </w:tc>
      </w:tr>
      <w:tr>
        <w:trPr>
          <w:trHeight w:val="250"/>
        </w:trPr>
        <w:tc>
          <w:tcPr>
            <w:tcW w:w="3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center"/>
              <w:ind w:right="32"/>
              <w:spacing w:after="0"/>
              <w:rPr>
                <w:sz w:val="20"/>
                <w:szCs w:val="20"/>
                <w:color w:val="auto"/>
              </w:rPr>
            </w:pPr>
            <w:r>
              <w:rPr>
                <w:rFonts w:ascii="Arial" w:cs="Arial" w:eastAsia="Arial" w:hAnsi="Arial"/>
                <w:sz w:val="14"/>
                <w:szCs w:val="14"/>
                <w:i w:val="1"/>
                <w:iCs w:val="1"/>
                <w:color w:val="auto"/>
              </w:rPr>
              <w:t>($ In Millions)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insurance written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6,460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6,876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6,115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5,037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3,559</w:t>
            </w:r>
          </w:p>
        </w:tc>
      </w:tr>
      <w:tr>
        <w:trPr>
          <w:trHeight w:val="243"/>
        </w:trPr>
        <w:tc>
          <w:tcPr>
            <w:tcW w:w="3920" w:type="dxa"/>
            <w:vAlign w:val="bottom"/>
          </w:tcPr>
          <w:p>
            <w:pPr>
              <w:ind w:left="720"/>
              <w:spacing w:after="0"/>
              <w:rPr>
                <w:sz w:val="20"/>
                <w:szCs w:val="20"/>
                <w:color w:val="auto"/>
              </w:rPr>
            </w:pPr>
            <w:r>
              <w:rPr>
                <w:rFonts w:ascii="Arial" w:cs="Arial" w:eastAsia="Arial" w:hAnsi="Arial"/>
                <w:sz w:val="18"/>
                <w:szCs w:val="18"/>
                <w:color w:val="auto"/>
              </w:rPr>
              <w:t>Percentage of monthly premium</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Percentage of single premium</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New risk written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1,580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1,665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1,496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1,242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868</w:t>
            </w: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9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Insurance in force (IIF)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53,434</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48,465</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43,259</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38,629</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34,779</w:t>
            </w:r>
          </w:p>
        </w:tc>
      </w:tr>
      <w:tr>
        <w:trPr>
          <w:trHeight w:val="243"/>
        </w:trPr>
        <w:tc>
          <w:tcPr>
            <w:tcW w:w="3920" w:type="dxa"/>
            <w:vAlign w:val="bottom"/>
          </w:tcPr>
          <w:p>
            <w:pPr>
              <w:ind w:left="720"/>
              <w:spacing w:after="0"/>
              <w:rPr>
                <w:sz w:val="20"/>
                <w:szCs w:val="20"/>
                <w:color w:val="auto"/>
              </w:rPr>
            </w:pPr>
            <w:r>
              <w:rPr>
                <w:rFonts w:ascii="Arial" w:cs="Arial" w:eastAsia="Arial" w:hAnsi="Arial"/>
                <w:sz w:val="18"/>
                <w:szCs w:val="18"/>
                <w:color w:val="auto"/>
              </w:rPr>
              <w:t>Percentage of monthly premium</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Percentage of single premium</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39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13,085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11,843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10,572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9,417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8,444</w:t>
            </w:r>
          </w:p>
        </w:tc>
      </w:tr>
      <w:tr>
        <w:trPr>
          <w:trHeight w:val="270"/>
        </w:trPr>
        <w:tc>
          <w:tcPr>
            <w:tcW w:w="39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223,263</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202,351</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180,089</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161,195</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145,632</w:t>
            </w:r>
          </w:p>
        </w:tc>
      </w:tr>
      <w:tr>
        <w:trPr>
          <w:trHeight w:val="270"/>
        </w:trPr>
        <w:tc>
          <w:tcPr>
            <w:tcW w:w="39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0.239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0.240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0.240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0.240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0.239</w:t>
            </w:r>
          </w:p>
        </w:tc>
      </w:tr>
      <w:tr>
        <w:trPr>
          <w:trHeight w:val="270"/>
        </w:trPr>
        <w:tc>
          <w:tcPr>
            <w:tcW w:w="39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Average coverage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Loans in default (count)</w:t>
            </w:r>
          </w:p>
        </w:tc>
        <w:tc>
          <w:tcPr>
            <w:tcW w:w="1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928</w:t>
            </w:r>
          </w:p>
        </w:tc>
        <w:tc>
          <w:tcPr>
            <w:tcW w:w="18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207</w:t>
            </w: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Percentage of loans in default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Risk in force on defaulted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57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12</w:t>
            </w: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9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Average premium yield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Earnings from cancellations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2.5</w:t>
            </w: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9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341"/>
        </w:trPr>
        <w:tc>
          <w:tcPr>
            <w:tcW w:w="3920" w:type="dxa"/>
            <w:vAlign w:val="bottom"/>
          </w:tcPr>
          <w:p>
            <w:pPr>
              <w:ind w:left="280"/>
              <w:spacing w:after="0"/>
              <w:rPr>
                <w:sz w:val="20"/>
                <w:szCs w:val="20"/>
                <w:color w:val="auto"/>
              </w:rPr>
            </w:pPr>
            <w:r>
              <w:rPr>
                <w:rFonts w:ascii="Arial" w:cs="Arial" w:eastAsia="Arial" w:hAnsi="Arial"/>
                <w:sz w:val="18"/>
                <w:szCs w:val="18"/>
                <w:color w:val="auto"/>
              </w:rPr>
              <w:t xml:space="preserve">Quarterly run-off </w:t>
            </w:r>
            <w:r>
              <w:rPr>
                <w:rFonts w:ascii="Arial" w:cs="Arial" w:eastAsia="Arial" w:hAnsi="Arial"/>
                <w:sz w:val="25"/>
                <w:szCs w:val="25"/>
                <w:color w:val="auto"/>
                <w:vertAlign w:val="superscript"/>
              </w:rPr>
              <w:t>(5)</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72" w:lineRule="exact"/>
        <w:rPr>
          <w:sz w:val="20"/>
          <w:szCs w:val="20"/>
          <w:color w:val="auto"/>
        </w:rPr>
      </w:pPr>
    </w:p>
    <w:p>
      <w:pPr>
        <w:ind w:left="820" w:hanging="488"/>
        <w:spacing w:after="0"/>
        <w:tabs>
          <w:tab w:leader="none" w:pos="820" w:val="left"/>
        </w:tabs>
        <w:numPr>
          <w:ilvl w:val="0"/>
          <w:numId w:val="12"/>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12"/>
        </w:numPr>
        <w:rPr>
          <w:rFonts w:ascii="Arial" w:cs="Arial" w:eastAsia="Arial" w:hAnsi="Arial"/>
          <w:sz w:val="9"/>
          <w:szCs w:val="9"/>
          <w:color w:val="auto"/>
        </w:rPr>
      </w:pPr>
      <w:r>
        <w:rPr>
          <w:rFonts w:ascii="Arial" w:cs="Arial" w:eastAsia="Arial" w:hAnsi="Arial"/>
          <w:sz w:val="14"/>
          <w:szCs w:val="14"/>
          <w:color w:val="auto"/>
        </w:rPr>
        <w:t>Calculated as end of period RIF divided by IIF.</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12"/>
        </w:numPr>
        <w:rPr>
          <w:rFonts w:ascii="Arial" w:cs="Arial" w:eastAsia="Arial" w:hAnsi="Arial"/>
          <w:sz w:val="9"/>
          <w:szCs w:val="9"/>
          <w:color w:val="auto"/>
        </w:rPr>
      </w:pPr>
      <w:r>
        <w:rPr>
          <w:rFonts w:ascii="Arial" w:cs="Arial" w:eastAsia="Arial" w:hAnsi="Arial"/>
          <w:sz w:val="14"/>
          <w:szCs w:val="14"/>
          <w:color w:val="auto"/>
        </w:rPr>
        <w:t>Calculated as net primary and pool premiums earned, net of reinsurance, divided by average gross primary IIF for the period, annualized.</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12"/>
        </w:numPr>
        <w:rPr>
          <w:rFonts w:ascii="Arial" w:cs="Arial" w:eastAsia="Arial" w:hAnsi="Arial"/>
          <w:sz w:val="9"/>
          <w:szCs w:val="9"/>
          <w:color w:val="auto"/>
        </w:rPr>
      </w:pPr>
      <w:r>
        <w:rPr>
          <w:rFonts w:ascii="Arial" w:cs="Arial" w:eastAsia="Arial" w:hAnsi="Arial"/>
          <w:sz w:val="14"/>
          <w:szCs w:val="14"/>
          <w:color w:val="auto"/>
        </w:rPr>
        <w:t>Defined as the percentage of IIF that remains on our books after any 12-month period.</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12"/>
        </w:numPr>
        <w:rPr>
          <w:rFonts w:ascii="Arial" w:cs="Arial" w:eastAsia="Arial" w:hAnsi="Arial"/>
          <w:sz w:val="9"/>
          <w:szCs w:val="9"/>
          <w:color w:val="auto"/>
        </w:rPr>
      </w:pPr>
      <w:r>
        <w:rPr>
          <w:rFonts w:ascii="Arial" w:cs="Arial" w:eastAsia="Arial" w:hAnsi="Arial"/>
          <w:sz w:val="14"/>
          <w:szCs w:val="14"/>
          <w:color w:val="auto"/>
        </w:rPr>
        <w:t>Defined as the percentage of IIF that is no longer on our books after any 3-month period.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The table below presents a summary of the change in total primary IIF during the periods indicated.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Primary IIF</w:t>
            </w: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March 31, 2017</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3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48,465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32,168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NIW</w:t>
            </w:r>
          </w:p>
        </w:tc>
        <w:tc>
          <w:tcPr>
            <w:tcW w:w="240" w:type="dxa"/>
            <w:vAlign w:val="bottom"/>
          </w:tcPr>
          <w:p>
            <w:pPr>
              <w:spacing w:after="0"/>
              <w:rPr>
                <w:sz w:val="21"/>
                <w:szCs w:val="21"/>
                <w:color w:val="auto"/>
              </w:rPr>
            </w:pPr>
          </w:p>
        </w:tc>
        <w:tc>
          <w:tcPr>
            <w:tcW w:w="1480" w:type="dxa"/>
            <w:vAlign w:val="bottom"/>
          </w:tcPr>
          <w:p>
            <w:pPr>
              <w:jc w:val="right"/>
              <w:ind w:right="38"/>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3,559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 and other reductions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53,434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34,779</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Primary IIF and RIF</w:t>
            </w:r>
          </w:p>
        </w:tc>
        <w:tc>
          <w:tcPr>
            <w:tcW w:w="10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 2018</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 2017</w:t>
            </w:r>
          </w:p>
        </w:tc>
        <w:tc>
          <w:tcPr>
            <w:tcW w:w="96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RIF</w:t>
            </w: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7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RIF</w:t>
            </w:r>
          </w:p>
        </w:tc>
      </w:tr>
      <w:tr>
        <w:trPr>
          <w:trHeight w:val="250"/>
        </w:trPr>
        <w:tc>
          <w:tcPr>
            <w:tcW w:w="4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6,427</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2017</w:t>
            </w:r>
          </w:p>
        </w:tc>
        <w:tc>
          <w:tcPr>
            <w:tcW w:w="108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20,272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865</w:t>
            </w: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17,497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19,774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2015</w:t>
            </w:r>
          </w:p>
        </w:tc>
        <w:tc>
          <w:tcPr>
            <w:tcW w:w="108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7,913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9,681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2,384</w:t>
            </w: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2013</w:t>
            </w:r>
          </w:p>
        </w:tc>
        <w:tc>
          <w:tcPr>
            <w:tcW w:w="10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53,434</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13,085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34,779</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8,444</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utilize certain risk principles that form the basis of how we underwrite and originate primary NIW. We manage our portfolio credit risk by using several loan eligibility matrices which prescribe the maximum LTV, minimum borrower credit score, maximum borrower debt-to-income ratio, maximum loan size, property type, loan type, loan term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29" w:name="page30"/>
    <w:bookmarkEnd w:id="29"/>
    <w:p>
      <w:pPr>
        <w:ind w:firstLine="648"/>
        <w:spacing w:after="0" w:line="277"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Primary NIW by FICO</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813"/>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7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80" w:type="dxa"/>
            <w:vAlign w:val="bottom"/>
            <w:gridSpan w:val="6"/>
          </w:tcPr>
          <w:p>
            <w:pPr>
              <w:jc w:val="right"/>
              <w:ind w:right="1173"/>
              <w:spacing w:after="0"/>
              <w:rPr>
                <w:sz w:val="20"/>
                <w:szCs w:val="20"/>
                <w:color w:val="auto"/>
              </w:rPr>
            </w:pPr>
            <w:r>
              <w:rPr>
                <w:rFonts w:ascii="Arial" w:cs="Arial" w:eastAsia="Arial" w:hAnsi="Arial"/>
                <w:sz w:val="14"/>
                <w:szCs w:val="14"/>
                <w:i w:val="1"/>
                <w:iCs w:val="1"/>
                <w:color w:val="auto"/>
              </w:rPr>
              <w:t>($ In Millions)</w:t>
            </w:r>
          </w:p>
        </w:tc>
      </w:tr>
      <w:tr>
        <w:trPr>
          <w:trHeight w:val="256"/>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2,619</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1,683</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740-759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551</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700-719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396</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&lt;=679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209</w:t>
            </w: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3,559</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Weighted average FICO</w:t>
            </w:r>
          </w:p>
        </w:tc>
        <w:tc>
          <w:tcPr>
            <w:tcW w:w="24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749</w:t>
            </w:r>
          </w:p>
        </w:tc>
      </w:tr>
      <w:tr>
        <w:trPr>
          <w:trHeight w:val="20"/>
        </w:trPr>
        <w:tc>
          <w:tcPr>
            <w:tcW w:w="7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481"/>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Primary NIW by LTV</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right"/>
              <w:ind w:right="933"/>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76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80" w:type="dxa"/>
            <w:vAlign w:val="bottom"/>
            <w:gridSpan w:val="6"/>
          </w:tcPr>
          <w:p>
            <w:pPr>
              <w:jc w:val="center"/>
              <w:ind w:right="133"/>
              <w:spacing w:after="0"/>
              <w:rPr>
                <w:sz w:val="20"/>
                <w:szCs w:val="20"/>
                <w:color w:val="auto"/>
              </w:rPr>
            </w:pPr>
            <w:r>
              <w:rPr>
                <w:rFonts w:ascii="Arial" w:cs="Arial" w:eastAsia="Arial" w:hAnsi="Arial"/>
                <w:sz w:val="14"/>
                <w:szCs w:val="14"/>
                <w:i w:val="1"/>
                <w:iCs w:val="1"/>
                <w:color w:val="auto"/>
              </w:rPr>
              <w:t>($ In Millions)</w:t>
            </w:r>
          </w:p>
        </w:tc>
      </w:tr>
      <w:tr>
        <w:trPr>
          <w:trHeight w:val="256"/>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274</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6"/>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1,612</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1,101</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6"/>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572</w:t>
            </w: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6,460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3,559</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Weighted average LTV</w:t>
            </w:r>
          </w:p>
        </w:tc>
        <w:tc>
          <w:tcPr>
            <w:tcW w:w="2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gridSpan w:val="4"/>
          </w:tcPr>
          <w:p>
            <w:pPr>
              <w:spacing w:after="0" w:line="20" w:lineRule="exact"/>
              <w:rPr>
                <w:sz w:val="1"/>
                <w:szCs w:val="1"/>
                <w:color w:val="auto"/>
              </w:rPr>
            </w:pPr>
          </w:p>
        </w:tc>
      </w:tr>
      <w:tr>
        <w:trPr>
          <w:trHeight w:val="481"/>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Primary NIW by purchase/refinance mix</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right"/>
              <w:ind w:right="813"/>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7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80" w:type="dxa"/>
            <w:vAlign w:val="bottom"/>
            <w:gridSpan w:val="6"/>
          </w:tcPr>
          <w:p>
            <w:pPr>
              <w:jc w:val="right"/>
              <w:ind w:right="1233"/>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w:t>
            </w: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5,425</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2,984</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Refinance</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575</w:t>
            </w: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6,460</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3,559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our total primary IIF and RIF by FICO and LTV and total primary RIF by loan type as of the dates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Primary IIF by FICO</w:t>
            </w: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55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2018</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2017</w:t>
            </w:r>
          </w:p>
        </w:tc>
        <w:tc>
          <w:tcPr>
            <w:tcW w:w="720" w:type="dxa"/>
            <w:vAlign w:val="bottom"/>
            <w:tcBorders>
              <w:bottom w:val="single" w:sz="8" w:color="auto"/>
            </w:tcBorders>
          </w:tcPr>
          <w:p>
            <w:pPr>
              <w:spacing w:after="0"/>
              <w:rPr>
                <w:sz w:val="22"/>
                <w:szCs w:val="22"/>
                <w:color w:val="auto"/>
              </w:rPr>
            </w:pPr>
          </w:p>
        </w:tc>
      </w:tr>
      <w:tr>
        <w:trPr>
          <w:trHeight w:val="250"/>
        </w:trPr>
        <w:tc>
          <w:tcPr>
            <w:tcW w:w="5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2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 In Millions)</w:t>
            </w:r>
          </w:p>
        </w:tc>
        <w:tc>
          <w:tcPr>
            <w:tcW w:w="15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25,371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17,408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740-759</w:t>
            </w:r>
          </w:p>
        </w:tc>
        <w:tc>
          <w:tcPr>
            <w:tcW w:w="520" w:type="dxa"/>
            <w:vAlign w:val="bottom"/>
          </w:tcPr>
          <w:p>
            <w:pPr>
              <w:spacing w:after="0"/>
              <w:rPr>
                <w:sz w:val="21"/>
                <w:szCs w:val="21"/>
                <w:color w:val="auto"/>
              </w:rPr>
            </w:pPr>
          </w:p>
        </w:tc>
        <w:tc>
          <w:tcPr>
            <w:tcW w:w="1660" w:type="dxa"/>
            <w:vAlign w:val="bottom"/>
          </w:tcPr>
          <w:p>
            <w:pPr>
              <w:jc w:val="right"/>
              <w:ind w:right="832"/>
              <w:spacing w:after="0"/>
              <w:rPr>
                <w:sz w:val="20"/>
                <w:szCs w:val="20"/>
                <w:color w:val="auto"/>
              </w:rPr>
            </w:pPr>
            <w:r>
              <w:rPr>
                <w:rFonts w:ascii="Arial" w:cs="Arial" w:eastAsia="Arial" w:hAnsi="Arial"/>
                <w:sz w:val="18"/>
                <w:szCs w:val="18"/>
                <w:color w:val="auto"/>
              </w:rPr>
              <w:t>8,635</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80" w:type="dxa"/>
            <w:vAlign w:val="bottom"/>
          </w:tcPr>
          <w:p>
            <w:pPr>
              <w:jc w:val="right"/>
              <w:ind w:right="832"/>
              <w:spacing w:after="0"/>
              <w:rPr>
                <w:sz w:val="20"/>
                <w:szCs w:val="20"/>
                <w:color w:val="auto"/>
              </w:rPr>
            </w:pPr>
            <w:r>
              <w:rPr>
                <w:rFonts w:ascii="Arial" w:cs="Arial" w:eastAsia="Arial" w:hAnsi="Arial"/>
                <w:sz w:val="18"/>
                <w:szCs w:val="18"/>
                <w:color w:val="auto"/>
              </w:rPr>
              <w:t>5,658</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6,981</w:t>
            </w:r>
          </w:p>
        </w:tc>
        <w:tc>
          <w:tcPr>
            <w:tcW w:w="7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4,460</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700-719</w:t>
            </w:r>
          </w:p>
        </w:tc>
        <w:tc>
          <w:tcPr>
            <w:tcW w:w="520" w:type="dxa"/>
            <w:vAlign w:val="bottom"/>
          </w:tcPr>
          <w:p>
            <w:pPr>
              <w:spacing w:after="0"/>
              <w:rPr>
                <w:sz w:val="21"/>
                <w:szCs w:val="21"/>
                <w:color w:val="auto"/>
              </w:rPr>
            </w:pPr>
          </w:p>
        </w:tc>
        <w:tc>
          <w:tcPr>
            <w:tcW w:w="1660" w:type="dxa"/>
            <w:vAlign w:val="bottom"/>
          </w:tcPr>
          <w:p>
            <w:pPr>
              <w:jc w:val="right"/>
              <w:ind w:right="832"/>
              <w:spacing w:after="0"/>
              <w:rPr>
                <w:sz w:val="20"/>
                <w:szCs w:val="20"/>
                <w:color w:val="auto"/>
              </w:rPr>
            </w:pPr>
            <w:r>
              <w:rPr>
                <w:rFonts w:ascii="Arial" w:cs="Arial" w:eastAsia="Arial" w:hAnsi="Arial"/>
                <w:sz w:val="18"/>
                <w:szCs w:val="18"/>
                <w:color w:val="auto"/>
              </w:rPr>
              <w:t>5,814</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80" w:type="dxa"/>
            <w:vAlign w:val="bottom"/>
          </w:tcPr>
          <w:p>
            <w:pPr>
              <w:jc w:val="right"/>
              <w:ind w:right="832"/>
              <w:spacing w:after="0"/>
              <w:rPr>
                <w:sz w:val="20"/>
                <w:szCs w:val="20"/>
                <w:color w:val="auto"/>
              </w:rPr>
            </w:pPr>
            <w:r>
              <w:rPr>
                <w:rFonts w:ascii="Arial" w:cs="Arial" w:eastAsia="Arial" w:hAnsi="Arial"/>
                <w:sz w:val="18"/>
                <w:szCs w:val="18"/>
                <w:color w:val="auto"/>
              </w:rPr>
              <w:t>3,533</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3,852</w:t>
            </w:r>
          </w:p>
        </w:tc>
        <w:tc>
          <w:tcPr>
            <w:tcW w:w="7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2,336</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&lt;=679</w:t>
            </w:r>
          </w:p>
        </w:tc>
        <w:tc>
          <w:tcPr>
            <w:tcW w:w="520" w:type="dxa"/>
            <w:vAlign w:val="bottom"/>
          </w:tcPr>
          <w:p>
            <w:pPr>
              <w:spacing w:after="0"/>
              <w:rPr>
                <w:sz w:val="21"/>
                <w:szCs w:val="21"/>
                <w:color w:val="auto"/>
              </w:rPr>
            </w:pPr>
          </w:p>
        </w:tc>
        <w:tc>
          <w:tcPr>
            <w:tcW w:w="1660" w:type="dxa"/>
            <w:vAlign w:val="bottom"/>
          </w:tcPr>
          <w:p>
            <w:pPr>
              <w:jc w:val="right"/>
              <w:ind w:right="832"/>
              <w:spacing w:after="0"/>
              <w:rPr>
                <w:sz w:val="20"/>
                <w:szCs w:val="20"/>
                <w:color w:val="auto"/>
              </w:rPr>
            </w:pPr>
            <w:r>
              <w:rPr>
                <w:rFonts w:ascii="Arial" w:cs="Arial" w:eastAsia="Arial" w:hAnsi="Arial"/>
                <w:sz w:val="18"/>
                <w:szCs w:val="18"/>
                <w:color w:val="auto"/>
              </w:rPr>
              <w:t>2,781</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80" w:type="dxa"/>
            <w:vAlign w:val="bottom"/>
          </w:tcPr>
          <w:p>
            <w:pPr>
              <w:jc w:val="right"/>
              <w:ind w:right="832"/>
              <w:spacing w:after="0"/>
              <w:rPr>
                <w:sz w:val="20"/>
                <w:szCs w:val="20"/>
                <w:color w:val="auto"/>
              </w:rPr>
            </w:pPr>
            <w:r>
              <w:rPr>
                <w:rFonts w:ascii="Arial" w:cs="Arial" w:eastAsia="Arial" w:hAnsi="Arial"/>
                <w:sz w:val="18"/>
                <w:szCs w:val="18"/>
                <w:color w:val="auto"/>
              </w:rPr>
              <w:t>1,384</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5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rPr>
              <w:t>53,434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rPr>
              <w:t>34,779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08"/>
        </w:trPr>
        <w:tc>
          <w:tcPr>
            <w:tcW w:w="552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Primary RIF by FICO</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As of</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March 31, 2018</w:t>
            </w: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40" w:type="dxa"/>
            <w:vAlign w:val="bottom"/>
            <w:gridSpan w:val="5"/>
          </w:tcPr>
          <w:p>
            <w:pPr>
              <w:jc w:val="right"/>
              <w:spacing w:after="0"/>
              <w:rPr>
                <w:sz w:val="20"/>
                <w:szCs w:val="20"/>
                <w:color w:val="auto"/>
              </w:rPr>
            </w:pPr>
            <w:r>
              <w:rPr>
                <w:rFonts w:ascii="Arial" w:cs="Arial" w:eastAsia="Arial" w:hAnsi="Arial"/>
                <w:sz w:val="14"/>
                <w:szCs w:val="14"/>
                <w:i w:val="1"/>
                <w:iCs w:val="1"/>
                <w:color w:val="auto"/>
              </w:rPr>
              <w:t>($ In Millions)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4,253</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95"/>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95"/>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&lt;=679</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95"/>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13,085</w:t>
            </w: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8,444</w:t>
            </w: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1"/>
        </w:trPr>
        <w:tc>
          <w:tcPr>
            <w:tcW w:w="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4"/>
                <w:szCs w:val="14"/>
                <w:b w:val="1"/>
                <w:bCs w:val="1"/>
                <w:color w:val="auto"/>
              </w:rPr>
              <w:t>As of</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40" w:type="dxa"/>
            <w:vAlign w:val="bottom"/>
            <w:gridSpan w:val="3"/>
          </w:tcPr>
          <w:p>
            <w:pPr>
              <w:ind w:left="440"/>
              <w:spacing w:after="0"/>
              <w:rPr>
                <w:sz w:val="20"/>
                <w:szCs w:val="20"/>
                <w:color w:val="auto"/>
              </w:rPr>
            </w:pPr>
            <w:r>
              <w:rPr>
                <w:rFonts w:ascii="Arial" w:cs="Arial" w:eastAsia="Arial" w:hAnsi="Arial"/>
                <w:sz w:val="14"/>
                <w:szCs w:val="14"/>
                <w:b w:val="1"/>
                <w:bCs w:val="1"/>
                <w:color w:val="auto"/>
              </w:rPr>
              <w:t>March 31, 2018</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0" w:type="dxa"/>
            <w:vAlign w:val="bottom"/>
            <w:gridSpan w:val="6"/>
          </w:tcPr>
          <w:p>
            <w:pPr>
              <w:ind w:left="460"/>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i w:val="1"/>
                <w:iCs w:val="1"/>
                <w:color w:val="auto"/>
              </w:rPr>
              <w:t>($ In Millions)</w:t>
            </w:r>
          </w:p>
        </w:tc>
        <w:tc>
          <w:tcPr>
            <w:tcW w:w="5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5480" w:type="dxa"/>
            <w:vAlign w:val="bottom"/>
            <w:tcBorders>
              <w:bottom w:val="single" w:sz="8" w:color="CCEEFF"/>
            </w:tcBorders>
            <w:gridSpan w:val="2"/>
            <w:shd w:val="clear" w:color="auto" w:fill="CCEEFF"/>
          </w:tcPr>
          <w:p>
            <w:pPr>
              <w:jc w:val="center"/>
              <w:ind w:right="3600"/>
              <w:spacing w:after="0"/>
              <w:rPr>
                <w:sz w:val="20"/>
                <w:szCs w:val="20"/>
                <w:color w:val="auto"/>
              </w:rPr>
            </w:pPr>
            <w:r>
              <w:rPr>
                <w:rFonts w:ascii="Arial" w:cs="Arial" w:eastAsia="Arial" w:hAnsi="Arial"/>
                <w:sz w:val="18"/>
                <w:szCs w:val="18"/>
                <w:color w:val="auto"/>
                <w:w w:val="87"/>
              </w:rPr>
              <w:t>95.01% and above</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4,872</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jc w:val="center"/>
              <w:ind w:right="3580"/>
              <w:spacing w:after="0"/>
              <w:rPr>
                <w:sz w:val="20"/>
                <w:szCs w:val="20"/>
                <w:color w:val="auto"/>
              </w:rPr>
            </w:pPr>
            <w:r>
              <w:rPr>
                <w:rFonts w:ascii="Arial" w:cs="Arial" w:eastAsia="Arial" w:hAnsi="Arial"/>
                <w:sz w:val="18"/>
                <w:szCs w:val="18"/>
                <w:color w:val="auto"/>
                <w:w w:val="91"/>
              </w:rPr>
              <w:t>90.01% to 95.00%</w:t>
            </w:r>
          </w:p>
        </w:tc>
        <w:tc>
          <w:tcPr>
            <w:tcW w:w="5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23,937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5"/>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15,601</w:t>
            </w:r>
          </w:p>
        </w:tc>
        <w:tc>
          <w:tcPr>
            <w:tcW w:w="12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80" w:type="dxa"/>
            <w:vAlign w:val="bottom"/>
            <w:tcBorders>
              <w:bottom w:val="single" w:sz="8" w:color="CCEEFF"/>
            </w:tcBorders>
            <w:gridSpan w:val="2"/>
            <w:shd w:val="clear" w:color="auto" w:fill="CCEEFF"/>
          </w:tcPr>
          <w:p>
            <w:pPr>
              <w:jc w:val="center"/>
              <w:ind w:right="3580"/>
              <w:spacing w:after="0"/>
              <w:rPr>
                <w:sz w:val="20"/>
                <w:szCs w:val="20"/>
                <w:color w:val="auto"/>
              </w:rPr>
            </w:pPr>
            <w:r>
              <w:rPr>
                <w:rFonts w:ascii="Arial" w:cs="Arial" w:eastAsia="Arial" w:hAnsi="Arial"/>
                <w:sz w:val="18"/>
                <w:szCs w:val="18"/>
                <w:color w:val="auto"/>
                <w:w w:val="91"/>
              </w:rPr>
              <w:t>85.01% to 90.00%</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16,034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11,058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jc w:val="center"/>
              <w:ind w:right="3580"/>
              <w:spacing w:after="0"/>
              <w:rPr>
                <w:sz w:val="20"/>
                <w:szCs w:val="20"/>
                <w:color w:val="auto"/>
              </w:rPr>
            </w:pPr>
            <w:r>
              <w:rPr>
                <w:rFonts w:ascii="Arial" w:cs="Arial" w:eastAsia="Arial" w:hAnsi="Arial"/>
                <w:sz w:val="18"/>
                <w:szCs w:val="18"/>
                <w:color w:val="auto"/>
                <w:w w:val="90"/>
              </w:rPr>
              <w:t>85.00% and below</w:t>
            </w:r>
          </w:p>
        </w:tc>
        <w:tc>
          <w:tcPr>
            <w:tcW w:w="5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8,591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5"/>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6,189</w:t>
            </w:r>
          </w:p>
        </w:tc>
        <w:tc>
          <w:tcPr>
            <w:tcW w:w="12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53,434</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34,779</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1"/>
        </w:trPr>
        <w:tc>
          <w:tcPr>
            <w:tcW w:w="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4"/>
                <w:szCs w:val="14"/>
                <w:b w:val="1"/>
                <w:bCs w:val="1"/>
                <w:color w:val="auto"/>
              </w:rPr>
              <w:t>As of</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40" w:type="dxa"/>
            <w:vAlign w:val="bottom"/>
            <w:gridSpan w:val="3"/>
          </w:tcPr>
          <w:p>
            <w:pPr>
              <w:ind w:left="440"/>
              <w:spacing w:after="0"/>
              <w:rPr>
                <w:sz w:val="20"/>
                <w:szCs w:val="20"/>
                <w:color w:val="auto"/>
              </w:rPr>
            </w:pPr>
            <w:r>
              <w:rPr>
                <w:rFonts w:ascii="Arial" w:cs="Arial" w:eastAsia="Arial" w:hAnsi="Arial"/>
                <w:sz w:val="14"/>
                <w:szCs w:val="14"/>
                <w:b w:val="1"/>
                <w:bCs w:val="1"/>
                <w:color w:val="auto"/>
              </w:rPr>
              <w:t>March 31, 2018</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0" w:type="dxa"/>
            <w:vAlign w:val="bottom"/>
            <w:gridSpan w:val="6"/>
          </w:tcPr>
          <w:p>
            <w:pPr>
              <w:ind w:left="460"/>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i w:val="1"/>
                <w:iCs w:val="1"/>
                <w:color w:val="auto"/>
              </w:rPr>
              <w:t>($ In Millions)</w:t>
            </w:r>
          </w:p>
        </w:tc>
        <w:tc>
          <w:tcPr>
            <w:tcW w:w="5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5480" w:type="dxa"/>
            <w:vAlign w:val="bottom"/>
            <w:tcBorders>
              <w:bottom w:val="single" w:sz="8" w:color="CCEEFF"/>
            </w:tcBorders>
            <w:gridSpan w:val="2"/>
            <w:shd w:val="clear" w:color="auto" w:fill="CCEEFF"/>
          </w:tcPr>
          <w:p>
            <w:pPr>
              <w:jc w:val="center"/>
              <w:ind w:right="3600"/>
              <w:spacing w:after="0"/>
              <w:rPr>
                <w:sz w:val="20"/>
                <w:szCs w:val="20"/>
                <w:color w:val="auto"/>
              </w:rPr>
            </w:pPr>
            <w:r>
              <w:rPr>
                <w:rFonts w:ascii="Arial" w:cs="Arial" w:eastAsia="Arial" w:hAnsi="Arial"/>
                <w:sz w:val="18"/>
                <w:szCs w:val="18"/>
                <w:color w:val="auto"/>
                <w:w w:val="87"/>
              </w:rPr>
              <w:t>95.01% and above</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jc w:val="center"/>
              <w:ind w:right="3580"/>
              <w:spacing w:after="0"/>
              <w:rPr>
                <w:sz w:val="20"/>
                <w:szCs w:val="20"/>
                <w:color w:val="auto"/>
              </w:rPr>
            </w:pPr>
            <w:r>
              <w:rPr>
                <w:rFonts w:ascii="Arial" w:cs="Arial" w:eastAsia="Arial" w:hAnsi="Arial"/>
                <w:sz w:val="18"/>
                <w:szCs w:val="18"/>
                <w:color w:val="auto"/>
                <w:w w:val="91"/>
              </w:rPr>
              <w:t>90.01% to 95.00%</w:t>
            </w:r>
          </w:p>
        </w:tc>
        <w:tc>
          <w:tcPr>
            <w:tcW w:w="5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6,978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5"/>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4,585</w:t>
            </w:r>
          </w:p>
        </w:tc>
        <w:tc>
          <w:tcPr>
            <w:tcW w:w="12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80" w:type="dxa"/>
            <w:vAlign w:val="bottom"/>
            <w:tcBorders>
              <w:bottom w:val="single" w:sz="8" w:color="CCEEFF"/>
            </w:tcBorders>
            <w:gridSpan w:val="2"/>
            <w:shd w:val="clear" w:color="auto" w:fill="CCEEFF"/>
          </w:tcPr>
          <w:p>
            <w:pPr>
              <w:jc w:val="center"/>
              <w:ind w:right="3580"/>
              <w:spacing w:after="0"/>
              <w:rPr>
                <w:sz w:val="20"/>
                <w:szCs w:val="20"/>
                <w:color w:val="auto"/>
              </w:rPr>
            </w:pPr>
            <w:r>
              <w:rPr>
                <w:rFonts w:ascii="Arial" w:cs="Arial" w:eastAsia="Arial" w:hAnsi="Arial"/>
                <w:sz w:val="18"/>
                <w:szCs w:val="18"/>
                <w:color w:val="auto"/>
                <w:w w:val="91"/>
              </w:rPr>
              <w:t>85.01% to 90.00%</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2,626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jc w:val="center"/>
              <w:ind w:right="3580"/>
              <w:spacing w:after="0"/>
              <w:rPr>
                <w:sz w:val="20"/>
                <w:szCs w:val="20"/>
                <w:color w:val="auto"/>
              </w:rPr>
            </w:pPr>
            <w:r>
              <w:rPr>
                <w:rFonts w:ascii="Arial" w:cs="Arial" w:eastAsia="Arial" w:hAnsi="Arial"/>
                <w:sz w:val="18"/>
                <w:szCs w:val="18"/>
                <w:color w:val="auto"/>
                <w:w w:val="90"/>
              </w:rPr>
              <w:t>85.00% and below</w:t>
            </w:r>
          </w:p>
        </w:tc>
        <w:tc>
          <w:tcPr>
            <w:tcW w:w="5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5"/>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13,085</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8,444</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r>
      <w:tr>
        <w:trPr>
          <w:trHeight w:val="20"/>
        </w:trPr>
        <w:tc>
          <w:tcPr>
            <w:tcW w:w="55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1"/>
        </w:trPr>
        <w:tc>
          <w:tcPr>
            <w:tcW w:w="55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Primary RIF by Loan Type</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0" w:type="dxa"/>
            <w:vAlign w:val="bottom"/>
            <w:gridSpan w:val="9"/>
          </w:tcPr>
          <w:p>
            <w:pPr>
              <w:ind w:left="400"/>
              <w:spacing w:after="0"/>
              <w:rPr>
                <w:sz w:val="20"/>
                <w:szCs w:val="20"/>
                <w:color w:val="auto"/>
              </w:rPr>
            </w:pPr>
            <w:r>
              <w:rPr>
                <w:rFonts w:ascii="Arial" w:cs="Arial" w:eastAsia="Arial" w:hAnsi="Arial"/>
                <w:sz w:val="14"/>
                <w:szCs w:val="14"/>
                <w:b w:val="1"/>
                <w:bCs w:val="1"/>
                <w:color w:val="auto"/>
              </w:rPr>
              <w:t>March 31, 2018</w:t>
            </w: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2017</w:t>
            </w:r>
          </w:p>
        </w:tc>
      </w:tr>
      <w:tr>
        <w:trPr>
          <w:trHeight w:val="324"/>
        </w:trPr>
        <w:tc>
          <w:tcPr>
            <w:tcW w:w="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Fixed</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Adjustable rate mortgages:</w:t>
            </w: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jc w:val="center"/>
              <w:ind w:right="3560"/>
              <w:spacing w:after="0"/>
              <w:rPr>
                <w:sz w:val="20"/>
                <w:szCs w:val="20"/>
                <w:color w:val="auto"/>
              </w:rPr>
            </w:pPr>
            <w:r>
              <w:rPr>
                <w:rFonts w:ascii="Arial" w:cs="Arial" w:eastAsia="Arial" w:hAnsi="Arial"/>
                <w:sz w:val="18"/>
                <w:szCs w:val="18"/>
                <w:color w:val="auto"/>
                <w:w w:val="89"/>
              </w:rPr>
              <w:t>Less than five years</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480" w:type="dxa"/>
            <w:vAlign w:val="bottom"/>
            <w:gridSpan w:val="2"/>
          </w:tcPr>
          <w:p>
            <w:pPr>
              <w:ind w:left="240"/>
              <w:spacing w:after="0"/>
              <w:rPr>
                <w:sz w:val="20"/>
                <w:szCs w:val="20"/>
                <w:color w:val="auto"/>
              </w:rPr>
            </w:pPr>
            <w:r>
              <w:rPr>
                <w:rFonts w:ascii="Arial" w:cs="Arial" w:eastAsia="Arial" w:hAnsi="Arial"/>
                <w:sz w:val="18"/>
                <w:szCs w:val="18"/>
                <w:color w:val="auto"/>
              </w:rPr>
              <w:t>Five years and longer</w:t>
            </w: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r>
      <w:tr>
        <w:trPr>
          <w:trHeight w:val="27"/>
        </w:trPr>
        <w:tc>
          <w:tcPr>
            <w:tcW w:w="5520" w:type="dxa"/>
            <w:vAlign w:val="bottom"/>
            <w:tcBorders>
              <w:bottom w:val="single" w:sz="8" w:color="CCEEFF"/>
            </w:tcBorders>
            <w:gridSpan w:val="3"/>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621"/>
        </w:trPr>
        <w:tc>
          <w:tcPr>
            <w:tcW w:w="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The table below shows selected primary portfolio statistics, by book year, as of March 31,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As of March 31, 2018</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3"/>
                <w:szCs w:val="13"/>
                <w:color w:val="auto"/>
              </w:rPr>
            </w:pPr>
          </w:p>
        </w:tc>
        <w:tc>
          <w:tcPr>
            <w:tcW w:w="92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4"/>
              </w:rPr>
              <w:t>Remaining</w:t>
            </w:r>
          </w:p>
        </w:tc>
        <w:tc>
          <w:tcPr>
            <w:tcW w:w="1280" w:type="dxa"/>
            <w:vAlign w:val="bottom"/>
          </w:tcPr>
          <w:p>
            <w:pPr>
              <w:jc w:val="right"/>
              <w:ind w:right="56"/>
              <w:spacing w:after="0" w:line="153" w:lineRule="exact"/>
              <w:rPr>
                <w:sz w:val="20"/>
                <w:szCs w:val="20"/>
                <w:color w:val="auto"/>
              </w:rPr>
            </w:pPr>
            <w:r>
              <w:rPr>
                <w:rFonts w:ascii="Arial" w:cs="Arial" w:eastAsia="Arial" w:hAnsi="Arial"/>
                <w:sz w:val="14"/>
                <w:szCs w:val="14"/>
                <w:b w:val="1"/>
                <w:bCs w:val="1"/>
                <w:color w:val="auto"/>
              </w:rPr>
              <w:t>% Remaining of</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Policies Ever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7"/>
              </w:rPr>
              <w:t>Number of</w:t>
            </w:r>
          </w:p>
        </w:tc>
        <w:tc>
          <w:tcPr>
            <w:tcW w:w="9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4"/>
              </w:rPr>
              <w:t>Number of</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of Claims</w:t>
            </w: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Incurred Loss</w:t>
            </w:r>
          </w:p>
        </w:tc>
        <w:tc>
          <w:tcPr>
            <w:tcW w:w="12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1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Book year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Insurance</w:t>
            </w:r>
          </w:p>
        </w:tc>
        <w:tc>
          <w:tcPr>
            <w:tcW w:w="120" w:type="dxa"/>
            <w:vAlign w:val="bottom"/>
          </w:tcPr>
          <w:p>
            <w:pPr>
              <w:spacing w:after="0"/>
              <w:rPr>
                <w:sz w:val="12"/>
                <w:szCs w:val="12"/>
                <w:color w:val="auto"/>
              </w:rPr>
            </w:pPr>
          </w:p>
        </w:tc>
        <w:tc>
          <w:tcPr>
            <w:tcW w:w="9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Insurance in</w:t>
            </w:r>
          </w:p>
        </w:tc>
        <w:tc>
          <w:tcPr>
            <w:tcW w:w="128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Original</w:t>
            </w: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Loans in</w:t>
            </w:r>
          </w:p>
        </w:tc>
        <w:tc>
          <w:tcPr>
            <w:tcW w:w="80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Ratio (Inception to</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Written</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Force</w:t>
            </w: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Insurance</w:t>
            </w: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in Force</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4"/>
              </w:rPr>
              <w:t>Force</w:t>
            </w: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Default</w:t>
            </w: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Paid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Date) </w:t>
            </w:r>
            <w:r>
              <w:rPr>
                <w:rFonts w:ascii="Arial" w:cs="Arial" w:eastAsia="Arial" w:hAnsi="Arial"/>
                <w:sz w:val="8"/>
                <w:szCs w:val="8"/>
                <w:b w:val="1"/>
                <w:bCs w:val="1"/>
                <w:color w:val="auto"/>
                <w:w w:val="94"/>
              </w:rPr>
              <w:t>(1)</w:t>
            </w: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 xml:space="preserve">default rate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4"/>
          </w:tcPr>
          <w:p>
            <w:pPr>
              <w:jc w:val="center"/>
              <w:ind w:right="40"/>
              <w:spacing w:after="0"/>
              <w:rPr>
                <w:sz w:val="20"/>
                <w:szCs w:val="20"/>
                <w:color w:val="auto"/>
              </w:rPr>
            </w:pPr>
            <w:r>
              <w:rPr>
                <w:rFonts w:ascii="Arial" w:cs="Arial" w:eastAsia="Arial" w:hAnsi="Arial"/>
                <w:sz w:val="14"/>
                <w:szCs w:val="14"/>
                <w:i w:val="1"/>
                <w:iCs w:val="1"/>
                <w:color w:val="auto"/>
                <w:w w:val="95"/>
              </w:rPr>
              <w:t>($ Values 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1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1,292</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37%</w:t>
            </w:r>
          </w:p>
        </w:tc>
        <w:tc>
          <w:tcPr>
            <w:tcW w:w="940" w:type="dxa"/>
            <w:vAlign w:val="bottom"/>
          </w:tcPr>
          <w:p>
            <w:pPr>
              <w:jc w:val="right"/>
              <w:spacing w:after="0"/>
              <w:rPr>
                <w:sz w:val="20"/>
                <w:szCs w:val="20"/>
                <w:color w:val="auto"/>
              </w:rPr>
            </w:pPr>
            <w:r>
              <w:rPr>
                <w:rFonts w:ascii="Arial" w:cs="Arial" w:eastAsia="Arial" w:hAnsi="Arial"/>
                <w:sz w:val="18"/>
                <w:szCs w:val="18"/>
                <w:color w:val="auto"/>
              </w:rPr>
              <w:t>14,786</w:t>
            </w:r>
          </w:p>
        </w:tc>
        <w:tc>
          <w:tcPr>
            <w:tcW w:w="1180" w:type="dxa"/>
            <w:vAlign w:val="bottom"/>
            <w:gridSpan w:val="3"/>
          </w:tcPr>
          <w:p>
            <w:pPr>
              <w:jc w:val="right"/>
              <w:ind w:right="28"/>
              <w:spacing w:after="0"/>
              <w:rPr>
                <w:sz w:val="20"/>
                <w:szCs w:val="20"/>
                <w:color w:val="auto"/>
              </w:rPr>
            </w:pPr>
            <w:r>
              <w:rPr>
                <w:rFonts w:ascii="Arial" w:cs="Arial" w:eastAsia="Arial" w:hAnsi="Arial"/>
                <w:sz w:val="18"/>
                <w:szCs w:val="18"/>
                <w:color w:val="auto"/>
              </w:rPr>
              <w:t>6,627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3.8%</w:t>
            </w: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7,913</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52,548</w:t>
            </w:r>
          </w:p>
        </w:tc>
        <w:tc>
          <w:tcPr>
            <w:tcW w:w="11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36,383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21,187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17,497</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83%</w:t>
            </w:r>
          </w:p>
        </w:tc>
        <w:tc>
          <w:tcPr>
            <w:tcW w:w="940" w:type="dxa"/>
            <w:vAlign w:val="bottom"/>
          </w:tcPr>
          <w:p>
            <w:pPr>
              <w:jc w:val="right"/>
              <w:spacing w:after="0"/>
              <w:rPr>
                <w:sz w:val="20"/>
                <w:szCs w:val="20"/>
                <w:color w:val="auto"/>
              </w:rPr>
            </w:pPr>
            <w:r>
              <w:rPr>
                <w:rFonts w:ascii="Arial" w:cs="Arial" w:eastAsia="Arial" w:hAnsi="Arial"/>
                <w:sz w:val="18"/>
                <w:szCs w:val="18"/>
                <w:color w:val="auto"/>
              </w:rPr>
              <w:t>83,626</w:t>
            </w:r>
          </w:p>
        </w:tc>
        <w:tc>
          <w:tcPr>
            <w:tcW w:w="1180" w:type="dxa"/>
            <w:vAlign w:val="bottom"/>
            <w:gridSpan w:val="3"/>
          </w:tcPr>
          <w:p>
            <w:pPr>
              <w:jc w:val="right"/>
              <w:ind w:right="28"/>
              <w:spacing w:after="0"/>
              <w:rPr>
                <w:sz w:val="20"/>
                <w:szCs w:val="20"/>
                <w:color w:val="auto"/>
              </w:rPr>
            </w:pPr>
            <w:r>
              <w:rPr>
                <w:rFonts w:ascii="Arial" w:cs="Arial" w:eastAsia="Arial" w:hAnsi="Arial"/>
                <w:sz w:val="18"/>
                <w:szCs w:val="18"/>
                <w:color w:val="auto"/>
              </w:rPr>
              <w:t>72,004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2.4%</w:t>
            </w: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21,583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20,272</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85,900</w:t>
            </w:r>
          </w:p>
        </w:tc>
        <w:tc>
          <w:tcPr>
            <w:tcW w:w="11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82,145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6,427</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99%</w:t>
            </w:r>
          </w:p>
        </w:tc>
        <w:tc>
          <w:tcPr>
            <w:tcW w:w="940" w:type="dxa"/>
            <w:vAlign w:val="bottom"/>
          </w:tcPr>
          <w:p>
            <w:pPr>
              <w:jc w:val="right"/>
              <w:spacing w:after="0"/>
              <w:rPr>
                <w:sz w:val="20"/>
                <w:szCs w:val="20"/>
                <w:color w:val="auto"/>
              </w:rPr>
            </w:pPr>
            <w:r>
              <w:rPr>
                <w:rFonts w:ascii="Arial" w:cs="Arial" w:eastAsia="Arial" w:hAnsi="Arial"/>
                <w:sz w:val="18"/>
                <w:szCs w:val="18"/>
                <w:color w:val="auto"/>
              </w:rPr>
              <w:t>26,026</w:t>
            </w:r>
          </w:p>
        </w:tc>
        <w:tc>
          <w:tcPr>
            <w:tcW w:w="1180" w:type="dxa"/>
            <w:vAlign w:val="bottom"/>
            <w:gridSpan w:val="3"/>
          </w:tcPr>
          <w:p>
            <w:pPr>
              <w:jc w:val="right"/>
              <w:ind w:right="28"/>
              <w:spacing w:after="0"/>
              <w:rPr>
                <w:sz w:val="20"/>
                <w:szCs w:val="20"/>
                <w:color w:val="auto"/>
              </w:rPr>
            </w:pPr>
            <w:r>
              <w:rPr>
                <w:rFonts w:ascii="Arial" w:cs="Arial" w:eastAsia="Arial" w:hAnsi="Arial"/>
                <w:sz w:val="18"/>
                <w:szCs w:val="18"/>
                <w:color w:val="auto"/>
              </w:rPr>
              <w:t>25,927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0.5%</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65,265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53,434</w:t>
            </w:r>
          </w:p>
        </w:tc>
        <w:tc>
          <w:tcPr>
            <w:tcW w:w="1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263,541</w:t>
            </w:r>
          </w:p>
        </w:tc>
        <w:tc>
          <w:tcPr>
            <w:tcW w:w="11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223,263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4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20" w:hanging="488"/>
        <w:spacing w:after="0"/>
        <w:tabs>
          <w:tab w:leader="none" w:pos="820"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ratio of total claims incurred (paid and reserved) divided by cumulative premiums earned, net of reinsurance.</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sum of the number of claims paid ever to date and number of loans in default as of the end of the period divided by policies ever in force.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shows the distribution by state of our primary RIF as of the periods indicated. As of March 31, 2018, our RIF continues to be relatively more concentrated in California, primarily as a result of the size of the California mortgage market relative to the rest of the country and the location and timing of our acquisition of new customers. The distribution of risk as of March 31, 2018 is not necessarily representative of the geographic distribution we expect in the future.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Top 10 primary RIF by state</w:t>
            </w:r>
          </w:p>
        </w:tc>
        <w:tc>
          <w:tcPr>
            <w:tcW w:w="214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140" w:type="dxa"/>
            <w:vAlign w:val="bottom"/>
            <w:gridSpan w:val="3"/>
          </w:tcPr>
          <w:p>
            <w:pPr>
              <w:ind w:left="400"/>
              <w:spacing w:after="0"/>
              <w:rPr>
                <w:sz w:val="20"/>
                <w:szCs w:val="20"/>
                <w:color w:val="auto"/>
              </w:rPr>
            </w:pPr>
            <w:r>
              <w:rPr>
                <w:rFonts w:ascii="Arial" w:cs="Arial" w:eastAsia="Arial" w:hAnsi="Arial"/>
                <w:sz w:val="14"/>
                <w:szCs w:val="14"/>
                <w:b w:val="1"/>
                <w:bCs w:val="1"/>
                <w:color w:val="auto"/>
              </w:rPr>
              <w:t>March 31, 2018</w:t>
            </w:r>
          </w:p>
        </w:tc>
        <w:tc>
          <w:tcPr>
            <w:tcW w:w="1500" w:type="dxa"/>
            <w:vAlign w:val="bottom"/>
          </w:tcPr>
          <w:p>
            <w:pPr>
              <w:jc w:val="right"/>
              <w:ind w:right="311"/>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Texas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7.2</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Virginia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Arizona</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4.1</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Michigan</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3.7</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Pennsylvania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Colorado</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3.9</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Utah</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3.6</w:t>
            </w:r>
          </w:p>
        </w:tc>
      </w:tr>
      <w:tr>
        <w:trPr>
          <w:trHeight w:val="27"/>
        </w:trPr>
        <w:tc>
          <w:tcPr>
            <w:tcW w:w="77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0"/>
        </w:trPr>
        <w:tc>
          <w:tcPr>
            <w:tcW w:w="77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Insurance claims and claim expenses incurred represent estimated future payments on newly defaulted insured loans and any change in our claim estimates for previously existing defaults. Claims incurred is generally affected by a variety of factors, including the state of the economy, changes in housing values, loan and borrower level risk characteristics, the size of loans insured and the percentage of coverage on insured loans.</w:t>
      </w:r>
    </w:p>
    <w:p>
      <w:pPr>
        <w:spacing w:after="0" w:line="1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Reserves for claims and allocated claim expenses are established for mortgage loan defaults, which we refer to as case reserves, when we are notified that a borrower has missed two or more mortgage payments (</w:t>
      </w:r>
      <w:r>
        <w:rPr>
          <w:rFonts w:ascii="Arial" w:cs="Arial" w:eastAsia="Arial" w:hAnsi="Arial"/>
          <w:sz w:val="17"/>
          <w:szCs w:val="17"/>
          <w:i w:val="1"/>
          <w:iCs w:val="1"/>
          <w:color w:val="auto"/>
        </w:rPr>
        <w:t>i.e.</w:t>
      </w:r>
      <w:r>
        <w:rPr>
          <w:rFonts w:ascii="Arial" w:cs="Arial" w:eastAsia="Arial" w:hAnsi="Arial"/>
          <w:sz w:val="17"/>
          <w:szCs w:val="17"/>
          <w:color w:val="auto"/>
        </w:rPr>
        <w:t>, an NOD). We also make estimates of IBNR defaults, which are defaults that have been incurred but have not been reported by loan servicers, based on historical reporting trends, and establish IBNR reserves for those estimates. We also establish reserves for unallocated claims expenses not associated with a specific claim. The claims expenses consist of the estimated cost of the claim administration process, including legal and other fees as well as other general expenses of administering the claims settlement process.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jc w:val="both"/>
        <w:ind w:firstLine="648"/>
        <w:spacing w:after="0" w:line="272" w:lineRule="auto"/>
        <w:rPr>
          <w:sz w:val="20"/>
          <w:szCs w:val="20"/>
          <w:color w:val="auto"/>
        </w:rPr>
      </w:pPr>
      <w:r>
        <w:rPr>
          <w:rFonts w:ascii="Arial" w:cs="Arial" w:eastAsia="Arial" w:hAnsi="Arial"/>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valuation.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We will not cede reserves to the reinsurer under the 2017 ILN Transaction unless losses exceed our retained coverage layer. Reserves are not established for future claims on insured loans which are not currently in default.</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Based on our experience and industry data, we believe that claims incidence for mortgage insurance is generally highest in the third through sixth years after loan origination. Although the claims experience on new primary insurance written by us to date has been favorable, we expect incurred claims to increase as a greater amount of our existing insured portfolio reaches its anticipated period of highest claim frequency. We estimate that the loss ratio over the life of our existing primary insured portfolio will be between 20% and 25% of earned premiums, and we price to that expectation. Additionally, our pool insurance agreement with Fannie Mae contains a claim deductible through which Fannie Mae absorbs specified losses before we are obligated to pay any claims. We have not established any pool reserves for claims or IBNR to date.</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profile of new business we write in the future. In addition, claims experience will be affected by future macroeconomic factors such as housing prices, interest rates and employment and other events, such as natural catastrophes. To date, our claims experience is developing at a slower pace than historical trends indicate, as a result of high quality underwriting, a strong macroeconomic environment and a favorable housing market. For additional discussion of our reserves, see, Item 1, "</w:t>
      </w:r>
      <w:r>
        <w:rPr>
          <w:rFonts w:ascii="Arial" w:cs="Arial" w:eastAsia="Arial" w:hAnsi="Arial"/>
          <w:sz w:val="16"/>
          <w:szCs w:val="16"/>
          <w:i w:val="1"/>
          <w:iCs w:val="1"/>
          <w:color w:val="auto"/>
        </w:rPr>
        <w:t>Financial Statements - Notes to Condensed Consolidated Financial Statements - Note 6, Reserves for Insurance Claims and Claims Expenses</w:t>
      </w:r>
      <w:r>
        <w:rPr>
          <w:rFonts w:ascii="Arial" w:cs="Arial" w:eastAsia="Arial" w:hAnsi="Arial"/>
          <w:sz w:val="16"/>
          <w:szCs w:val="16"/>
          <w:color w:val="auto"/>
        </w:rPr>
        <w:t>."</w:t>
      </w:r>
    </w:p>
    <w:p>
      <w:pPr>
        <w:spacing w:after="0" w:line="1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insure mortgages for homes in areas that have been impacted by recent natural disasters, including hurricanes Harvey and Irma and the California wildfires. We do not provide coverage for property or casualty claims related to physical damage of a home underpinning an insured mortgage. We have experienced an increase in NODs on insured loans in the impacted areas. Our ultimate claims exposure will depend on the number of NODs received, proximate cause of each default and cure rate of the NOD population. In the event of natural disasters, cure rates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claims expenses.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8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gridSpan w:val="4"/>
          </w:tcPr>
          <w:p>
            <w:pPr>
              <w:jc w:val="right"/>
              <w:ind w:right="119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w:t>
            </w:r>
          </w:p>
        </w:tc>
      </w:tr>
      <w:tr>
        <w:trPr>
          <w:trHeight w:val="270"/>
        </w:trPr>
        <w:tc>
          <w:tcPr>
            <w:tcW w:w="812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r>
      <w:tr>
        <w:trPr>
          <w:trHeight w:val="318"/>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Claims and claim expenses incurred:</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gridSpan w:val="2"/>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955</w:t>
            </w:r>
          </w:p>
        </w:tc>
      </w:tr>
      <w:tr>
        <w:trPr>
          <w:trHeight w:val="270"/>
        </w:trPr>
        <w:tc>
          <w:tcPr>
            <w:tcW w:w="8120" w:type="dxa"/>
            <w:vAlign w:val="bottom"/>
            <w:tcBorders>
              <w:bottom w:val="single" w:sz="8" w:color="CCEEFF"/>
            </w:tcBorders>
            <w:gridSpan w:val="2"/>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r>
      <w:tr>
        <w:trPr>
          <w:trHeight w:val="318"/>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Claims and claim expenses paid:</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gridSpan w:val="2"/>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tcBorders>
              <w:bottom w:val="single" w:sz="8" w:color="CCEEFF"/>
            </w:tcBorders>
            <w:gridSpan w:val="2"/>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w:t>
            </w: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318"/>
        </w:trPr>
        <w:tc>
          <w:tcPr>
            <w:tcW w:w="80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3,197</w:t>
            </w:r>
          </w:p>
        </w:tc>
      </w:tr>
      <w:tr>
        <w:trPr>
          <w:trHeight w:val="264"/>
        </w:trPr>
        <w:tc>
          <w:tcPr>
            <w:tcW w:w="8120" w:type="dxa"/>
            <w:vAlign w:val="bottom"/>
            <w:tcBorders>
              <w:bottom w:val="single" w:sz="8" w:color="CCEEFF"/>
            </w:tcBorders>
            <w:gridSpan w:val="2"/>
          </w:tcPr>
          <w:p>
            <w:pPr>
              <w:ind w:left="40"/>
              <w:spacing w:after="0" w:line="264"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2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2,334</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564</w:t>
            </w: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3,761</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560" w:firstLine="8"/>
        <w:spacing w:after="0" w:line="244" w:lineRule="auto"/>
        <w:tabs>
          <w:tab w:leader="none" w:pos="187"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Related to ceded losses recoverable under the QSR Transactions, included in "Other Assets" on the Condensed Consolidated Balance Sheets. See Item 1, "</w:t>
      </w:r>
      <w:r>
        <w:rPr>
          <w:rFonts w:ascii="Arial" w:cs="Arial" w:eastAsia="Arial" w:hAnsi="Arial"/>
          <w:sz w:val="14"/>
          <w:szCs w:val="14"/>
          <w:i w:val="1"/>
          <w:iCs w:val="1"/>
          <w:color w:val="auto"/>
        </w:rPr>
        <w:t>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Statements - Notes to Consolidated Financial Statements - Note 5, Reinsurance" </w:t>
      </w:r>
      <w:r>
        <w:rPr>
          <w:rFonts w:ascii="Arial" w:cs="Arial" w:eastAsia="Arial" w:hAnsi="Arial"/>
          <w:sz w:val="14"/>
          <w:szCs w:val="14"/>
          <w:color w:val="auto"/>
        </w:rPr>
        <w:t>for additional information.</w:t>
      </w:r>
    </w:p>
    <w:p>
      <w:pPr>
        <w:spacing w:after="0" w:line="11" w:lineRule="exact"/>
        <w:rPr>
          <w:rFonts w:ascii="Arial" w:cs="Arial" w:eastAsia="Arial" w:hAnsi="Arial"/>
          <w:sz w:val="22"/>
          <w:szCs w:val="22"/>
          <w:color w:val="auto"/>
          <w:vertAlign w:val="superscript"/>
        </w:rPr>
      </w:pPr>
    </w:p>
    <w:p>
      <w:pPr>
        <w:ind w:firstLine="8"/>
        <w:spacing w:after="0" w:line="244" w:lineRule="auto"/>
        <w:tabs>
          <w:tab w:leader="none" w:pos="187"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w:t>
      </w:r>
    </w:p>
    <w:p>
      <w:pPr>
        <w:spacing w:after="0" w:line="1" w:lineRule="exact"/>
        <w:rPr>
          <w:rFonts w:ascii="Arial" w:cs="Arial" w:eastAsia="Arial" w:hAnsi="Arial"/>
          <w:sz w:val="22"/>
          <w:szCs w:val="22"/>
          <w:color w:val="auto"/>
          <w:vertAlign w:val="superscript"/>
        </w:rPr>
      </w:pPr>
    </w:p>
    <w:p>
      <w:pPr>
        <w:ind w:left="200" w:hanging="192"/>
        <w:spacing w:after="0" w:line="196"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Related to insured loans with defaults occurring in prior years, which have been continuously in default since that time.</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"claims incurred" section of the table above shows claims and claim expenses incurred on NODs for current and prior years, including IBNR reserves. The amount of claims incurred for current year NODs represents the estimated amount to be ultimately paid on such loans in default. The decreases during the periods presented in reserves held for prior year defaults represent favorable development and are generally the result of NOD cures and ongoing analysis of recent loss development trends. We may increase or decrease our original estimates as we learn additional information about individual defaults and claims, and continue to observe and analyze loss development trends in our portfolio. Gross reserves of $7.2 million related to prior year defaults remained as of March 31, 2018.</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3840" w:type="dxa"/>
            <w:vAlign w:val="bottom"/>
            <w:tcBorders>
              <w:bottom w:val="single" w:sz="8" w:color="CCEEFF"/>
            </w:tcBorders>
          </w:tcPr>
          <w:p>
            <w:pPr>
              <w:spacing w:after="0"/>
              <w:rPr>
                <w:sz w:val="22"/>
                <w:szCs w:val="22"/>
                <w:color w:val="auto"/>
              </w:rPr>
            </w:pPr>
          </w:p>
        </w:tc>
        <w:tc>
          <w:tcPr>
            <w:tcW w:w="4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60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Plus: new defaults</w:t>
            </w:r>
          </w:p>
        </w:tc>
        <w:tc>
          <w:tcPr>
            <w:tcW w:w="6000" w:type="dxa"/>
            <w:vAlign w:val="bottom"/>
            <w:gridSpan w:val="3"/>
          </w:tcPr>
          <w:p>
            <w:pPr>
              <w:jc w:val="right"/>
              <w:ind w:right="28"/>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124</w:t>
            </w:r>
          </w:p>
        </w:tc>
      </w:tr>
      <w:tr>
        <w:trPr>
          <w:trHeight w:val="27"/>
        </w:trPr>
        <w:tc>
          <w:tcPr>
            <w:tcW w:w="38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Less: claims paid</w:t>
            </w:r>
          </w:p>
        </w:tc>
        <w:tc>
          <w:tcPr>
            <w:tcW w:w="60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8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60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r>
      <w:tr>
        <w:trPr>
          <w:trHeight w:val="615"/>
        </w:trPr>
        <w:tc>
          <w:tcPr>
            <w:tcW w:w="3840" w:type="dxa"/>
            <w:vAlign w:val="bottom"/>
          </w:tcPr>
          <w:p>
            <w:pPr>
              <w:spacing w:after="0"/>
              <w:rPr>
                <w:sz w:val="24"/>
                <w:szCs w:val="24"/>
                <w:color w:val="auto"/>
              </w:rPr>
            </w:pPr>
          </w:p>
        </w:tc>
        <w:tc>
          <w:tcPr>
            <w:tcW w:w="4400" w:type="dxa"/>
            <w:vAlign w:val="bottom"/>
          </w:tcPr>
          <w:p>
            <w:pPr>
              <w:jc w:val="right"/>
              <w:ind w:right="235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4" w:name="page35"/>
    <w:bookmarkEnd w:id="34"/>
    <w:p>
      <w:pPr>
        <w:jc w:val="both"/>
        <w:ind w:firstLine="648"/>
        <w:spacing w:after="0" w:line="264" w:lineRule="auto"/>
        <w:rPr>
          <w:sz w:val="20"/>
          <w:szCs w:val="20"/>
          <w:color w:val="auto"/>
        </w:rPr>
      </w:pPr>
      <w:r>
        <w:rPr>
          <w:rFonts w:ascii="Arial" w:cs="Arial" w:eastAsia="Arial" w:hAnsi="Arial"/>
          <w:sz w:val="18"/>
          <w:szCs w:val="18"/>
          <w:color w:val="auto"/>
        </w:rPr>
        <w:t>The increase in the ending default inventory at March 31, 2018 compared to March 31, 2017 was primarily due to new defaults on insured loans in areas impacted by hurricanes Harvey and Irma and the California wildfires, as well as the aging of earlier book years and an increase in the overall number of policies in our portfolio.</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details of our claims paid, before giving effect to claims ceded under the 2016 QSR Transaction, for the periods indicated. No claims were ceded under the 2018 QSR Transaction during the periods indicated.</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8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March 31, 2018</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8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3"/>
          </w:tcPr>
          <w:p>
            <w:pPr>
              <w:jc w:val="right"/>
              <w:ind w:right="1074"/>
              <w:spacing w:after="0"/>
              <w:rPr>
                <w:sz w:val="20"/>
                <w:szCs w:val="20"/>
                <w:color w:val="auto"/>
              </w:rPr>
            </w:pPr>
            <w:r>
              <w:rPr>
                <w:rFonts w:ascii="Arial" w:cs="Arial" w:eastAsia="Arial" w:hAnsi="Arial"/>
                <w:sz w:val="14"/>
                <w:szCs w:val="14"/>
                <w:i w:val="1"/>
                <w:iCs w:val="1"/>
                <w:color w:val="auto"/>
              </w:rPr>
              <w:t>($ In Thousands)</w:t>
            </w:r>
          </w:p>
        </w:tc>
      </w:tr>
      <w:tr>
        <w:trPr>
          <w:trHeight w:val="276"/>
        </w:trPr>
        <w:tc>
          <w:tcPr>
            <w:tcW w:w="8060" w:type="dxa"/>
            <w:vAlign w:val="bottom"/>
            <w:shd w:val="clear" w:color="auto" w:fill="CCEEFF"/>
          </w:tcPr>
          <w:p>
            <w:pPr>
              <w:ind w:left="20"/>
              <w:spacing w:after="0" w:line="276" w:lineRule="exact"/>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Total amount paid for claims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8"/>
              <w:spacing w:after="0"/>
              <w:rPr>
                <w:sz w:val="20"/>
                <w:szCs w:val="20"/>
                <w:color w:val="auto"/>
              </w:rPr>
            </w:pPr>
            <w:r>
              <w:rPr>
                <w:rFonts w:ascii="Arial" w:cs="Arial" w:eastAsia="Arial" w:hAnsi="Arial"/>
                <w:sz w:val="18"/>
                <w:szCs w:val="18"/>
                <w:color w:val="auto"/>
              </w:rPr>
              <w:t>482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142</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0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Average amount paid per claim </w:t>
            </w:r>
            <w:r>
              <w:rPr>
                <w:rFonts w:ascii="Arial" w:cs="Arial" w:eastAsia="Arial" w:hAnsi="Arial"/>
                <w:sz w:val="25"/>
                <w:szCs w:val="25"/>
                <w:color w:val="auto"/>
                <w:vertAlign w:val="superscript"/>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35</w:t>
            </w:r>
          </w:p>
        </w:tc>
      </w:tr>
      <w:tr>
        <w:trPr>
          <w:trHeight w:val="341"/>
        </w:trPr>
        <w:tc>
          <w:tcPr>
            <w:tcW w:w="8060" w:type="dxa"/>
            <w:vAlign w:val="bottom"/>
          </w:tcPr>
          <w:p>
            <w:pPr>
              <w:ind w:left="20"/>
              <w:spacing w:after="0"/>
              <w:rPr>
                <w:sz w:val="20"/>
                <w:szCs w:val="20"/>
                <w:color w:val="auto"/>
              </w:rPr>
            </w:pPr>
            <w:r>
              <w:rPr>
                <w:rFonts w:ascii="Arial" w:cs="Arial" w:eastAsia="Arial" w:hAnsi="Arial"/>
                <w:sz w:val="18"/>
                <w:szCs w:val="18"/>
                <w:color w:val="auto"/>
              </w:rPr>
              <w:t>Severity</w:t>
            </w:r>
            <w:r>
              <w:rPr>
                <w:rFonts w:ascii="Arial" w:cs="Arial" w:eastAsia="Arial" w:hAnsi="Arial"/>
                <w:sz w:val="25"/>
                <w:szCs w:val="25"/>
                <w:color w:val="auto"/>
                <w:vertAlign w:val="superscript"/>
              </w:rPr>
              <w:t>(3)</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72"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Count includes claims settled without payment.</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Calculation is net of claims settled without payment.</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Severity represents the total amount of claims paid divided by the related RIF on the loan at the time the claim is perfected.</w:t>
      </w:r>
    </w:p>
    <w:p>
      <w:pPr>
        <w:spacing w:after="0" w:line="1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the number of claims paid for the three months ended March 31, 2018 compared to the three months ended March 31, 2017 is due to an increase in our default inventory. Claims settled without payment are included in claim counts, but excluded from averages. We expect the severity of claims paid to be between 85% and 95% of the coverage amount. We believe our severity is below long-term expectations due to home price appreciation in recent periods.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our average reserve per default, before giving effect to reserves ceded under the QSR Transactions, as of the periods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Average reserve per default:</w:t>
            </w: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 March 31, 2018</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5"/>
              </w:rPr>
              <w:t>As of March 31, 2017</w:t>
            </w:r>
          </w:p>
        </w:tc>
      </w:tr>
      <w:tr>
        <w:trPr>
          <w:trHeight w:val="250"/>
        </w:trPr>
        <w:tc>
          <w:tcPr>
            <w:tcW w:w="6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Pr>
          <w:p>
            <w:pPr>
              <w:spacing w:after="0"/>
              <w:rPr>
                <w:sz w:val="21"/>
                <w:szCs w:val="21"/>
                <w:color w:val="auto"/>
              </w:rPr>
            </w:pPr>
          </w:p>
        </w:tc>
      </w:tr>
      <w:tr>
        <w:trPr>
          <w:trHeight w:val="276"/>
        </w:trPr>
        <w:tc>
          <w:tcPr>
            <w:tcW w:w="6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IBNR</w:t>
            </w:r>
          </w:p>
        </w:tc>
        <w:tc>
          <w:tcPr>
            <w:tcW w:w="280" w:type="dxa"/>
            <w:vAlign w:val="bottom"/>
          </w:tcPr>
          <w:p>
            <w:pPr>
              <w:spacing w:after="0"/>
              <w:rPr>
                <w:sz w:val="21"/>
                <w:szCs w:val="21"/>
                <w:color w:val="auto"/>
              </w:rPr>
            </w:pPr>
          </w:p>
        </w:tc>
        <w:tc>
          <w:tcPr>
            <w:tcW w:w="190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r>
      <w:tr>
        <w:trPr>
          <w:trHeight w:val="20"/>
        </w:trPr>
        <w:tc>
          <w:tcPr>
            <w:tcW w:w="6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Defined as the gross reserve per insured loan in default.</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average reserve per default at March 31, 2018 decreased from March 31, 2017, primarily due to new defaults on insured loans in areas impacted by hurricanes Harvey and Irma and the California wildfires. As of March 31, 2018, 474 of the 1,000 loans in default relate to homes in areas declared by FEMA to be disaster zones following the aforementioned natural disasters. We anticipate that this population of loans in default will cure at a higher rate than the estimated rate we apply to non-disaster related loans in default, due to our Master Policy coverage terms, historical industry experience, and current economic indicators and relief programs. As such, we have established lower reserves for these NODs than we otherwise do for similarly situated NODs in non-disaster zones. Over time, we anticipate that our average reserve per default will revert to our historical averages as the NODs in these zones cure.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NMIC is subject to ongoing compliance with the PMIERs.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The PMIERs financial requirements prescribe a risk-based methodology whereby the amount of assets required to be held against each insured loan is determined based on certain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current vs. delinquent), LTV and other risk features. An asset charge is calculated for each insured loan based on its risk profile. In general, higher quality loans carry lower charges.</w:t>
      </w:r>
    </w:p>
    <w:p>
      <w:pPr>
        <w:spacing w:after="0" w:line="1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Under the PMIERs financial requirements,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net RIF, calculated by applying on a loan-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57" w:lineRule="auto"/>
        <w:rPr>
          <w:sz w:val="20"/>
          <w:szCs w:val="20"/>
          <w:color w:val="auto"/>
        </w:rPr>
      </w:pPr>
      <w:r>
        <w:rPr>
          <w:rFonts w:ascii="Arial" w:cs="Arial" w:eastAsia="Arial" w:hAnsi="Arial"/>
          <w:sz w:val="18"/>
          <w:szCs w:val="18"/>
          <w:color w:val="auto"/>
        </w:rPr>
        <w:t xml:space="preserve">by-loan basis certain risk-based factors derived from tables set out in the PMIERs to the net RIF, and other transactional adjustments approved by the GSEs, such as with respect to our 2017 ILN Transaction and QSR Transactions.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primary insurance is subject to a floor of 5.6% of total, performing, primary RIF, and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pool insurance considers both the factors in the tables and the </w:t>
      </w:r>
      <w:r>
        <w:rPr>
          <w:rFonts w:ascii="Arial" w:cs="Arial" w:eastAsia="Arial" w:hAnsi="Arial"/>
          <w:sz w:val="18"/>
          <w:szCs w:val="18"/>
          <w:i w:val="1"/>
          <w:iCs w:val="1"/>
          <w:color w:val="auto"/>
        </w:rPr>
        <w:t>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remaining stop loss </w:t>
      </w:r>
      <w:r>
        <w:rPr>
          <w:rFonts w:ascii="Arial" w:cs="Arial" w:eastAsia="Arial" w:hAnsi="Arial"/>
          <w:sz w:val="18"/>
          <w:szCs w:val="18"/>
          <w:color w:val="auto"/>
        </w:rPr>
        <w:t>for each pool insurance policy. The PMIERs financial requirements also increase the amount of</w:t>
      </w:r>
      <w:r>
        <w:rPr>
          <w:rFonts w:ascii="Arial" w:cs="Arial" w:eastAsia="Arial" w:hAnsi="Arial"/>
          <w:sz w:val="18"/>
          <w:szCs w:val="18"/>
          <w:i w:val="1"/>
          <w:iCs w:val="1"/>
          <w:color w:val="auto"/>
        </w:rPr>
        <w:t xml:space="preserve"> available assets </w:t>
      </w:r>
      <w:r>
        <w:rPr>
          <w:rFonts w:ascii="Arial" w:cs="Arial" w:eastAsia="Arial" w:hAnsi="Arial"/>
          <w:sz w:val="18"/>
          <w:szCs w:val="18"/>
          <w:color w:val="auto"/>
        </w:rPr>
        <w:t>that must be held by an</w:t>
      </w:r>
      <w:r>
        <w:rPr>
          <w:rFonts w:ascii="Arial" w:cs="Arial" w:eastAsia="Arial" w:hAnsi="Arial"/>
          <w:sz w:val="18"/>
          <w:szCs w:val="18"/>
          <w:i w:val="1"/>
          <w:iCs w:val="1"/>
          <w:color w:val="auto"/>
        </w:rPr>
        <w:t xml:space="preserve"> Approved Insurer </w:t>
      </w:r>
      <w:r>
        <w:rPr>
          <w:rFonts w:ascii="Arial" w:cs="Arial" w:eastAsia="Arial" w:hAnsi="Arial"/>
          <w:sz w:val="18"/>
          <w:szCs w:val="18"/>
          <w:color w:val="auto"/>
        </w:rPr>
        <w:t>for LPMI policies originated on or after January 1, 2016.</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By April 15th of each year, NMIC must certify it met all PMIERs requirements as of December 31st of the prior year. We certified to the GSEs by April 15, 2018 that NMIC was in full compliance with the PMIERs as of December 31, 2017. NMIC also has an ongoing obligation to immediately notify the GSEs in writing upon discovery of its failure to meet one or more of the PMIERs requirements. We continuously monitor our compliance with the PMIERs.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comparison of the PMIERs financial requirements as reported by NMIC as of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w:t>
            </w:r>
          </w:p>
        </w:tc>
        <w:tc>
          <w:tcPr>
            <w:tcW w:w="162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March 31, 2018</w:t>
            </w:r>
          </w:p>
        </w:tc>
        <w:tc>
          <w:tcPr>
            <w:tcW w:w="4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March 31, 2017</w:t>
            </w:r>
          </w:p>
        </w:tc>
      </w:tr>
      <w:tr>
        <w:trPr>
          <w:trHeight w:val="264"/>
        </w:trPr>
        <w:tc>
          <w:tcPr>
            <w:tcW w:w="7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20" w:type="dxa"/>
            <w:vAlign w:val="bottom"/>
            <w:gridSpan w:val="3"/>
          </w:tcPr>
          <w:p>
            <w:pPr>
              <w:jc w:val="center"/>
              <w:ind w:right="216"/>
              <w:spacing w:after="0"/>
              <w:rPr>
                <w:sz w:val="20"/>
                <w:szCs w:val="20"/>
                <w:color w:val="auto"/>
              </w:rPr>
            </w:pPr>
            <w:r>
              <w:rPr>
                <w:rFonts w:ascii="Arial" w:cs="Arial" w:eastAsia="Arial" w:hAnsi="Arial"/>
                <w:sz w:val="14"/>
                <w:szCs w:val="14"/>
                <w:i w:val="1"/>
                <w:iCs w:val="1"/>
                <w:color w:val="auto"/>
                <w:w w:val="93"/>
              </w:rPr>
              <w:t>(In Thousands)</w:t>
            </w:r>
          </w:p>
        </w:tc>
      </w:tr>
      <w:tr>
        <w:trPr>
          <w:trHeight w:val="256"/>
        </w:trPr>
        <w:tc>
          <w:tcPr>
            <w:tcW w:w="7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Available assets</w:t>
            </w: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555,336</w:t>
            </w:r>
          </w:p>
        </w:tc>
        <w:tc>
          <w:tcPr>
            <w:tcW w:w="4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BFE4FF"/>
            </w:tcBorders>
            <w:shd w:val="clear" w:color="auto" w:fill="BFE4FF"/>
          </w:tcPr>
          <w:p>
            <w:pPr>
              <w:jc w:val="right"/>
              <w:ind w:right="236"/>
              <w:spacing w:after="0"/>
              <w:rPr>
                <w:sz w:val="20"/>
                <w:szCs w:val="20"/>
                <w:color w:val="auto"/>
              </w:rPr>
            </w:pPr>
            <w:r>
              <w:rPr>
                <w:rFonts w:ascii="Arial" w:cs="Arial" w:eastAsia="Arial" w:hAnsi="Arial"/>
                <w:sz w:val="18"/>
                <w:szCs w:val="18"/>
                <w:color w:val="auto"/>
              </w:rPr>
              <w:t>466,982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Risk-based required assets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522,260</w:t>
            </w:r>
          </w:p>
        </w:tc>
        <w:tc>
          <w:tcPr>
            <w:tcW w:w="460" w:type="dxa"/>
            <w:vAlign w:val="bottom"/>
          </w:tcPr>
          <w:p>
            <w:pPr>
              <w:spacing w:after="0"/>
              <w:rPr>
                <w:sz w:val="21"/>
                <w:szCs w:val="21"/>
                <w:color w:val="auto"/>
              </w:rPr>
            </w:pPr>
          </w:p>
        </w:tc>
        <w:tc>
          <w:tcPr>
            <w:tcW w:w="1620" w:type="dxa"/>
            <w:vAlign w:val="bottom"/>
          </w:tcPr>
          <w:p>
            <w:pPr>
              <w:jc w:val="right"/>
              <w:ind w:right="236"/>
              <w:spacing w:after="0"/>
              <w:rPr>
                <w:sz w:val="20"/>
                <w:szCs w:val="20"/>
                <w:color w:val="auto"/>
              </w:rPr>
            </w:pPr>
            <w:r>
              <w:rPr>
                <w:rFonts w:ascii="Arial" w:cs="Arial" w:eastAsia="Arial" w:hAnsi="Arial"/>
                <w:sz w:val="18"/>
                <w:szCs w:val="18"/>
                <w:color w:val="auto"/>
              </w:rPr>
              <w:t>398,859</w:t>
            </w: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of $88 million as of March 31, 2018 compared to March 31, 2017 is driven by our positive cash flow from operations, partially offset by an increase in our unearned premium reserve. The increase in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due to the growth of our gross RIF and increase in our NOD population, which has a higher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charge, partially offset by the cession of risk relating to our third-party reinsurance agreements.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April 2018, NMIH made a capital contribution of $70 million to NMIC, directly increasing NMIC's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consequently, its cushion between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18, 2017, the GSEs provided us with a confidential summary of the proposed changes to the PMIERs financial, business and other requirements that they are developing with the FHFA. We have engaged in conversations with the FHFA and the GSEs about the proposed changes and expect to continue to provide feedback to them in the coming months. Once changes to the PMIERs requirements are finalized, we expect the industry will be afforded a six-month implementation period and currently anticipate that updated PMIERs requirements, if any, will take effect no sooner than the fourth quarter of 2018.</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GSE-imposed asset requirements, NMIC is also subject to state regulatory minimum capital requirements based on its RIF. While formulations of this minimum capital may vary by jurisdiction, the most common measure allows for a maximum permitted RTC ratio of 25:1.</w:t>
      </w:r>
    </w:p>
    <w:p>
      <w:pPr>
        <w:spacing w:after="0" w:line="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2018, NMIC's primary RIF, net of reinsurance, was approximately $8.4 billion. NMIC ceded 100% of its pool RIF pursuant to the 2016 QSR Transaction. Based on NMIC's total statutory surplus of $552.6 million (including contingency reserves) as of March 31, 2018, NMIC's RTC ratio was 15.2:1. The $70 million capital contribution from NMIH to NMIC in April 2018 increases NMIC's statutory surplus dollar-for-dollar, and consequently, reduces it's RTC ratio. Re One had total statutory capital of $34.2 million as of March 31, 2018, with a RTC ratio of 0.9:1. We continuously monitor our compliance with state capital requirements.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2017, Moody's Investors Service (Moody's) upgraded its financial strength rating from "Ba2" to "Ba1" for NMIC. At that time, Moody's also upgraded its rating of NMIH's $150 million Term Loan from "B2" to "B1." In August 2017, Moody's re-affirmed its "Ba1" financial strength rating for NMIC and its B1 rating of NMIH's $150 million Term Loan and upgraded the outlook for both ratings from "stable" to "positive." In July 2017, S&amp;P re-affirmed its "BBB-" financial strength and long-term counter-party credit ratings on NMIC and its "BB-" long-term counter-party credit rating on NMIH and upgraded the outlook for both ratings to "positive."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public MIs like the FHA and the VA. Private MI companies compete based on service, customer relationships, underwriting and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other factors, including price. We expect the MI market to remain competitive, with pressure for industry participants to grow or maintain their market share.</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private MI industry overall competes more broadly with public MIs who significantly increased their presence in the MI market following the financial crisis. Although there has been broad policy consensus toward the need for private capital to play a larger role and government credit risk to be reduced in the U.S. housing finance system, it remains difficult to predict whether the combined market share of public MIs will recede to historical levels. A range of factors influence a lender's decision to choose private over public MI, including among others, premium rates and other charges, loan eligibility requirements, cancelability, loan size limits and the relative ease of use of private MI products compared to public MI alternatives.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For the three months ended</w:t>
            </w:r>
          </w:p>
        </w:tc>
      </w:tr>
      <w:tr>
        <w:trPr>
          <w:trHeight w:val="263"/>
        </w:trPr>
        <w:tc>
          <w:tcPr>
            <w:tcW w:w="8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March 31, 2017</w:t>
            </w:r>
          </w:p>
        </w:tc>
      </w:tr>
      <w:tr>
        <w:trPr>
          <w:trHeight w:val="251"/>
        </w:trPr>
        <w:tc>
          <w:tcPr>
            <w:tcW w:w="82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1"/>
                <w:szCs w:val="21"/>
                <w:color w:val="auto"/>
              </w:rPr>
            </w:pPr>
          </w:p>
        </w:tc>
        <w:tc>
          <w:tcPr>
            <w:tcW w:w="3000" w:type="dxa"/>
            <w:vAlign w:val="bottom"/>
            <w:gridSpan w:val="4"/>
          </w:tcPr>
          <w:p>
            <w:pPr>
              <w:jc w:val="right"/>
              <w:ind w:right="11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54,914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33,225</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3,807</w:t>
            </w:r>
          </w:p>
        </w:tc>
      </w:tr>
      <w:tr>
        <w:trPr>
          <w:trHeight w:val="27"/>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80</w:t>
            </w:r>
          </w:p>
        </w:tc>
      </w:tr>
      <w:tr>
        <w:trPr>
          <w:trHeight w:val="27"/>
        </w:trPr>
        <w:tc>
          <w:tcPr>
            <w:tcW w:w="8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59,552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37,054</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635</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220" w:type="dxa"/>
            <w:vAlign w:val="bottom"/>
          </w:tcPr>
          <w:p>
            <w:pPr>
              <w:spacing w:after="0"/>
              <w:rPr>
                <w:sz w:val="21"/>
                <w:szCs w:val="21"/>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28,453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25,989</w:t>
            </w:r>
          </w:p>
        </w:tc>
      </w:tr>
      <w:tr>
        <w:trPr>
          <w:trHeight w:val="27"/>
        </w:trPr>
        <w:tc>
          <w:tcPr>
            <w:tcW w:w="8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30,022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26,624</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from change in fair value of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(3,494)</w:t>
            </w:r>
          </w:p>
        </w:tc>
      </w:tr>
      <w:tr>
        <w:trPr>
          <w:trHeight w:val="27"/>
        </w:trPr>
        <w:tc>
          <w:tcPr>
            <w:tcW w:w="8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6,740</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4,176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1,248</w:t>
            </w:r>
          </w:p>
        </w:tc>
      </w:tr>
      <w:tr>
        <w:trPr>
          <w:trHeight w:val="27"/>
        </w:trPr>
        <w:tc>
          <w:tcPr>
            <w:tcW w:w="8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22,355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5,492</w:t>
            </w: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11"/>
        </w:trPr>
        <w:tc>
          <w:tcPr>
            <w:tcW w:w="8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8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Loss ratio</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82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 ratio</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r>
      <w:tr>
        <w:trPr>
          <w:trHeight w:val="237"/>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Combined ratio</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7"/>
        </w:trPr>
        <w:tc>
          <w:tcPr>
            <w:tcW w:w="8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Loss ratio is calculated by dividing the provision for insurance claims and claims expenses by net premiums earned.</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Expense ratio is calculated by dividing other underwriting and operating expenses by net premiums earned.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three months ended March 31, 2018, net premiums earned increased $21.7 million or 65%, compared to the three months ended March 31, 2017. The increase is primarily due to the growth of our IIF, increased monthly and single policy production, and higher earnings from cancellations, partially offset by cessions under the QSR Transactions tied to the growth of our direct premium volume and the inception of the 2017 ILN Transaction in May 2017.</w:t>
      </w:r>
    </w:p>
    <w:p>
      <w:pPr>
        <w:spacing w:after="0" w:line="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March 31, 2018, net investment income increased $0.8 million, compared to the three months ended March 31, 2017, due to an increase in the size of and improved yields on our total investment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insurance claims and claims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Insurance claims and claims expenses increased $0.9 million for the three months ended March 31, 2018, compared to the three months ended March 31, 2017, as a result of an increase in NODs, driven by new defaults on insured loans impacted by hurricanes Harvey and Irma and the California wildfires, and an increase in the overall number of policies in our portfolio and aging of earlier book years, offset by the partial release of reserves related to prior year defaults.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Underwriting and operating expenses increased $2.5 million or 9% for the three months ended March 31, 2018, compared to the three months ended March 31, 2017. Employee compensation accounts for the majority of our operating expenses. We increased the size of our workforce from 289 employees as of March 31, 2017 to 307 employees as of March 31, 2018 to support the growth of our business, particularly in our operating functions. Underwriting and operating expenses for the three months ended March 31, 2017, included $1.6 million of operating expenses related to the 2017 ILN Transaction and Amendment No. 1 to the Credit Agreement.</w:t>
      </w:r>
    </w:p>
    <w:p>
      <w:pPr>
        <w:sectPr>
          <w:pgSz w:w="11900" w:h="16838" w:orient="portrait"/>
          <w:cols w:equalWidth="0" w:num="1">
            <w:col w:w="11420"/>
          </w:cols>
          <w:pgMar w:left="240" w:top="580"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580" w:right="239" w:bottom="1440" w:gutter="0" w:footer="0" w:header="0"/>
          <w:type w:val="continuous"/>
        </w:sectPr>
      </w:pPr>
    </w:p>
    <w:bookmarkStart w:id="38" w:name="page39"/>
    <w:bookmarkEnd w:id="38"/>
    <w:p>
      <w:pPr>
        <w:jc w:val="both"/>
        <w:ind w:firstLine="648"/>
        <w:spacing w:after="0" w:line="259" w:lineRule="auto"/>
        <w:rPr>
          <w:sz w:val="20"/>
          <w:szCs w:val="20"/>
          <w:color w:val="auto"/>
        </w:rPr>
      </w:pPr>
      <w:r>
        <w:rPr>
          <w:rFonts w:ascii="Arial" w:cs="Arial" w:eastAsia="Arial" w:hAnsi="Arial"/>
          <w:sz w:val="18"/>
          <w:szCs w:val="18"/>
          <w:color w:val="auto"/>
        </w:rPr>
        <w:t>Interest expense was $3.4 million for the three months ended March 31, 2018, compared to $3.5 million for the three months ended March 31, 2017. Interest expense declined in connection with the amendment of our Credit Agreement completed in February 2017, which among other items, reduced the interest spread payable on the Term Loan. The interest expense reduction was partially offset by a rise in the underlying LIBOR rate. See Item 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Notes to Condensed Consolidated Financial Statements - Note 4, Term Loan.</w:t>
      </w:r>
      <w:r>
        <w:rPr>
          <w:rFonts w:ascii="Arial" w:cs="Arial" w:eastAsia="Arial" w:hAnsi="Arial"/>
          <w:sz w:val="18"/>
          <w:szCs w:val="18"/>
          <w:color w:val="auto"/>
        </w:rPr>
        <w:t>"</w:t>
      </w:r>
    </w:p>
    <w:p>
      <w:pPr>
        <w:spacing w:after="0" w:line="1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Income tax expense increased to $4.2 million for the three months ended March 31, 2018 from $1.2 million for the three months ended March 31, 2017 because of the growth in our pre-tax income, partially offset by a decrease in our effective tax rate. Our effective tax rate on our pre-tax income decreased to 15.7% for the three months ended March 31, 2018 from 18.5% for the three months ended March 31, 2017, primarily because the TCJA reduced the statutory U.S. federal corporate income tax rate to 21% for the current and all future years from 35% for all prior years through December 31, 2017. Our provision for income taxes for interim periods is established based on our estimated annual effective tax rate for a given year. We expect our annual effective tax rate for the year ending December 31, 2018 will approximate the current 21% statutory U.S. federal corporate income tax rate. See Item 1,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 Notes to Condensed Consolidated Financial Statements - Note 9, Income Taxes.</w:t>
      </w:r>
      <w:r>
        <w:rPr>
          <w:rFonts w:ascii="Arial" w:cs="Arial" w:eastAsia="Arial" w:hAnsi="Arial"/>
          <w:sz w:val="17"/>
          <w:szCs w:val="17"/>
          <w:color w:val="auto"/>
        </w:rPr>
        <w:t>"</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 portfolio</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723,790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715,875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101,890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19,196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25,179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40,026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37,925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reinsurance premiums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38,557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40,250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15,964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13,692</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987,591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894,848</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Term loan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143,868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143,882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163,166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21,218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23,364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claims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Reinsurance funds withheld</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33,179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34,102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ceding commission</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6,563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7,472</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385,647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385,771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601,944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509,077</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987,591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894,848</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2018, we had approximately $825.7 million in cash and investments, including $123.0 million held at NMIH. The increase in cash and cash equivalents and investments from December 31, 2017 primarily relates to net proceeds of approximately $79.2 million from the common stock offering completed in March 2018 and cash generated from operations.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Premiums receivable was $28.2 million as of March 31, 2018, compared to $25.2 million as of December 31, 2017. The increase was primarily driven by the increase in our monthly premium policies in force, where premiums are generally paid one month in arrears.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deferred policy acquisition costs were $40.0 million as of March 31, 2018, compared to $37.9 million at December 31, 2017. The increase was driven by growth in the number of policies written during the period ended March 31, 2018 and the deferment of certain costs associated with the origination of those policies, partially offset by the amortization of previously deferred acquisition costs and the capitalization of ceding commissions associated with the 2016 QSR Transaction during the period.</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Prepaid reinsurance premiums were $38.6 million as of March 31, 2018, compared to $40.3 million as of December 31, 2017. The prepaid reinsurance premiums balance represents the ceded unearned premiums reserve on the single premium policies under the 2016 QSR Transaction. The reinsurance coverage period of the 2016 QSR Transaction ended for new premiums written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312" w:lineRule="auto"/>
        <w:rPr>
          <w:sz w:val="20"/>
          <w:szCs w:val="20"/>
          <w:color w:val="auto"/>
        </w:rPr>
      </w:pPr>
      <w:r>
        <w:rPr>
          <w:rFonts w:ascii="Arial" w:cs="Arial" w:eastAsia="Arial" w:hAnsi="Arial"/>
          <w:sz w:val="16"/>
          <w:szCs w:val="16"/>
          <w:color w:val="auto"/>
        </w:rPr>
        <w:t>as of December 31, 2017, and under our 2018 QSR Transaction we ceded premiums on an earned basis. Consequently, we did not cede any unearned premium reserves on single premium policies with coverage effective dates on or after January 1, 2018. The decrease in prepaid reinsurance premiums reflects the amortization of the unearned premium balance on single premium policies ceded under the 2016 QSR Transaction through December 31, 2017.</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Unearned premiums increased $2.4 million to $165.6 million as of March 31, 2018, primarily due to single premium policy origination during the period, offset by the amortization through earnings of existing unearned premiums in accordance with the expiration of risk on the related policies and the cancellation of other single premium policies.</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deferred tax assets decreased to $16.3 million as of March 31, 2018, from $19.9 million at December 31, 2017, primarily due to the utilization of net operating loss carryforwards during the period. For further information regarding income taxes and their impact on our results of operations and financial position, see Item 1, "</w:t>
      </w:r>
      <w:r>
        <w:rPr>
          <w:rFonts w:ascii="Arial" w:cs="Arial" w:eastAsia="Arial" w:hAnsi="Arial"/>
          <w:sz w:val="17"/>
          <w:szCs w:val="17"/>
          <w:i w:val="1"/>
          <w:iCs w:val="1"/>
          <w:color w:val="auto"/>
        </w:rPr>
        <w:t>Financial Statements - Notes to Condensed Consolidated Financial Statements - Note 9, Income Taxes.</w:t>
      </w:r>
      <w:r>
        <w:rPr>
          <w:rFonts w:ascii="Arial" w:cs="Arial" w:eastAsia="Arial" w:hAnsi="Arial"/>
          <w:sz w:val="17"/>
          <w:szCs w:val="17"/>
          <w:color w:val="auto"/>
        </w:rPr>
        <w: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Accounts payable and accrued expenses decreased to $21.2 million as of March 31, 2018, from $23.4 million at December 31, 2017. The decrease was driven by the payment, during the first quarter of 2018, of bonuses accrued at year end. The decrease was partially offset by unsettled payments from the purchase of certain securities.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Reserve for insurance claims and claim expenses increased $1.6 million to $10.4 million at March 31, 2018, primarily due to an increase in our ending default inventory. See "</w:t>
      </w:r>
      <w:r>
        <w:rPr>
          <w:rFonts w:ascii="Arial" w:cs="Arial" w:eastAsia="Arial" w:hAnsi="Arial"/>
          <w:sz w:val="18"/>
          <w:szCs w:val="18"/>
          <w:i w:val="1"/>
          <w:iCs w:val="1"/>
          <w:color w:val="auto"/>
        </w:rPr>
        <w:t>- Insurance Claims and Claims Expenses</w:t>
      </w:r>
      <w:r>
        <w:rPr>
          <w:rFonts w:ascii="Arial" w:cs="Arial" w:eastAsia="Arial" w:hAnsi="Arial"/>
          <w:sz w:val="18"/>
          <w:szCs w:val="18"/>
          <w:color w:val="auto"/>
        </w:rPr>
        <w:t>," above for further details.</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Reinsurance funds withheld was $33.2 million as of March 31, 2018, representing ceded premiums written, less our profit and ceding commission receivables under the 2016 QSR Transaction. The decrease in reinsurance funds withheld of $0.9 million from December 31, 2017, was a result of a decline in ceded premiums written due to the end of the effective reinsurance coverage period of the 2016 QSR Transaction at December 31, 2017. See, Item 1, "</w:t>
      </w:r>
      <w:r>
        <w:rPr>
          <w:rFonts w:ascii="Arial" w:cs="Arial" w:eastAsia="Arial" w:hAnsi="Arial"/>
          <w:sz w:val="17"/>
          <w:szCs w:val="17"/>
          <w:i w:val="1"/>
          <w:iCs w:val="1"/>
          <w:color w:val="auto"/>
        </w:rPr>
        <w:t>Financial Statements - Notes to Condensed Consolidated Financial Statements - Note 5, Reinsurance</w:t>
      </w:r>
      <w:r>
        <w:rPr>
          <w:rFonts w:ascii="Arial" w:cs="Arial" w:eastAsia="Arial" w:hAnsi="Arial"/>
          <w:sz w:val="17"/>
          <w:szCs w:val="17"/>
          <w:color w:val="auto"/>
        </w:rPr>
        <w:t>."</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Warrant liability decreased to $6.6 million at March 31, 2018, compared to $7.5 million at December 31, 2017, primarily due to the decrease in our common stock price during the period, with additional impact related to changes in the Black-Scholes model inputs and exercises of outstanding warrants. For further information regarding valuation of our warrant liability and their impact on our results of operations and financial position, see Item 1,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 Notes to Condensed Consolidated Financial Statements - Note 3, Fair Value of Financial Instruments.</w:t>
      </w:r>
      <w:r>
        <w:rPr>
          <w:rFonts w:ascii="Arial" w:cs="Arial" w:eastAsia="Arial" w:hAnsi="Arial"/>
          <w:sz w:val="17"/>
          <w:szCs w:val="17"/>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50"/>
        </w:trPr>
        <w:tc>
          <w:tcPr>
            <w:tcW w:w="79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w:t>
            </w:r>
          </w:p>
        </w:tc>
        <w:tc>
          <w:tcPr>
            <w:tcW w:w="360" w:type="dxa"/>
            <w:vAlign w:val="bottom"/>
          </w:tcPr>
          <w:p>
            <w:pPr>
              <w:spacing w:after="0"/>
              <w:rPr>
                <w:sz w:val="21"/>
                <w:szCs w:val="21"/>
                <w:color w:val="auto"/>
              </w:rPr>
            </w:pPr>
          </w:p>
        </w:tc>
        <w:tc>
          <w:tcPr>
            <w:tcW w:w="20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21,131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(31,258)</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78,133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82,694</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(35,203)</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was $21.1 million for the three months ended March 31, 2018, compared to cash used in operating activities of $2.1 million in the three months ended March 31, 2017. The increase in cash generated from operating activities was primarily driven by growth in premiums written, partially offset by increased operating expenses in connection with employee compensation and benefit costs, as well as higher claims paid due to an increase in our default inventory.</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investing activities for the periods presented was driven by the purchase of fixed and short-term maturities during those periods. The cash outflow was lower by $14.7 million in the three months ended March 31, 2018 compared to the three months ended March 31, 2017 due to the timing of reinvestment activities across period end.</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Cash provided by financing activities was $78.1 million for the three months ended March 31, 2018, compared to cash used in financing activities of $1.9 million for the three months ended March 31, 2017. The increase related to the cash proceeds of $79.2 million raised in our common stock offering completed in March 2018, partially offset by the increase in taxes paid on the net share settlement of equity awards.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6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w:t>
      </w: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payment of principal and interest related to the Term Loan; (iv) tax payments to the Internal Revenue Service; (v) capital support for its subsidiaries; and</w:t>
      </w:r>
    </w:p>
    <w:p>
      <w:pPr>
        <w:spacing w:after="0" w:line="32" w:lineRule="exact"/>
        <w:rPr>
          <w:rFonts w:ascii="Arial" w:cs="Arial" w:eastAsia="Arial" w:hAnsi="Arial"/>
          <w:sz w:val="16"/>
          <w:szCs w:val="16"/>
          <w:color w:val="auto"/>
        </w:rPr>
      </w:pPr>
    </w:p>
    <w:p>
      <w:pPr>
        <w:jc w:val="both"/>
        <w:ind w:firstLine="8"/>
        <w:spacing w:after="0" w:line="255"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surplus or recent net profits (subject to certain limitations).</w:t>
      </w:r>
    </w:p>
    <w:p>
      <w:pPr>
        <w:spacing w:after="0" w:line="13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2018, NMIH had $123.0 million of cash and investments. NMIH's principal source of operating cash is investment income and in the future could include dividends from NMIC, if available and permitted under law and by the GSEs.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2018, NMIH completed the sale of 4.3 million shares of common stock, including the exercise of a 15% overallotment option to purchase additional shares, and raised proceeds of approximately $79.2 million, net of underwriting discounts, commissions and other direct offering expenses. In April, 2018, NMIH made a capital contribution of $70 million to NMIC.</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NMIH has entered into tax and expense-sharing agreements with its subsidiaries which have been approved by the Wisconsin OCI, but such approval may be changed or revoked at any time. With the Wisconsin OCI's approval, NMIH began allocating the interest expense on its Term Loan to NMIC in the first quarter of 2017, consistent with the benefits NMIC received when NMIH down-streamed the loan proceeds to NMIC.</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insurance subsidiaries' ability to pay dividends to NMIH is subject to insurance department notice or approval. Under Wisconsin law, the insurance companies may pay dividends up to specified levels (</w:t>
      </w:r>
      <w:r>
        <w:rPr>
          <w:rFonts w:ascii="Arial" w:cs="Arial" w:eastAsia="Arial" w:hAnsi="Arial"/>
          <w:sz w:val="18"/>
          <w:szCs w:val="18"/>
          <w:i w:val="1"/>
          <w:iCs w:val="1"/>
          <w:color w:val="auto"/>
        </w:rPr>
        <w:t>i.e.</w:t>
      </w:r>
      <w:r>
        <w:rPr>
          <w:rFonts w:ascii="Arial" w:cs="Arial" w:eastAsia="Arial" w:hAnsi="Arial"/>
          <w:sz w:val="18"/>
          <w:szCs w:val="18"/>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preceeding December 31.</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has never paid any dividends to NMIH. NMIC reported a statutory net loss for the 12 months ended December 31, 2017 and cannot pay any dividends to NMIH through December 31, 2018 without the prior approval of the Wisconsin OCI. Re One has never paid dividends to NMIH. Re One currently has the capacity to pay ordinary dividends of $505 thousand to NMIH. Certain other states in which NMIC and Re One are licensed also have statutes or regulations that restrict their ability to pay dividends.</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NMIC's capital needs depend on many factors including its ability to successfully write new business, establish premium rates at levels sufficient to cover claims and operating costs and meet </w:t>
      </w:r>
      <w:r>
        <w:rPr>
          <w:rFonts w:ascii="Arial" w:cs="Arial" w:eastAsia="Arial" w:hAnsi="Arial"/>
          <w:sz w:val="16"/>
          <w:szCs w:val="16"/>
          <w:i w:val="1"/>
          <w:iCs w:val="1"/>
          <w:color w:val="auto"/>
        </w:rPr>
        <w:t>minimum required asset</w:t>
      </w:r>
      <w:r>
        <w:rPr>
          <w:rFonts w:ascii="Arial" w:cs="Arial" w:eastAsia="Arial" w:hAnsi="Arial"/>
          <w:sz w:val="16"/>
          <w:szCs w:val="16"/>
          <w:color w:val="auto"/>
        </w:rPr>
        <w:t xml:space="preserve"> thresholds under the PMIERs and state capital requirements. NMIC's capital needs also depend on its decision to access the reinsurance markets. NMIH may require liquidity to fund the capital needs of its insurance subsidiaries.</w:t>
      </w:r>
    </w:p>
    <w:p>
      <w:pPr>
        <w:spacing w:after="0" w:line="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November 2015, NMIH entered into the Credit Agreement for the Term Loan. On February 10, 2017, NMIH amended the Credit Agreement (Amendment No. 1) to reduce the interest rate and extend the maturity date of the Term Loan from November 10, 2018 to November 10, 2019. The amended Term Loan bears interest at the Eurodollar Rate, as defined in the Credit Agreement and subject to a 1.00% floor, plus an annual margin rate of 6.75%, payable monthly or quarterly based on our interest rate election. On October 25, 2017, NMIH further amended the Credit Agreement (Amendment No. 2) to remove a covenant that required NMIH to maintain liquidity (as defined therein) in an aggregate amount no less than all remaining interest payments due under the Term Loan. As modified by Amendment No. 2, the Credit Agreement retains the requirement that NMIH maintain liquidity in an aggregate amount no less than the sum of all remaining principal amortization payments due under the Term Loan, excluding principal scheduled to be paid on its maturity date, determined to be $2.3 million as of March 31, 2018. The Credit Agreement contains other restrictive covenants and required financial ratios and tests (which were not modified by Amendments No.1 or No.2) that we are required to meet or maintain. The current covenants include, but are not limited to the following: a maximum debt-to-total capitalization ratio (as defined therein) of 35%, maximum RTC ratio of 22.0:1.0, minimum liquidity (as modified by Amendment No. 2 and defined therein), compliance with the PMIERs financial requirements (subject to any GSE-approved waivers), and minimum shareholders' equity requirements.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primary objectives with respect to our investment portfolio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Substantially all of our investment portfolio is held in fixed maturity instruments. As of March 31, 2018, the fair value of our investment portfolio was $723.8 million. We also had an additional $101.9 million of cash and equivalents as of March 31, 2018. Pre-tax book yield on the portfolio for the three months ended March 31, 2018 was 2.4%. The book yield is calculated as period-to-date net investment income divided by the average amortized cost of the investment portfolio. Yield on the investment portfolio is likely to change over time based on movements in interest rates, the duration or mix of our investment portfolio and other factors.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a breakdown of our investment portfolio and cash and cash equivalents by investment type and credit rating.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60" w:type="dxa"/>
            <w:vAlign w:val="bottom"/>
          </w:tcPr>
          <w:p>
            <w:pPr>
              <w:spacing w:after="0"/>
              <w:rPr>
                <w:sz w:val="16"/>
                <w:szCs w:val="16"/>
                <w:color w:val="auto"/>
              </w:rPr>
            </w:pPr>
          </w:p>
        </w:tc>
        <w:tc>
          <w:tcPr>
            <w:tcW w:w="1800" w:type="dxa"/>
            <w:vAlign w:val="bottom"/>
            <w:gridSpan w:val="3"/>
          </w:tcPr>
          <w:p>
            <w:pPr>
              <w:ind w:left="340"/>
              <w:spacing w:after="0"/>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16"/>
                <w:szCs w:val="16"/>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760" w:type="dxa"/>
            <w:vAlign w:val="bottom"/>
            <w:gridSpan w:val="2"/>
          </w:tcPr>
          <w:p>
            <w:pPr>
              <w:jc w:val="right"/>
              <w:ind w:right="102"/>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gridSpan w:val="2"/>
          </w:tcPr>
          <w:p>
            <w:pPr>
              <w:jc w:val="right"/>
              <w:ind w:right="10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17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1760" w:type="dxa"/>
            <w:vAlign w:val="bottom"/>
            <w:gridSpan w:val="2"/>
          </w:tcPr>
          <w:p>
            <w:pPr>
              <w:jc w:val="right"/>
              <w:ind w:right="102"/>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gridSpan w:val="2"/>
          </w:tcPr>
          <w:p>
            <w:pPr>
              <w:jc w:val="right"/>
              <w:ind w:right="10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r>
      <w:tr>
        <w:trPr>
          <w:trHeight w:val="257"/>
        </w:trPr>
        <w:tc>
          <w:tcPr>
            <w:tcW w:w="7700" w:type="dxa"/>
            <w:vAlign w:val="bottom"/>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r>
      <w:tr>
        <w:trPr>
          <w:trHeight w:val="20"/>
        </w:trPr>
        <w:tc>
          <w:tcPr>
            <w:tcW w:w="7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4"/>
        </w:trPr>
        <w:tc>
          <w:tcPr>
            <w:tcW w:w="7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8"/>
                <w:szCs w:val="8"/>
                <w:b w:val="1"/>
                <w:bCs w:val="1"/>
                <w:color w:val="auto"/>
              </w:rPr>
              <w:t>(1)</w:t>
            </w:r>
          </w:p>
        </w:tc>
        <w:tc>
          <w:tcPr>
            <w:tcW w:w="6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March 31, 2018</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70"/>
        </w:trPr>
        <w:tc>
          <w:tcPr>
            <w:tcW w:w="770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AA</w:t>
            </w:r>
            <w:r>
              <w:rPr>
                <w:rFonts w:ascii="Arial" w:cs="Arial" w:eastAsia="Arial" w:hAnsi="Arial"/>
                <w:sz w:val="12"/>
                <w:szCs w:val="12"/>
                <w:color w:val="auto"/>
              </w:rPr>
              <w:t>(2)</w:t>
            </w:r>
          </w:p>
        </w:tc>
        <w:tc>
          <w:tcPr>
            <w:tcW w:w="1760" w:type="dxa"/>
            <w:vAlign w:val="bottom"/>
            <w:gridSpan w:val="2"/>
          </w:tcPr>
          <w:p>
            <w:pPr>
              <w:jc w:val="right"/>
              <w:ind w:right="42"/>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gridSpan w:val="2"/>
          </w:tcPr>
          <w:p>
            <w:pPr>
              <w:jc w:val="right"/>
              <w:ind w:right="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r>
      <w:tr>
        <w:trPr>
          <w:trHeight w:val="270"/>
        </w:trPr>
        <w:tc>
          <w:tcPr>
            <w:tcW w:w="7700" w:type="dxa"/>
            <w:vAlign w:val="bottom"/>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A</w:t>
            </w:r>
            <w:r>
              <w:rPr>
                <w:rFonts w:ascii="Arial" w:cs="Arial" w:eastAsia="Arial" w:hAnsi="Arial"/>
                <w:sz w:val="12"/>
                <w:szCs w:val="12"/>
                <w:color w:val="auto"/>
              </w:rPr>
              <w:t>(2)</w:t>
            </w:r>
          </w:p>
        </w:tc>
        <w:tc>
          <w:tcPr>
            <w:tcW w:w="17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r>
      <w:tr>
        <w:trPr>
          <w:trHeight w:val="270"/>
        </w:trPr>
        <w:tc>
          <w:tcPr>
            <w:tcW w:w="7700" w:type="dxa"/>
            <w:vAlign w:val="bottom"/>
            <w:tcBorders>
              <w:bottom w:val="single" w:sz="8" w:color="CCEEFF"/>
            </w:tcBorders>
          </w:tcPr>
          <w:p>
            <w:pPr>
              <w:ind w:left="40"/>
              <w:spacing w:after="0" w:line="269" w:lineRule="exact"/>
              <w:rPr>
                <w:sz w:val="20"/>
                <w:szCs w:val="20"/>
                <w:color w:val="auto"/>
              </w:rPr>
            </w:pPr>
            <w:r>
              <w:rPr>
                <w:rFonts w:ascii="Arial" w:cs="Arial" w:eastAsia="Arial" w:hAnsi="Arial"/>
                <w:sz w:val="31"/>
                <w:szCs w:val="31"/>
                <w:color w:val="auto"/>
                <w:vertAlign w:val="subscript"/>
              </w:rPr>
              <w:t>BBB</w:t>
            </w:r>
            <w:r>
              <w:rPr>
                <w:rFonts w:ascii="Arial" w:cs="Arial" w:eastAsia="Arial" w:hAnsi="Arial"/>
                <w:sz w:val="12"/>
                <w:szCs w:val="12"/>
                <w:color w:val="auto"/>
              </w:rPr>
              <w:t>(2)</w:t>
            </w:r>
          </w:p>
        </w:tc>
        <w:tc>
          <w:tcPr>
            <w:tcW w:w="6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3"/>
                <w:szCs w:val="23"/>
                <w:color w:val="auto"/>
              </w:rPr>
            </w:pPr>
          </w:p>
        </w:tc>
      </w:tr>
      <w:tr>
        <w:trPr>
          <w:trHeight w:val="257"/>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2"/>
                <w:szCs w:val="22"/>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Excluded certain operating cash accounts.</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Includes +/– ratings.</w:t>
      </w:r>
    </w:p>
    <w:p>
      <w:pPr>
        <w:spacing w:after="0" w:line="1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ratings above are provided by one or more of: Moody's, S&amp;P and Fitch Ratings. If three ratings are available, we assign the middle rating for classification purposes, otherwise we assign the lowest rating.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171"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We had no material off-balance sheet arrangements as of March 31, 2018. In connection with the 2017 ILN Transaction, we have certain future contractual commitments to Oaktown Re, a special purpose VIE that is not consolidated in our financial results. See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5, Reinsurance."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fair value measurements, our investment portfolio, deferred policy acquisition costs, premium deficiency reserves, income taxes, reserves for insurance claims and claims expenses, warrants and share-based compensation have the greatest potential impact on our consolidated financial statements. Therefore, we consider these to be our critical accounting estimates. There have been no material changes to our critical accounting policies and estimates as compared to the critical accounting policies and estimates described in our 2017 10-K.</w:t>
      </w:r>
    </w:p>
    <w:p>
      <w:pPr>
        <w:sectPr>
          <w:pgSz w:w="11900" w:h="16838" w:orient="portrait"/>
          <w:cols w:equalWidth="0" w:num="1">
            <w:col w:w="11420"/>
          </w:cols>
          <w:pgMar w:left="240" w:top="580"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80"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16" w:lineRule="exact"/>
        <w:rPr>
          <w:sz w:val="20"/>
          <w:szCs w:val="20"/>
          <w:color w:val="auto"/>
        </w:rPr>
      </w:pPr>
    </w:p>
    <w:p>
      <w:pPr>
        <w:jc w:val="both"/>
        <w:ind w:left="660" w:hanging="328"/>
        <w:spacing w:after="0" w:line="297" w:lineRule="auto"/>
        <w:tabs>
          <w:tab w:leader="none" w:pos="66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50" w:lineRule="exact"/>
        <w:rPr>
          <w:rFonts w:ascii="Arial" w:cs="Arial" w:eastAsia="Arial" w:hAnsi="Arial"/>
          <w:sz w:val="16"/>
          <w:szCs w:val="16"/>
          <w:i w:val="1"/>
          <w:iCs w:val="1"/>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i w:val="1"/>
          <w:iCs w:val="1"/>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(e.g.,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March 31, 2018 and December 31, 2017 was $724 million and $716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2018, the duration of our fixed income portfolio, including cash and cash equivalents, was 3.39 years, which means that an instantaneous parallel shift (movement up or down) in the yield curve of 100 basis points would result in a change of 3.39% in fair value of our fixed income portfolio. Excluding cash, our fixed income portfolio duration was 3.78 years, which means that an instantaneous parallel shift (movement up or down) in the yield curve of 100 basis points would result in a change of 3.78% in fair value of our fixed income portfolio.</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market risk related to our Term Loan and 2017 ILN Transaction. As discussed in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4, Term Loan,</w:t>
      </w:r>
      <w:r>
        <w:rPr>
          <w:rFonts w:ascii="Arial" w:cs="Arial" w:eastAsia="Arial" w:hAnsi="Arial"/>
          <w:sz w:val="18"/>
          <w:szCs w:val="18"/>
          <w:color w:val="auto"/>
        </w:rPr>
        <w:t>" the Term Loan bears interest at a variable rate and, as a result, increases in market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rates would generally result in increased interest expense on our outstanding principal.</w:t>
      </w:r>
    </w:p>
    <w:p>
      <w:pPr>
        <w:spacing w:after="0" w:line="1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risk premium amounts under the 2017 ILN Transaction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March 31, 2018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March 31, 2018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disclose information relating to any such potential loss, whether in excess of any established accruals or where there is no established accrual. We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2017 10-K. As of the date of this report, other than as included below, we are not aware of any material changes in our risk factors from the risk factors disclosed in our 2017 10-K. You should carefully consider the risks and uncertainties described herein and in our 2017 10-K, which have the potential to affect our business, financial condition, results of operations, cash flows or prospects in a material and adverse manner. The risks described herein and in our 2017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face intense competition for business in our industry from existing private MI providers and potentially from new entrants. If we are unable to compete effectively, we may not be able to achieve our business goals, which would adversely affect our business, financial condition and operating results.</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MI industry is highly competitive. With six private MI companies actively competing for business from the same residential mortgage originators, it is important that we continue to differentiate ourselves from the other mortgage insurers, each of which sells substantially similar products to ours. We compete with other private mortgage insurers based on our terms of coverage, underwriting guidelines, pricing, customer service (including speed of MI underwriting and decisions), availability of ancillary products and services (including training and loan review services), financial strength, information security, customer relationships, name recognition and reputation, the strength of management teams and sales organizations, the effective use of technology, and innovation in the delivery and servicing of insurance products.</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One or more of our competitors may seek to capture increased market share from the public MIs, such as the FHA or VA, or from other private mortgage insurers by reducing prices, offering alternative coverage and product options, including offerings for loans not intended to be sold to the GSEs, loosening their underwriting guidelines or relaxing risk management policies, which could, in turn, improve their competitive positions in the industry and negatively impact our ability to achieve our business goals. Competition within the private mortgage insurance industry could result in our loss of customers, lower premiums, riskier credit guidelines and other changes that could lower our revenues or increase our expenses. If our information technology systems are inferior to our competitors', existing and potential customers may choose our competitors' products over ours. If we are unable to compete effectively against our competitors and attract and retain our target customers, our revenue may be adversely impacted, which could adversely impact our growth and profitability.</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and most of our competitors, either directly or indirectly, offer certain ancillary services to mortgage lenders with which we also conduct MI business, including loan review, training and other services. For various reasons, including those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5" w:name="page46"/>
    <w:bookmarkEnd w:id="45"/>
    <w:p>
      <w:pPr>
        <w:jc w:val="both"/>
        <w:spacing w:after="0" w:line="286" w:lineRule="auto"/>
        <w:rPr>
          <w:sz w:val="20"/>
          <w:szCs w:val="20"/>
          <w:color w:val="auto"/>
        </w:rPr>
      </w:pPr>
      <w:r>
        <w:rPr>
          <w:rFonts w:ascii="Arial" w:cs="Arial" w:eastAsia="Arial" w:hAnsi="Arial"/>
          <w:sz w:val="17"/>
          <w:szCs w:val="17"/>
          <w:color w:val="auto"/>
        </w:rPr>
        <w:t>related to resources or compliance, we may choose not to offer these services at all or not to offer them in a form or to the extent that is similar to the prevailing offerings of our competitors. If we choose not to offer these services, or if we were to offer ancillary services that are not well-received by the market and fail to perform as anticipated, we could be at a competitive disadvantage which could adversely impact our profitability.</w:t>
      </w:r>
    </w:p>
    <w:p>
      <w:pPr>
        <w:spacing w:after="0" w:line="1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of our competitors are subsidiaries of larger and more diversified corporations that may have access to greater amounts of capital and financial resources than we do, or at a lower cost of capital, and some have better financial strength ratings than we have. As a result, they may be better positioned to compete in and outside of the traditional MI market, including when the GSEs pursue alternative forms of credit enhancement other than private MI. In particular, Freddie Mac recently commenced piloting a new credit risk transfer program under which it purchases high-LTV loans (</w:t>
      </w:r>
      <w:r>
        <w:rPr>
          <w:rFonts w:ascii="Arial" w:cs="Arial" w:eastAsia="Arial" w:hAnsi="Arial"/>
          <w:sz w:val="17"/>
          <w:szCs w:val="17"/>
          <w:i w:val="1"/>
          <w:iCs w:val="1"/>
          <w:color w:val="auto"/>
        </w:rPr>
        <w:t>i.e.</w:t>
      </w:r>
      <w:r>
        <w:rPr>
          <w:rFonts w:ascii="Arial" w:cs="Arial" w:eastAsia="Arial" w:hAnsi="Arial"/>
          <w:sz w:val="17"/>
          <w:szCs w:val="17"/>
          <w:color w:val="auto"/>
        </w:rPr>
        <w:t>, LTVs above 80%) without MI and subsequently places mortgage insurance with a captive insurer controlled by one of our competitors, which captive in turn cedes 100% of the risk to a panel of offshore reinsurers (Freddie Mac calls the program IMAGIN). There have been media reports that Fannie Mae is considering a similar initiative. Although IMAGIN is currently in the pilot phase, we believe it competes with traditional LPMI products offered by private MI companies, including ours, and may gain traction in the market if, and to the extent, IMAGIN pricing is lower than prevailing LPMI rates and features of the IMAGIN offering cause originators and the GSEs to materially modify their historical preference for private MI as credit enhancement on high-LTV loans. In addition, the pricing of IMAGIN and competing LPMI products may allow these products to begin to impinge on BPMI market share, or may cause MIs, including NMIC, to reduce BPMI rates to deter this from occurring.</w:t>
      </w:r>
    </w:p>
    <w:p>
      <w:pPr>
        <w:spacing w:after="0" w:line="1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Our financial strength ratings may remain important for our customers to maintain confidence in our products and our competitive position. A downgrade in NMIC's ratings or ratings outlook could have an adverse effect on our financial condition and operating results, including (i) increased scrutiny of our financial condition by our customers, resulting in potential reduction in our NIW or (ii) negative impacts to our ability to conduct business in the non-GSE mortgage market, where financial strength ratings may be more important for such lenders. In addition, although financial strength ratings are not a requirement to remain an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under the current PMIERs framework, they may play a greater role to the extent GSEs use forms of credit enhancement other than traditional MI, including use of deeper MI coverage or other forms of credit risk transfer.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amount of insurance we may be able to write could be adversely affected if lenders and investors select alternatives to private MI.</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lenders and investors select alternatives to private MI on high-LTV loans, our business could be adversely affected. These alternatives to private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 include, but are not limited to:</w:t>
      </w:r>
    </w:p>
    <w:p>
      <w:pPr>
        <w:spacing w:after="0" w:line="157" w:lineRule="exact"/>
        <w:rPr>
          <w:sz w:val="20"/>
          <w:szCs w:val="20"/>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lenders using government mortgage insurance programs, including those of the FHA and the VA, and state-supported mortgage insurance funds in several states, including Massachusetts and California;</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lenders and other investors holding mortgages in portfolio and self-insuring;</w:t>
      </w:r>
    </w:p>
    <w:p>
      <w:pPr>
        <w:spacing w:after="0" w:line="117"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GSEs and other investors using credit enhancements other than MI (including alternative forms of credit risk transfer such as IMAGIN), using other credit enhancements in conjunction with reduced levels of MI coverage, or accepting credit risk without credit enhancement;</w:t>
      </w:r>
    </w:p>
    <w:p>
      <w:pPr>
        <w:spacing w:after="0" w:line="38"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lenders originating mortgages using "piggy-back" or other structures to avoid MI, such as a first mortgage with an 80% LTV and a second mortgage with a 10%, 15% or 20% LTV (referred to as 80-10-10, 80-15-5 or 80-20 loans, respectively) rather than a first mortgage with an LTV above 80% that has MI; and</w:t>
      </w:r>
    </w:p>
    <w:p>
      <w:pPr>
        <w:spacing w:after="0" w:line="7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borrowers paying cash or making large down payments versus securing mortgage financing, which has occurred with greater frequency in the years following the most recent financial crisis.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of these alternatives to private MI could reduce or eliminate the need for our products, could cause us to lose business and/or could limit our ability to attract the business that we would prefer to insure.</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at the direction of the FHFA, the GSEs have expanded their credit and mortgage risk transfer programs. These programs have included the use of structured finance vehicles, obtaining insurance from non-mortgage insurers (</w:t>
      </w:r>
      <w:r>
        <w:rPr>
          <w:rFonts w:ascii="Arial" w:cs="Arial" w:eastAsia="Arial" w:hAnsi="Arial"/>
          <w:sz w:val="18"/>
          <w:szCs w:val="18"/>
          <w:i w:val="1"/>
          <w:iCs w:val="1"/>
          <w:color w:val="auto"/>
        </w:rPr>
        <w:t>e.g.</w:t>
      </w:r>
      <w:r>
        <w:rPr>
          <w:rFonts w:ascii="Arial" w:cs="Arial" w:eastAsia="Arial" w:hAnsi="Arial"/>
          <w:sz w:val="18"/>
          <w:szCs w:val="18"/>
          <w:color w:val="auto"/>
        </w:rPr>
        <w:t>, IMAGIN), including off-shore reinsurance, engaging in credit-linked note transactions in the capital markets, or using other forms of debt issuances or securitizations that transfer credit risk directly to other investors. The growing success of these programs and the perception that some of these risk-sharing structures have beneficial features in comparison to private MI (</w:t>
      </w:r>
      <w:r>
        <w:rPr>
          <w:rFonts w:ascii="Arial" w:cs="Arial" w:eastAsia="Arial" w:hAnsi="Arial"/>
          <w:sz w:val="18"/>
          <w:szCs w:val="18"/>
          <w:i w:val="1"/>
          <w:iCs w:val="1"/>
          <w:color w:val="auto"/>
        </w:rPr>
        <w:t>e.g.</w:t>
      </w:r>
      <w:r>
        <w:rPr>
          <w:rFonts w:ascii="Arial" w:cs="Arial" w:eastAsia="Arial" w:hAnsi="Arial"/>
          <w:sz w:val="18"/>
          <w:szCs w:val="18"/>
          <w:color w:val="auto"/>
        </w:rPr>
        <w:t>, lower costs, reduced counter-party risk due to collateral requirements or more diversified insurance exposures) may create increased competition for private MI on loans traditionally sold to the GSEs with private MI.</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Beginning in 2008, the public MIs, principally the FHA and VA, significantly expanded their role in the MI market as incumbent private mortgage insurers came under significant financial stress. While declining from peak market share following the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jc w:val="both"/>
        <w:spacing w:after="0" w:line="293" w:lineRule="auto"/>
        <w:rPr>
          <w:sz w:val="20"/>
          <w:szCs w:val="20"/>
          <w:color w:val="auto"/>
        </w:rPr>
      </w:pPr>
      <w:r>
        <w:rPr>
          <w:rFonts w:ascii="Arial" w:cs="Arial" w:eastAsia="Arial" w:hAnsi="Arial"/>
          <w:sz w:val="16"/>
          <w:szCs w:val="16"/>
          <w:color w:val="auto"/>
        </w:rPr>
        <w:t>most recent financial crisis, the market share of the public MIs remains substantially above their historically low market share prior to 2008. Government mortgage insurance programs are not subject to the same capital requirements, costs of capital, risk tolerance or business objectives that we and other private mortgage insurers are, and therefore, generally have greater financial flexibility in setting their pricing, guidelines and capacity, which could put us at a competitive disadvantage. Although there has been broad policy consensus toward the need for private capital to play a larger role and government credit risk to be reduced in the U.S. housing finance system, it remains difficult to predict whether the combined market share of the public MIs will recede to historical levels. These agencies may continue to maintain a strong combined market position and could increase their market share in the future.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could cause government-supported mortgage insurance programs to remain significant include:</w:t>
      </w:r>
    </w:p>
    <w:p>
      <w:pPr>
        <w:spacing w:after="0" w:line="17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housing policy, including future premium reductions or loosening of underwriting guidelines;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premium rates or tightening of underwriting guidelines by private mortgage insurers;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constraints in the private MI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in capital requirements imposed on private mortgage insurers by the GSEs or states;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continuation of increases to or imposition of new GSE loan delivery fees on loans that require MI, which may result in higher borrower costs for MI loans compared to loans insured by public MIs;</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loans insured under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difference in the spread between GSE mortgage-backed securities and Ginnie Mae mortgage-backed securities;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in public MIs' loan limits above GSE loan limits;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operational ease of using insurance from public MIs compared to private 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the public MIs maintain or increase their share of the mortgage insurance market, our business and industry could be negatively affected.</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degree to which lenders or borrowers may select these alternatives now, or in the future, is difficult to predict. As one or more of the alternatives described above, or new alternatives that enter the market, are chosen over MI, our revenues could be adversely impacted. The loss of business in general or the specific loss of more profitable business could have a material adverse effect on our financial position and operating results.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business practices of the GSEs, including a decision to decrease or discontinue the use of private MI, federal legislation that changes their charters or a restructuring of the GSEs could reduce our revenues or increase our losses.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requirements and practices of the GSEs impact the operating results and financial performance of GSE-approved private mortgage insurers. Changes in the charters or business practices of Freddie Mac or Fannie Mae could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With the GSEs in a prolonged conservatorship, there has been ongoing debate over the future role and purpose of the GSEs in the U.S. housing market. The U.S. Congress may legislate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The proposals vary greatly with regard to the government's role in the housing market, and more specifically, with regard to the existence of an explicit or implicit government guarantee. If any GSE reform legislation is enacted, it could impact the current role of private mortgage insurance as credit enhancement, including its reduction or elimination, which would have an adverse effect on our revenue, operating results, prospects or financial condition. As a result of these matters, it is uncertain what role private capital, including MI, will play in the domestic residential housing finance system in the future or the impact of any such changes on our business. In addition, the timing of the impact on our business is uncertain. Any changes to the charters or statutory authorities of the GSEs would require Congressional action to implement. Passage and timing of any comprehensive GSE reform legislation or incremental change is uncertain and could change through the legislative process, which could take time, making the actual impact on us and our industry difficult to predict. With the current administration and Republican majority in Congress (including the resulting control of key committees addressing GSE reform), there is a possibility for greater consensus, although much uncertainty remains regarding the details of any reform as well as when it would be enacted or implemented. Any such changes that come to pass could have a significant impact on our business.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7" w:name="page48"/>
    <w:bookmarkEnd w:id="47"/>
    <w:p>
      <w:pPr>
        <w:jc w:val="both"/>
        <w:ind w:firstLine="648"/>
        <w:spacing w:after="0" w:line="257" w:lineRule="auto"/>
        <w:rPr>
          <w:sz w:val="20"/>
          <w:szCs w:val="20"/>
          <w:color w:val="auto"/>
        </w:rPr>
      </w:pPr>
      <w:r>
        <w:rPr>
          <w:rFonts w:ascii="Arial" w:cs="Arial" w:eastAsia="Arial" w:hAnsi="Arial"/>
          <w:sz w:val="18"/>
          <w:szCs w:val="18"/>
          <w:color w:val="auto"/>
        </w:rPr>
        <w:t>In recent years, the FHFA has set goals for the GSEs to transfer significant portions of the GSEs' mortgage credit risk to the private sector. To date, several credit risk transfer products have been created under the program, including IMAGIN and others discussed above in "</w:t>
      </w:r>
      <w:r>
        <w:rPr>
          <w:rFonts w:ascii="Arial" w:cs="Arial" w:eastAsia="Arial" w:hAnsi="Arial"/>
          <w:sz w:val="18"/>
          <w:szCs w:val="18"/>
          <w:i w:val="1"/>
          <w:iCs w:val="1"/>
          <w:color w:val="auto"/>
        </w:rPr>
        <w:t>The amount of insurance we</w:t>
      </w:r>
      <w:r>
        <w:rPr>
          <w:rFonts w:ascii="Arial" w:cs="Arial" w:eastAsia="Arial" w:hAnsi="Arial"/>
          <w:sz w:val="18"/>
          <w:szCs w:val="18"/>
          <w:color w:val="auto"/>
        </w:rPr>
        <w:t xml:space="preserve"> </w:t>
      </w:r>
      <w:r>
        <w:rPr>
          <w:rFonts w:ascii="Arial" w:cs="Arial" w:eastAsia="Arial" w:hAnsi="Arial"/>
          <w:sz w:val="18"/>
          <w:szCs w:val="18"/>
          <w:i w:val="1"/>
          <w:iCs w:val="1"/>
          <w:color w:val="auto"/>
        </w:rPr>
        <w:t>may be able to write could be adversely affected if lenders and investors select alternatives to private MI.</w:t>
      </w:r>
      <w:r>
        <w:rPr>
          <w:rFonts w:ascii="Arial" w:cs="Arial" w:eastAsia="Arial" w:hAnsi="Arial"/>
          <w:sz w:val="18"/>
          <w:szCs w:val="18"/>
          <w:color w:val="auto"/>
        </w:rPr>
        <w:t>" To the extent these credit risk products evolve in a</w:t>
      </w:r>
      <w:r>
        <w:rPr>
          <w:rFonts w:ascii="Arial" w:cs="Arial" w:eastAsia="Arial" w:hAnsi="Arial"/>
          <w:sz w:val="18"/>
          <w:szCs w:val="18"/>
          <w:i w:val="1"/>
          <w:iCs w:val="1"/>
          <w:color w:val="auto"/>
        </w:rPr>
        <w:t xml:space="preserve"> </w:t>
      </w:r>
      <w:r>
        <w:rPr>
          <w:rFonts w:ascii="Arial" w:cs="Arial" w:eastAsia="Arial" w:hAnsi="Arial"/>
          <w:sz w:val="18"/>
          <w:szCs w:val="18"/>
          <w:color w:val="auto"/>
        </w:rPr>
        <w:t>manner that displaces primary MI coverage, the amount of insurance we write may be reduced. It is difficult to predict the impact of alternative credit risk transfer products, if any, that are developed to meet the goals established by the FHFA.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index to exhibits has been filed as part of this report and is incorporated herein by reference.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May 1, 2018</w:t>
      </w:r>
      <w:r>
        <w:rPr>
          <w:sz w:val="20"/>
          <w:szCs w:val="20"/>
          <w:color w:val="auto"/>
        </w:rPr>
        <w:tab/>
      </w:r>
      <w:r>
        <w:rPr>
          <w:rFonts w:ascii="Arial" w:cs="Arial" w:eastAsia="Arial" w:hAnsi="Arial"/>
          <w:sz w:val="17"/>
          <w:szCs w:val="17"/>
          <w:color w:val="auto"/>
        </w:rPr>
        <w:t>By: /s/ Adam Pollitzer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Adam Pollitzer</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240" w:top="1013" w:right="7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20" w:type="dxa"/>
            <w:vAlign w:val="bottom"/>
            <w:gridSpan w:val="12"/>
          </w:tcPr>
          <w:p>
            <w:pPr>
              <w:ind w:left="36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gridSpan w:val="10"/>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85"/>
        </w:trPr>
        <w:tc>
          <w:tcPr>
            <w:tcW w:w="10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0000FF"/>
                <w:w w:val="94"/>
              </w:rPr>
            </w:pPr>
            <w:hyperlink r:id="rId11">
              <w:r>
                <w:rPr>
                  <w:rFonts w:ascii="Arial" w:cs="Arial" w:eastAsia="Arial" w:hAnsi="Arial"/>
                  <w:sz w:val="18"/>
                  <w:szCs w:val="18"/>
                  <w:color w:val="0000FF"/>
                  <w:w w:val="94"/>
                </w:rPr>
                <w:t>Stock Purchase Agreement, dated November 30, 2011</w:t>
              </w:r>
            </w:hyperlink>
            <w:r>
              <w:rPr>
                <w:rFonts w:ascii="Arial" w:cs="Arial" w:eastAsia="Arial" w:hAnsi="Arial"/>
                <w:sz w:val="18"/>
                <w:szCs w:val="18"/>
                <w:color w:val="000000"/>
                <w:w w:val="94"/>
              </w:rPr>
              <w:t>,</w:t>
            </w:r>
            <w:r>
              <w:rPr>
                <w:rFonts w:ascii="Arial" w:cs="Arial" w:eastAsia="Arial" w:hAnsi="Arial"/>
                <w:sz w:val="18"/>
                <w:szCs w:val="18"/>
                <w:color w:val="0000FF"/>
                <w:w w:val="94"/>
              </w:rPr>
              <w:t xml:space="preserve"> </w:t>
            </w:r>
            <w:r>
              <w:rPr>
                <w:rFonts w:ascii="Arial" w:cs="Arial" w:eastAsia="Arial" w:hAnsi="Arial"/>
                <w:sz w:val="18"/>
                <w:szCs w:val="18"/>
                <w:color w:val="000000"/>
                <w:w w:val="94"/>
              </w:rPr>
              <w:t>between NMI Holdings, Inc. and MAC Financial Ltd. (incorporated herein by</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reference to Exhibit 2.1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6"/>
              </w:rPr>
            </w:pPr>
            <w:hyperlink r:id="rId12">
              <w:r>
                <w:rPr>
                  <w:rFonts w:ascii="Arial" w:cs="Arial" w:eastAsia="Arial" w:hAnsi="Arial"/>
                  <w:sz w:val="18"/>
                  <w:szCs w:val="18"/>
                  <w:color w:val="0000FF"/>
                  <w:w w:val="96"/>
                </w:rPr>
                <w:t>Amendment to Stock Purchase Agreement, dated April 6, 2012</w:t>
              </w:r>
            </w:hyperlink>
            <w:r>
              <w:rPr>
                <w:rFonts w:ascii="Arial" w:cs="Arial" w:eastAsia="Arial" w:hAnsi="Arial"/>
                <w:sz w:val="18"/>
                <w:szCs w:val="18"/>
                <w:color w:val="000000"/>
                <w:w w:val="96"/>
              </w:rPr>
              <w:t>,</w:t>
            </w:r>
            <w:r>
              <w:rPr>
                <w:rFonts w:ascii="Arial" w:cs="Arial" w:eastAsia="Arial" w:hAnsi="Arial"/>
                <w:sz w:val="18"/>
                <w:szCs w:val="18"/>
                <w:color w:val="0000FF"/>
                <w:w w:val="96"/>
              </w:rPr>
              <w:t xml:space="preserve"> </w:t>
            </w:r>
            <w:r>
              <w:rPr>
                <w:rFonts w:ascii="Arial" w:cs="Arial" w:eastAsia="Arial" w:hAnsi="Arial"/>
                <w:sz w:val="18"/>
                <w:szCs w:val="18"/>
                <w:color w:val="000000"/>
                <w:w w:val="96"/>
              </w:rPr>
              <w:t>between NMI Holdings, Inc. and MAC Financial Ltd. (incorporated</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w w:val="95"/>
              </w:rPr>
              <w:t>herein by reference to Exhibit 2.2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1"/>
              </w:rPr>
            </w:pPr>
            <w:hyperlink r:id="rId13">
              <w:r>
                <w:rPr>
                  <w:rFonts w:ascii="Arial" w:cs="Arial" w:eastAsia="Arial" w:hAnsi="Arial"/>
                  <w:sz w:val="18"/>
                  <w:szCs w:val="18"/>
                  <w:color w:val="0000FF"/>
                  <w:w w:val="91"/>
                </w:rPr>
                <w:t xml:space="preserve">Second Amended and Restated Certificate of Incorporation </w:t>
              </w:r>
            </w:hyperlink>
            <w:r>
              <w:rPr>
                <w:rFonts w:ascii="Arial" w:cs="Arial" w:eastAsia="Arial" w:hAnsi="Arial"/>
                <w:sz w:val="18"/>
                <w:szCs w:val="18"/>
                <w:color w:val="000000"/>
                <w:w w:val="91"/>
              </w:rPr>
              <w:t>(incorporated</w:t>
            </w:r>
            <w:r>
              <w:rPr>
                <w:rFonts w:ascii="Arial" w:cs="Arial" w:eastAsia="Arial" w:hAnsi="Arial"/>
                <w:sz w:val="18"/>
                <w:szCs w:val="18"/>
                <w:color w:val="0000FF"/>
                <w:w w:val="91"/>
              </w:rPr>
              <w:t xml:space="preserve"> </w:t>
            </w:r>
            <w:r>
              <w:rPr>
                <w:rFonts w:ascii="Arial" w:cs="Arial" w:eastAsia="Arial" w:hAnsi="Arial"/>
                <w:sz w:val="18"/>
                <w:szCs w:val="18"/>
                <w:color w:val="000000"/>
                <w:w w:val="91"/>
              </w:rPr>
              <w:t>herein by reference to Exhibit 3.1 to our Form S-1 Registration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5"/>
              </w:rPr>
            </w:pPr>
            <w:hyperlink r:id="rId14">
              <w:r>
                <w:rPr>
                  <w:rFonts w:ascii="Arial" w:cs="Arial" w:eastAsia="Arial" w:hAnsi="Arial"/>
                  <w:sz w:val="18"/>
                  <w:szCs w:val="18"/>
                  <w:color w:val="0000FF"/>
                  <w:w w:val="95"/>
                </w:rPr>
                <w:t xml:space="preserve">Third Amended and Restated By-Laws </w:t>
              </w:r>
            </w:hyperlink>
            <w:r>
              <w:rPr>
                <w:rFonts w:ascii="Arial" w:cs="Arial" w:eastAsia="Arial" w:hAnsi="Arial"/>
                <w:sz w:val="18"/>
                <w:szCs w:val="18"/>
                <w:color w:val="000000"/>
                <w:w w:val="95"/>
              </w:rPr>
              <w:t>(incorporated</w:t>
            </w:r>
            <w:r>
              <w:rPr>
                <w:rFonts w:ascii="Arial" w:cs="Arial" w:eastAsia="Arial" w:hAnsi="Arial"/>
                <w:sz w:val="18"/>
                <w:szCs w:val="18"/>
                <w:color w:val="0000FF"/>
                <w:w w:val="95"/>
              </w:rPr>
              <w:t xml:space="preserve"> </w:t>
            </w:r>
            <w:r>
              <w:rPr>
                <w:rFonts w:ascii="Arial" w:cs="Arial" w:eastAsia="Arial" w:hAnsi="Arial"/>
                <w:sz w:val="18"/>
                <w:szCs w:val="18"/>
                <w:color w:val="000000"/>
                <w:w w:val="95"/>
              </w:rPr>
              <w:t>herein by reference to Exhibit 3.1 to our Form 8-K, filed on December 9, 2014)</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80" w:type="dxa"/>
            <w:vAlign w:val="bottom"/>
            <w:gridSpan w:val="19"/>
          </w:tcPr>
          <w:p>
            <w:pPr>
              <w:spacing w:after="0"/>
              <w:rPr>
                <w:rFonts w:ascii="Arial" w:cs="Arial" w:eastAsia="Arial" w:hAnsi="Arial"/>
                <w:sz w:val="18"/>
                <w:szCs w:val="18"/>
                <w:color w:val="0000FF"/>
                <w:w w:val="94"/>
              </w:rPr>
            </w:pPr>
            <w:hyperlink r:id="rId15">
              <w:r>
                <w:rPr>
                  <w:rFonts w:ascii="Arial" w:cs="Arial" w:eastAsia="Arial" w:hAnsi="Arial"/>
                  <w:sz w:val="18"/>
                  <w:szCs w:val="18"/>
                  <w:color w:val="0000FF"/>
                  <w:w w:val="94"/>
                </w:rPr>
                <w:t xml:space="preserve">Specimen Class A common stock certificate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herein by reference to Exhibit 4.1 to our Form S-1 Registration Statement</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3"/>
              </w:rPr>
            </w:pPr>
            <w:hyperlink r:id="rId16">
              <w:r>
                <w:rPr>
                  <w:rFonts w:ascii="Arial" w:cs="Arial" w:eastAsia="Arial" w:hAnsi="Arial"/>
                  <w:sz w:val="18"/>
                  <w:szCs w:val="18"/>
                  <w:color w:val="0000FF"/>
                  <w:w w:val="93"/>
                </w:rPr>
                <w:t xml:space="preserve">Registration Rights Agreement between NMI Holdings, Inc. and FBR Capital Markets &amp; Co., dated April 24, 2012 </w:t>
              </w:r>
            </w:hyperlink>
            <w:r>
              <w:rPr>
                <w:rFonts w:ascii="Arial" w:cs="Arial" w:eastAsia="Arial" w:hAnsi="Arial"/>
                <w:sz w:val="18"/>
                <w:szCs w:val="18"/>
                <w:color w:val="000000"/>
                <w:w w:val="93"/>
              </w:rPr>
              <w:t>(incorporated</w:t>
            </w:r>
            <w:r>
              <w:rPr>
                <w:rFonts w:ascii="Arial" w:cs="Arial" w:eastAsia="Arial" w:hAnsi="Arial"/>
                <w:sz w:val="18"/>
                <w:szCs w:val="18"/>
                <w:color w:val="0000FF"/>
                <w:w w:val="93"/>
              </w:rPr>
              <w:t xml:space="preserve"> </w:t>
            </w:r>
            <w:r>
              <w:rPr>
                <w:rFonts w:ascii="Arial" w:cs="Arial" w:eastAsia="Arial" w:hAnsi="Arial"/>
                <w:sz w:val="18"/>
                <w:szCs w:val="18"/>
                <w:color w:val="000000"/>
                <w:w w:val="93"/>
              </w:rPr>
              <w:t>herein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by reference to Exhibit 4.2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4"/>
              </w:rPr>
            </w:pPr>
            <w:hyperlink r:id="rId17">
              <w:r>
                <w:rPr>
                  <w:rFonts w:ascii="Arial" w:cs="Arial" w:eastAsia="Arial" w:hAnsi="Arial"/>
                  <w:sz w:val="18"/>
                  <w:szCs w:val="18"/>
                  <w:color w:val="0000FF"/>
                  <w:w w:val="94"/>
                </w:rPr>
                <w:t xml:space="preserve">Registration Rights Agreement by and between MAC Financial Ltd. and NMI Holdings, Inc., dated April 24, 2012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herein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by reference to Exhibit 4.3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4"/>
              </w:rPr>
            </w:pPr>
            <w:hyperlink r:id="rId18">
              <w:r>
                <w:rPr>
                  <w:rFonts w:ascii="Arial" w:cs="Arial" w:eastAsia="Arial" w:hAnsi="Arial"/>
                  <w:sz w:val="18"/>
                  <w:szCs w:val="18"/>
                  <w:color w:val="0000FF"/>
                  <w:w w:val="94"/>
                </w:rPr>
                <w:t>Registration Rights Agreement between FBR &amp; Co., FBR Capital Markets LT, Inc., FBR Capital Markets &amp; Co., FBR Capital Markets</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top w:val="single" w:sz="8" w:color="0000FF"/>
            </w:tcBorders>
            <w:gridSpan w:val="17"/>
          </w:tcPr>
          <w:p>
            <w:pPr>
              <w:spacing w:after="0" w:line="196" w:lineRule="exact"/>
              <w:rPr>
                <w:rFonts w:ascii="Arial" w:cs="Arial" w:eastAsia="Arial" w:hAnsi="Arial"/>
                <w:sz w:val="18"/>
                <w:szCs w:val="18"/>
                <w:color w:val="0000FF"/>
                <w:w w:val="93"/>
              </w:rPr>
            </w:pPr>
            <w:hyperlink r:id="rId18">
              <w:r>
                <w:rPr>
                  <w:rFonts w:ascii="Arial" w:cs="Arial" w:eastAsia="Arial" w:hAnsi="Arial"/>
                  <w:sz w:val="18"/>
                  <w:szCs w:val="18"/>
                  <w:color w:val="0000FF"/>
                  <w:w w:val="93"/>
                </w:rPr>
                <w:t xml:space="preserve">PT, Inc. and NMI Holdings, Inc., dated April 24, 2012 </w:t>
              </w:r>
              <w:r>
                <w:rPr>
                  <w:rFonts w:ascii="Arial" w:cs="Arial" w:eastAsia="Arial" w:hAnsi="Arial"/>
                  <w:sz w:val="18"/>
                  <w:szCs w:val="18"/>
                  <w:color w:val="000000"/>
                  <w:w w:val="93"/>
                </w:rPr>
                <w:t>(incorporated herein by reference to Exhibit 4.4 to our Form S-1 Registration</w:t>
              </w:r>
            </w:hyperlink>
          </w:p>
        </w:tc>
        <w:tc>
          <w:tcPr>
            <w:tcW w:w="26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0" w:type="dxa"/>
            <w:vAlign w:val="bottom"/>
            <w:tcBorders>
              <w:bottom w:val="single" w:sz="8" w:color="0000FF"/>
            </w:tcBorders>
            <w:gridSpan w:val="14"/>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Warrant No. 1 to Purchase Common Stock of NMI Holdings, Inc. issued to FBR Capital Markets &amp; Co., dated June 13,</w:t>
              </w:r>
            </w:hyperlink>
          </w:p>
        </w:tc>
        <w:tc>
          <w:tcPr>
            <w:tcW w:w="1380" w:type="dxa"/>
            <w:vAlign w:val="bottom"/>
            <w:gridSpan w:val="5"/>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 xml:space="preserve">2013 </w:t>
              </w:r>
              <w:r>
                <w:rPr>
                  <w:rFonts w:ascii="Arial" w:cs="Arial" w:eastAsia="Arial" w:hAnsi="Arial"/>
                  <w:sz w:val="18"/>
                  <w:szCs w:val="18"/>
                  <w:color w:val="000000"/>
                  <w:w w:val="94"/>
                </w:rPr>
                <w:t>(incorporated herein by reference to Exhibit 4.5 to our Form S-1 Registration Statement (Registration No. 333-</w:t>
              </w:r>
            </w:hyperlink>
            <w:r>
              <w:rPr>
                <w:rFonts w:ascii="Arial" w:cs="Arial" w:eastAsia="Arial" w:hAnsi="Arial"/>
                <w:sz w:val="18"/>
                <w:szCs w:val="18"/>
                <w:color w:val="0000FF"/>
                <w:w w:val="94"/>
              </w:rPr>
              <w:t xml:space="preserve">191635), </w:t>
            </w:r>
            <w:r>
              <w:rPr>
                <w:rFonts w:ascii="Arial" w:cs="Arial" w:eastAsia="Arial" w:hAnsi="Arial"/>
                <w:sz w:val="18"/>
                <w:szCs w:val="18"/>
                <w:color w:val="000000"/>
                <w:w w:val="94"/>
              </w:rPr>
              <w:t>filed on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3"/>
              </w:rPr>
            </w:pPr>
            <w:hyperlink r:id="rId20">
              <w:r>
                <w:rPr>
                  <w:rFonts w:ascii="Arial" w:cs="Arial" w:eastAsia="Arial" w:hAnsi="Arial"/>
                  <w:sz w:val="18"/>
                  <w:szCs w:val="18"/>
                  <w:color w:val="0000FF"/>
                  <w:w w:val="93"/>
                </w:rPr>
                <w:t xml:space="preserve">Form of Warrant to Purchase Common Stock of NMI Holdings, Inc. issued to former stockholders of MAC Financial Ltd. </w:t>
              </w:r>
            </w:hyperlink>
            <w:r>
              <w:rPr>
                <w:rFonts w:ascii="Arial" w:cs="Arial" w:eastAsia="Arial" w:hAnsi="Arial"/>
                <w:sz w:val="18"/>
                <w:szCs w:val="18"/>
                <w:color w:val="000000"/>
                <w:w w:val="93"/>
              </w:rPr>
              <w:t>(incorporated</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480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w w:val="95"/>
              </w:rPr>
              <w:t>herein by reference to Exhibit 4.6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10.1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 xml:space="preserve">NMI Holdings Inc. 2012 Stock Incentive Plan </w:t>
              </w:r>
            </w:hyperlink>
            <w:r>
              <w:rPr>
                <w:rFonts w:ascii="Arial" w:cs="Arial" w:eastAsia="Arial" w:hAnsi="Arial"/>
                <w:sz w:val="18"/>
                <w:szCs w:val="18"/>
                <w:color w:val="000000"/>
                <w:w w:val="93"/>
              </w:rPr>
              <w:t>(incorporated</w:t>
            </w:r>
            <w:r>
              <w:rPr>
                <w:rFonts w:ascii="Arial" w:cs="Arial" w:eastAsia="Arial" w:hAnsi="Arial"/>
                <w:sz w:val="18"/>
                <w:szCs w:val="18"/>
                <w:color w:val="0000FF"/>
                <w:w w:val="93"/>
              </w:rPr>
              <w:t xml:space="preserve"> </w:t>
            </w:r>
            <w:r>
              <w:rPr>
                <w:rFonts w:ascii="Arial" w:cs="Arial" w:eastAsia="Arial" w:hAnsi="Arial"/>
                <w:sz w:val="18"/>
                <w:szCs w:val="18"/>
                <w:color w:val="000000"/>
                <w:w w:val="93"/>
              </w:rPr>
              <w:t>herein by reference to Exhibit 10.1 to our Form S-1 Registration Statement</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10.2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5"/>
              </w:rPr>
            </w:pPr>
            <w:hyperlink r:id="rId22">
              <w:r>
                <w:rPr>
                  <w:rFonts w:ascii="Arial" w:cs="Arial" w:eastAsia="Arial" w:hAnsi="Arial"/>
                  <w:sz w:val="18"/>
                  <w:szCs w:val="18"/>
                  <w:color w:val="0000FF"/>
                  <w:w w:val="95"/>
                </w:rPr>
                <w:t>Form of NMI Holdings, Inc. 2012 Stock Incentive Plan Restricted Stock Unit Award Agreement for Chief Executive Officer and Chief</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w w:val="97"/>
              </w:rPr>
            </w:pPr>
            <w:hyperlink r:id="rId22">
              <w:r>
                <w:rPr>
                  <w:rFonts w:ascii="Arial" w:cs="Arial" w:eastAsia="Arial" w:hAnsi="Arial"/>
                  <w:sz w:val="18"/>
                  <w:szCs w:val="18"/>
                  <w:color w:val="0000FF"/>
                  <w:w w:val="97"/>
                </w:rPr>
                <w:t xml:space="preserve">Financial Officer </w:t>
              </w:r>
              <w:r>
                <w:rPr>
                  <w:rFonts w:ascii="Arial" w:cs="Arial" w:eastAsia="Arial" w:hAnsi="Arial"/>
                  <w:sz w:val="18"/>
                  <w:szCs w:val="18"/>
                  <w:color w:val="000000"/>
                  <w:w w:val="97"/>
                </w:rPr>
                <w:t>(incorporated herein by reference to Exhibit 10.2 to our Form S-1 Registration Statement (Registration No. 333-</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8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10.3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 xml:space="preserve">Form of NMI Holdings, Inc. 2012 Stock Incentive Plan Restricted Stock Unit Award Agreement for Management </w:t>
              </w:r>
            </w:hyperlink>
            <w:r>
              <w:rPr>
                <w:rFonts w:ascii="Arial" w:cs="Arial" w:eastAsia="Arial" w:hAnsi="Arial"/>
                <w:sz w:val="18"/>
                <w:szCs w:val="18"/>
                <w:color w:val="000000"/>
                <w:w w:val="92"/>
              </w:rPr>
              <w:t>(incorporated</w:t>
            </w:r>
            <w:r>
              <w:rPr>
                <w:rFonts w:ascii="Arial" w:cs="Arial" w:eastAsia="Arial" w:hAnsi="Arial"/>
                <w:sz w:val="18"/>
                <w:szCs w:val="18"/>
                <w:color w:val="0000FF"/>
                <w:w w:val="92"/>
              </w:rPr>
              <w:t xml:space="preserve"> </w:t>
            </w:r>
            <w:r>
              <w:rPr>
                <w:rFonts w:ascii="Arial" w:cs="Arial" w:eastAsia="Arial" w:hAnsi="Arial"/>
                <w:sz w:val="18"/>
                <w:szCs w:val="18"/>
                <w:color w:val="000000"/>
                <w:w w:val="92"/>
              </w:rPr>
              <w:t>herein by</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8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reference to Exhibit 10.3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10.4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5"/>
              </w:rPr>
            </w:pPr>
            <w:hyperlink r:id="rId24">
              <w:r>
                <w:rPr>
                  <w:rFonts w:ascii="Arial" w:cs="Arial" w:eastAsia="Arial" w:hAnsi="Arial"/>
                  <w:sz w:val="18"/>
                  <w:szCs w:val="18"/>
                  <w:color w:val="0000FF"/>
                  <w:w w:val="95"/>
                </w:rPr>
                <w:t xml:space="preserve">Form of NMI Holdings, Inc. 2012 Stock Incentive Plan Restricted Stock Unit Award Agreement for Directors </w:t>
              </w:r>
            </w:hyperlink>
            <w:r>
              <w:rPr>
                <w:rFonts w:ascii="Arial" w:cs="Arial" w:eastAsia="Arial" w:hAnsi="Arial"/>
                <w:sz w:val="18"/>
                <w:szCs w:val="18"/>
                <w:color w:val="000000"/>
                <w:w w:val="95"/>
              </w:rPr>
              <w:t>(incorporated</w:t>
            </w:r>
            <w:r>
              <w:rPr>
                <w:rFonts w:ascii="Arial" w:cs="Arial" w:eastAsia="Arial" w:hAnsi="Arial"/>
                <w:sz w:val="18"/>
                <w:szCs w:val="18"/>
                <w:color w:val="0000FF"/>
                <w:w w:val="95"/>
              </w:rPr>
              <w:t xml:space="preserve"> </w:t>
            </w:r>
            <w:r>
              <w:rPr>
                <w:rFonts w:ascii="Arial" w:cs="Arial" w:eastAsia="Arial" w:hAnsi="Arial"/>
                <w:sz w:val="18"/>
                <w:szCs w:val="18"/>
                <w:color w:val="000000"/>
                <w:w w:val="95"/>
              </w:rPr>
              <w:t>herein by</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80" w:type="dxa"/>
            <w:vAlign w:val="bottom"/>
            <w:gridSpan w:val="7"/>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reference to Exhibit 10.4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10.5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60" w:type="dxa"/>
            <w:vAlign w:val="bottom"/>
            <w:tcBorders>
              <w:bottom w:val="single" w:sz="8" w:color="0000FF"/>
            </w:tcBorders>
            <w:gridSpan w:val="18"/>
          </w:tcPr>
          <w:p>
            <w:pPr>
              <w:spacing w:after="0"/>
              <w:rPr>
                <w:rFonts w:ascii="Arial" w:cs="Arial" w:eastAsia="Arial" w:hAnsi="Arial"/>
                <w:sz w:val="18"/>
                <w:szCs w:val="18"/>
                <w:color w:val="0000FF"/>
                <w:w w:val="95"/>
              </w:rPr>
            </w:pPr>
            <w:hyperlink r:id="rId25">
              <w:r>
                <w:rPr>
                  <w:rFonts w:ascii="Arial" w:cs="Arial" w:eastAsia="Arial" w:hAnsi="Arial"/>
                  <w:sz w:val="18"/>
                  <w:szCs w:val="18"/>
                  <w:color w:val="0000FF"/>
                  <w:w w:val="95"/>
                </w:rPr>
                <w:t>Form of NMI Holdings, Inc. 2012 Stock Incentive Plan Nonqualified Stock Option Award Agreement for Chief Executive Officer and</w:t>
              </w:r>
            </w:hyperlink>
          </w:p>
        </w:tc>
        <w:tc>
          <w:tcPr>
            <w:tcW w:w="20" w:type="dxa"/>
            <w:vAlign w:val="bottom"/>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 xml:space="preserve">Chief Financial Officer </w:t>
              </w:r>
              <w:r>
                <w:rPr>
                  <w:rFonts w:ascii="Arial" w:cs="Arial" w:eastAsia="Arial" w:hAnsi="Arial"/>
                  <w:sz w:val="18"/>
                  <w:szCs w:val="18"/>
                  <w:color w:val="000000"/>
                  <w:w w:val="93"/>
                </w:rPr>
                <w:t>(incorporated herein by reference to Exhibit 10.5 to our Form S-1 Registration Statement (Registration No. 333-</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740" w:type="dxa"/>
            <w:vAlign w:val="bottom"/>
            <w:gridSpan w:val="9"/>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10.6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6"/>
              </w:rPr>
            </w:pPr>
            <w:hyperlink r:id="rId26">
              <w:r>
                <w:rPr>
                  <w:rFonts w:ascii="Arial" w:cs="Arial" w:eastAsia="Arial" w:hAnsi="Arial"/>
                  <w:sz w:val="18"/>
                  <w:szCs w:val="18"/>
                  <w:color w:val="0000FF"/>
                  <w:w w:val="96"/>
                </w:rPr>
                <w:t xml:space="preserve">Form of NMI Holdings, Inc. 2012 Stock Incentive Plan Nonqualified Stock Option Award Agreement for Management </w:t>
              </w:r>
            </w:hyperlink>
            <w:r>
              <w:rPr>
                <w:rFonts w:ascii="Arial" w:cs="Arial" w:eastAsia="Arial" w:hAnsi="Arial"/>
                <w:sz w:val="18"/>
                <w:szCs w:val="18"/>
                <w:color w:val="000000"/>
                <w:w w:val="96"/>
              </w:rPr>
              <w:t>(incorporated</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820" w:type="dxa"/>
            <w:vAlign w:val="bottom"/>
            <w:gridSpan w:val="10"/>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w w:val="94"/>
              </w:rPr>
              <w:t>herein by reference to Exhibit 10.6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10.7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4"/>
              </w:rPr>
            </w:pPr>
            <w:hyperlink r:id="rId27">
              <w:r>
                <w:rPr>
                  <w:rFonts w:ascii="Arial" w:cs="Arial" w:eastAsia="Arial" w:hAnsi="Arial"/>
                  <w:sz w:val="18"/>
                  <w:szCs w:val="18"/>
                  <w:color w:val="0000FF"/>
                  <w:w w:val="94"/>
                </w:rPr>
                <w:t xml:space="preserve">Form of NMI Holdings, Inc. 2012 Stock Incentive Plan Nonqualified Stock Option Award Agreement for Directors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herein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820" w:type="dxa"/>
            <w:vAlign w:val="bottom"/>
            <w:gridSpan w:val="10"/>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by reference to Exhibit 10.7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10.8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60" w:type="dxa"/>
            <w:vAlign w:val="bottom"/>
            <w:tcBorders>
              <w:bottom w:val="single" w:sz="8" w:color="0000FF"/>
            </w:tcBorders>
            <w:gridSpan w:val="18"/>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Form of NMI Holdings, Inc. 2012 Stock Incentive Plan Nonqualified Stock Option Award Agreement for Chief Executive Officer and</w:t>
              </w:r>
            </w:hyperlink>
          </w:p>
        </w:tc>
        <w:tc>
          <w:tcPr>
            <w:tcW w:w="20" w:type="dxa"/>
            <w:vAlign w:val="bottom"/>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Chief Financial Office</w:t>
              </w:r>
              <w:r>
                <w:rPr>
                  <w:rFonts w:ascii="Arial" w:cs="Arial" w:eastAsia="Arial" w:hAnsi="Arial"/>
                  <w:sz w:val="18"/>
                  <w:szCs w:val="18"/>
                  <w:color w:val="000000"/>
                </w:rPr>
                <w:t>r (incorporated herein by reference to Exhibit 10.8 to our Form 10-K, filed on February 17, 2017)</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10.9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80" w:type="dxa"/>
            <w:vAlign w:val="bottom"/>
            <w:gridSpan w:val="19"/>
          </w:tcPr>
          <w:p>
            <w:pPr>
              <w:spacing w:after="0"/>
              <w:rPr>
                <w:rFonts w:ascii="Arial" w:cs="Arial" w:eastAsia="Arial" w:hAnsi="Arial"/>
                <w:sz w:val="18"/>
                <w:szCs w:val="18"/>
                <w:color w:val="0000FF"/>
                <w:w w:val="97"/>
              </w:rPr>
            </w:pPr>
            <w:hyperlink r:id="rId29">
              <w:r>
                <w:rPr>
                  <w:rFonts w:ascii="Arial" w:cs="Arial" w:eastAsia="Arial" w:hAnsi="Arial"/>
                  <w:sz w:val="18"/>
                  <w:szCs w:val="18"/>
                  <w:color w:val="0000FF"/>
                  <w:w w:val="97"/>
                </w:rPr>
                <w:t xml:space="preserve">Form of NMI Holdings, Inc. 2012 Stock Incentive Plan Nonqualified Stock Option Award Agreement for Employees  </w:t>
              </w:r>
            </w:hyperlink>
            <w:r>
              <w:rPr>
                <w:rFonts w:ascii="Arial" w:cs="Arial" w:eastAsia="Arial" w:hAnsi="Arial"/>
                <w:sz w:val="18"/>
                <w:szCs w:val="18"/>
                <w:color w:val="000000"/>
                <w:w w:val="97"/>
              </w:rPr>
              <w:t>(incorporated</w:t>
            </w: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4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auto"/>
              </w:rPr>
              <w:t>herein by reference to Exhibit 10.9 to our Form 10-K, filed on February 17, 2017)</w:t>
            </w:r>
          </w:p>
        </w:tc>
        <w:tc>
          <w:tcPr>
            <w:tcW w:w="1040" w:type="dxa"/>
            <w:vAlign w:val="bottom"/>
            <w:gridSpan w:val="3"/>
          </w:tcPr>
          <w:p>
            <w:pPr>
              <w:spacing w:after="0"/>
              <w:rPr>
                <w:sz w:val="20"/>
                <w:szCs w:val="20"/>
                <w:color w:val="auto"/>
              </w:rPr>
            </w:pP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10.10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60" w:type="dxa"/>
            <w:vAlign w:val="bottom"/>
            <w:tcBorders>
              <w:bottom w:val="single" w:sz="8" w:color="0000FF"/>
            </w:tcBorders>
            <w:gridSpan w:val="18"/>
          </w:tcPr>
          <w:p>
            <w:pPr>
              <w:spacing w:after="0"/>
              <w:rPr>
                <w:rFonts w:ascii="Arial" w:cs="Arial" w:eastAsia="Arial" w:hAnsi="Arial"/>
                <w:sz w:val="18"/>
                <w:szCs w:val="18"/>
                <w:color w:val="0000FF"/>
                <w:w w:val="95"/>
              </w:rPr>
            </w:pPr>
            <w:hyperlink r:id="rId30">
              <w:r>
                <w:rPr>
                  <w:rFonts w:ascii="Arial" w:cs="Arial" w:eastAsia="Arial" w:hAnsi="Arial"/>
                  <w:sz w:val="18"/>
                  <w:szCs w:val="18"/>
                  <w:color w:val="0000FF"/>
                  <w:w w:val="95"/>
                </w:rPr>
                <w:t>Amended and Restated Employment Agreement by and between NMI Holdings, Inc. and Bradley M. Shuster, dated December 23,</w:t>
              </w:r>
            </w:hyperlink>
          </w:p>
        </w:tc>
        <w:tc>
          <w:tcPr>
            <w:tcW w:w="20" w:type="dxa"/>
            <w:vAlign w:val="bottom"/>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 xml:space="preserve">2015 </w:t>
              </w:r>
              <w:r>
                <w:rPr>
                  <w:rFonts w:ascii="Arial" w:cs="Arial" w:eastAsia="Arial" w:hAnsi="Arial"/>
                  <w:sz w:val="18"/>
                  <w:szCs w:val="18"/>
                  <w:color w:val="000000"/>
                </w:rPr>
                <w:t>(incorporated herein by reference to Exhibit 10.1 to our Form 8-K, filed on December 29, 2015)</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80" w:top="580" w:right="379" w:bottom="1440" w:gutter="0" w:footer="0" w:header="0"/>
        </w:sectPr>
      </w:pPr>
    </w:p>
    <w:bookmarkStart w:id="50" w:name="page51"/>
    <w:bookmarkEnd w:id="50"/>
    <w:p>
      <w:pPr>
        <w:jc w:val="both"/>
        <w:ind w:left="920" w:right="20" w:hanging="911"/>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 ~</w:t>
      </w:r>
      <w:r>
        <w:rPr>
          <w:sz w:val="20"/>
          <w:szCs w:val="20"/>
          <w:color w:val="auto"/>
        </w:rPr>
        <w:tab/>
      </w:r>
      <w:hyperlink r:id="rId31">
        <w:r>
          <w:rPr>
            <w:rFonts w:ascii="Arial" w:cs="Arial" w:eastAsia="Arial" w:hAnsi="Arial"/>
            <w:sz w:val="18"/>
            <w:szCs w:val="18"/>
            <w:u w:val="single" w:color="auto"/>
            <w:color w:val="0000FF"/>
          </w:rPr>
          <w:t xml:space="preserve">Offer Letter by and between NMI Holdings, Inc. and William Leatherberry, dated July 11, 2014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10.10 to our Form 10-Q, filed on April 28, 2016)</w:t>
      </w:r>
    </w:p>
    <w:p>
      <w:pPr>
        <w:spacing w:after="0" w:line="8"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10.12 ~</w:t>
      </w:r>
      <w:r>
        <w:rPr>
          <w:sz w:val="20"/>
          <w:szCs w:val="20"/>
          <w:color w:val="auto"/>
        </w:rPr>
        <w:tab/>
      </w:r>
      <w:hyperlink r:id="rId32">
        <w:r>
          <w:rPr>
            <w:rFonts w:ascii="Arial" w:cs="Arial" w:eastAsia="Arial" w:hAnsi="Arial"/>
            <w:sz w:val="16"/>
            <w:szCs w:val="16"/>
            <w:u w:val="single" w:color="auto"/>
            <w:color w:val="0000FF"/>
          </w:rPr>
          <w:t xml:space="preserve">Offer Letter by and between NMI Holdings, Inc. and Adam Pollitzer, dated February 1, 2017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 to our Form 8-K, filed on February 3, 2017)</w:t>
      </w:r>
    </w:p>
    <w:p>
      <w:pPr>
        <w:spacing w:after="0" w:line="49" w:lineRule="exact"/>
        <w:rPr>
          <w:sz w:val="20"/>
          <w:szCs w:val="20"/>
          <w:color w:val="auto"/>
        </w:rPr>
      </w:pPr>
    </w:p>
    <w:p>
      <w:pPr>
        <w:jc w:val="both"/>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 ~</w:t>
      </w:r>
      <w:r>
        <w:rPr>
          <w:sz w:val="20"/>
          <w:szCs w:val="20"/>
          <w:color w:val="auto"/>
        </w:rPr>
        <w:tab/>
      </w:r>
      <w:hyperlink r:id="rId33">
        <w:r>
          <w:rPr>
            <w:rFonts w:ascii="Arial" w:cs="Arial" w:eastAsia="Arial" w:hAnsi="Arial"/>
            <w:sz w:val="18"/>
            <w:szCs w:val="18"/>
            <w:u w:val="single" w:color="auto"/>
            <w:color w:val="0000FF"/>
          </w:rPr>
          <w:t xml:space="preserve">Form of Indemnification Agreement between NMI Holdings, Inc. and its directors and certain executive officers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November 25, 2014)</w:t>
      </w:r>
    </w:p>
    <w:p>
      <w:pPr>
        <w:spacing w:after="0" w:line="8" w:lineRule="exact"/>
        <w:rPr>
          <w:sz w:val="20"/>
          <w:szCs w:val="20"/>
          <w:color w:val="auto"/>
        </w:rPr>
      </w:pPr>
    </w:p>
    <w:p>
      <w:pPr>
        <w:jc w:val="both"/>
        <w:ind w:left="920" w:hanging="916"/>
        <w:spacing w:after="0" w:line="25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10.14 +</w:t>
      </w:r>
      <w:r>
        <w:rPr>
          <w:sz w:val="20"/>
          <w:szCs w:val="20"/>
          <w:color w:val="auto"/>
        </w:rPr>
        <w:tab/>
      </w:r>
      <w:hyperlink r:id="rId34">
        <w:r>
          <w:rPr>
            <w:rFonts w:ascii="Arial" w:cs="Arial" w:eastAsia="Arial" w:hAnsi="Arial"/>
            <w:sz w:val="18"/>
            <w:szCs w:val="18"/>
            <w:u w:val="single" w:color="auto"/>
            <w:color w:val="0000FF"/>
          </w:rPr>
          <w:t>Commitment Letter dated July 12, 2013 for Bulk Fannie Mae-Paid Loss-on-Sale Mortgage Insurance on the Portfolio of approximately</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$5.46 billion Purchased by Fannie Mae and Identified by Fannie Mae as Deal No. 2013 MIRT 01 and by the Company as Policy No. P-</w:t>
        </w:r>
      </w:hyperlink>
      <w:hyperlink r:id="rId34">
        <w:r>
          <w:rPr>
            <w:rFonts w:ascii="Arial" w:cs="Arial" w:eastAsia="Arial" w:hAnsi="Arial"/>
            <w:sz w:val="18"/>
            <w:szCs w:val="18"/>
            <w:u w:val="single" w:color="auto"/>
            <w:color w:val="0000FF"/>
          </w:rPr>
          <w:t>0001-01</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10.14 to our Form S-1 Registration Statement (Registration No. 333-191635), filed</w:t>
        </w:r>
      </w:hyperlink>
      <w:r>
        <w:rPr>
          <w:rFonts w:ascii="Arial" w:cs="Arial" w:eastAsia="Arial" w:hAnsi="Arial"/>
          <w:sz w:val="18"/>
          <w:szCs w:val="18"/>
          <w:color w:val="0000FF"/>
        </w:rPr>
        <w:t xml:space="preserve"> </w:t>
      </w:r>
      <w:r>
        <w:rPr>
          <w:rFonts w:ascii="Arial" w:cs="Arial" w:eastAsia="Arial" w:hAnsi="Arial"/>
          <w:sz w:val="18"/>
          <w:szCs w:val="18"/>
          <w:color w:val="000000"/>
        </w:rPr>
        <w:t>on October 9, 2013)</w:t>
      </w:r>
    </w:p>
    <w:p>
      <w:pPr>
        <w:spacing w:after="0" w:line="25" w:lineRule="exact"/>
        <w:rPr>
          <w:rFonts w:ascii="Arial" w:cs="Arial" w:eastAsia="Arial" w:hAnsi="Arial"/>
          <w:sz w:val="18"/>
          <w:szCs w:val="18"/>
          <w:u w:val="single" w:color="auto"/>
          <w:color w:val="0000FF"/>
        </w:rPr>
      </w:pPr>
    </w:p>
    <w:p>
      <w:pPr>
        <w:jc w:val="both"/>
        <w:ind w:left="920" w:hanging="843"/>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10.15</w:t>
      </w:r>
      <w:r>
        <w:rPr>
          <w:sz w:val="20"/>
          <w:szCs w:val="20"/>
          <w:color w:val="auto"/>
        </w:rPr>
        <w:tab/>
      </w:r>
      <w:hyperlink r:id="rId35">
        <w:r>
          <w:rPr>
            <w:rFonts w:ascii="Arial" w:cs="Arial" w:eastAsia="Arial" w:hAnsi="Arial"/>
            <w:sz w:val="17"/>
            <w:szCs w:val="17"/>
            <w:u w:val="single" w:color="auto"/>
            <w:color w:val="0000FF"/>
          </w:rPr>
          <w:t>Credit Agreement, dated November 10, 2015, between NMI Holdings, Inc., the lenders party thereto and JPMorgan Chase Bank, N.A., as</w:t>
        </w:r>
      </w:hyperlink>
      <w:r>
        <w:rPr>
          <w:rFonts w:ascii="Arial" w:cs="Arial" w:eastAsia="Arial" w:hAnsi="Arial"/>
          <w:sz w:val="17"/>
          <w:szCs w:val="17"/>
          <w:u w:val="single" w:color="auto"/>
          <w:color w:val="0000FF"/>
        </w:rPr>
        <w:t xml:space="preserve"> </w:t>
      </w:r>
      <w:hyperlink r:id="rId35">
        <w:r>
          <w:rPr>
            <w:rFonts w:ascii="Arial" w:cs="Arial" w:eastAsia="Arial" w:hAnsi="Arial"/>
            <w:sz w:val="17"/>
            <w:szCs w:val="17"/>
            <w:u w:val="single" w:color="auto"/>
            <w:color w:val="0000FF"/>
          </w:rPr>
          <w:t>administrative agent</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4.1 to our Form 8-K, filed on November 10, 2015)</w:t>
        </w:r>
      </w:hyperlink>
    </w:p>
    <w:p>
      <w:pPr>
        <w:spacing w:after="0" w:line="1" w:lineRule="exact"/>
        <w:rPr>
          <w:sz w:val="20"/>
          <w:szCs w:val="20"/>
          <w:color w:val="auto"/>
        </w:rPr>
      </w:pPr>
    </w:p>
    <w:p>
      <w:pPr>
        <w:jc w:val="both"/>
        <w:ind w:left="920" w:hanging="843"/>
        <w:spacing w:after="0" w:line="26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10.16</w:t>
      </w:r>
      <w:r>
        <w:rPr>
          <w:sz w:val="20"/>
          <w:szCs w:val="20"/>
          <w:color w:val="auto"/>
        </w:rPr>
        <w:tab/>
      </w:r>
      <w:hyperlink r:id="rId36">
        <w:r>
          <w:rPr>
            <w:rFonts w:ascii="Arial" w:cs="Arial" w:eastAsia="Arial" w:hAnsi="Arial"/>
            <w:sz w:val="18"/>
            <w:szCs w:val="18"/>
            <w:u w:val="single" w:color="auto"/>
            <w:color w:val="0000FF"/>
          </w:rPr>
          <w:t>Amendment No. 1, dated February 10, 2017, to the Credit Agreement dated November 10, 2015, between NMI Holdings, Inc., the lender</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w:t>
        </w:r>
      </w:hyperlink>
      <w:r>
        <w:rPr>
          <w:rFonts w:ascii="Arial" w:cs="Arial" w:eastAsia="Arial" w:hAnsi="Arial"/>
          <w:sz w:val="18"/>
          <w:szCs w:val="18"/>
          <w:color w:val="000000"/>
        </w:rPr>
        <w:t>K, filed on February 10, 2017)</w:t>
      </w:r>
    </w:p>
    <w:p>
      <w:pPr>
        <w:spacing w:after="0" w:line="19" w:lineRule="exact"/>
        <w:rPr>
          <w:sz w:val="20"/>
          <w:szCs w:val="20"/>
          <w:color w:val="auto"/>
        </w:rPr>
      </w:pPr>
    </w:p>
    <w:p>
      <w:pPr>
        <w:jc w:val="both"/>
        <w:ind w:left="920" w:hanging="843"/>
        <w:spacing w:after="0" w:line="26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10.17</w:t>
      </w:r>
      <w:r>
        <w:rPr>
          <w:sz w:val="20"/>
          <w:szCs w:val="20"/>
          <w:color w:val="auto"/>
        </w:rPr>
        <w:tab/>
      </w:r>
      <w:hyperlink r:id="rId37">
        <w:r>
          <w:rPr>
            <w:rFonts w:ascii="Arial" w:cs="Arial" w:eastAsia="Arial" w:hAnsi="Arial"/>
            <w:sz w:val="18"/>
            <w:szCs w:val="18"/>
            <w:u w:val="single" w:color="auto"/>
            <w:color w:val="0000FF"/>
          </w:rPr>
          <w:t>Amendment No. 2, dated October 25, 2017, to the Credit Agreement dated November 10, 2015, between NMI Holdings, Inc., the lender</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w:t>
        </w:r>
      </w:hyperlink>
      <w:r>
        <w:rPr>
          <w:rFonts w:ascii="Arial" w:cs="Arial" w:eastAsia="Arial" w:hAnsi="Arial"/>
          <w:sz w:val="18"/>
          <w:szCs w:val="18"/>
          <w:color w:val="000000"/>
        </w:rPr>
        <w:t>K, filed on October 26, 2017)</w:t>
      </w:r>
    </w:p>
    <w:p>
      <w:pPr>
        <w:spacing w:after="0" w:line="19"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10.18 ~</w:t>
      </w:r>
      <w:r>
        <w:rPr>
          <w:sz w:val="20"/>
          <w:szCs w:val="20"/>
          <w:color w:val="auto"/>
        </w:rPr>
        <w:tab/>
      </w:r>
      <w:hyperlink r:id="rId38">
        <w:r>
          <w:rPr>
            <w:rFonts w:ascii="Arial" w:cs="Arial" w:eastAsia="Arial" w:hAnsi="Arial"/>
            <w:sz w:val="18"/>
            <w:szCs w:val="18"/>
            <w:u w:val="single" w:color="auto"/>
            <w:color w:val="0000FF"/>
          </w:rPr>
          <w:t xml:space="preserve">NMI Holdings, Inc. Amended and Restated 2014 Omnibus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Appendix A to our 2017</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Proxy Statement, filed on March 30, 2017)</w:t>
      </w:r>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10.19 ~</w:t>
      </w:r>
      <w:r>
        <w:rPr>
          <w:sz w:val="20"/>
          <w:szCs w:val="20"/>
          <w:color w:val="auto"/>
        </w:rPr>
        <w:tab/>
      </w:r>
      <w:hyperlink r:id="rId39">
        <w:r>
          <w:rPr>
            <w:rFonts w:ascii="Arial" w:cs="Arial" w:eastAsia="Arial" w:hAnsi="Arial"/>
            <w:sz w:val="18"/>
            <w:szCs w:val="18"/>
            <w:u w:val="single" w:color="auto"/>
            <w:color w:val="0000FF"/>
          </w:rPr>
          <w:t>Form of NMI Holdings, Inc. Amended and Restated 2014 Omnibus Incentive Plan Restricted Stock Unit Award Agreement for Chief</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10.19 to our Form 10-Q filed on August 1, 2017)</w:t>
        </w:r>
      </w:hyperlink>
    </w:p>
    <w:p>
      <w:pPr>
        <w:spacing w:after="0" w:line="8"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10.20 ~</w:t>
      </w:r>
      <w:r>
        <w:rPr>
          <w:sz w:val="20"/>
          <w:szCs w:val="20"/>
          <w:color w:val="auto"/>
        </w:rPr>
        <w:tab/>
      </w:r>
      <w:hyperlink r:id="rId40">
        <w:r>
          <w:rPr>
            <w:rFonts w:ascii="Arial" w:cs="Arial" w:eastAsia="Arial" w:hAnsi="Arial"/>
            <w:sz w:val="18"/>
            <w:szCs w:val="18"/>
            <w:u w:val="single" w:color="auto"/>
            <w:color w:val="0000FF"/>
          </w:rPr>
          <w:t>Form of NMI Holdings, Inc. Amended and Restated 2014 Omnibus Incentive Plan Restricted Stock Unit Award Agreement for Executive</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Officers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10.20 to our Form 10-Q filed on August 1, 2017)</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10.21 ~</w:t>
      </w:r>
      <w:r>
        <w:rPr>
          <w:sz w:val="20"/>
          <w:szCs w:val="20"/>
          <w:color w:val="auto"/>
        </w:rPr>
        <w:tab/>
      </w:r>
      <w:hyperlink r:id="rId41">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10.21 to our Form 10-Q filed on August 1, 2017)</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10.22 ~</w:t>
      </w:r>
      <w:r>
        <w:rPr>
          <w:sz w:val="20"/>
          <w:szCs w:val="20"/>
          <w:color w:val="auto"/>
        </w:rPr>
        <w:tab/>
      </w:r>
      <w:hyperlink r:id="rId42">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10.22 to our Form 10-Q filed on August 1, 2017)</w:t>
        </w:r>
      </w:hyperlink>
    </w:p>
    <w:p>
      <w:pPr>
        <w:spacing w:after="0" w:line="8" w:lineRule="exact"/>
        <w:rPr>
          <w:sz w:val="20"/>
          <w:szCs w:val="20"/>
          <w:color w:val="auto"/>
        </w:rPr>
      </w:pPr>
    </w:p>
    <w:p>
      <w:pPr>
        <w:ind w:left="920" w:right="20" w:hanging="914"/>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10.23 ~</w:t>
      </w:r>
      <w:r>
        <w:rPr>
          <w:sz w:val="20"/>
          <w:szCs w:val="20"/>
          <w:color w:val="auto"/>
        </w:rPr>
        <w:tab/>
      </w:r>
      <w:hyperlink r:id="rId43">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Chief Executive Officer</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10.23 to our Form 10-Q filed on August 1, 2017)</w:t>
        </w:r>
      </w:hyperlink>
    </w:p>
    <w:p>
      <w:pPr>
        <w:spacing w:after="0" w:line="1" w:lineRule="exact"/>
        <w:rPr>
          <w:sz w:val="20"/>
          <w:szCs w:val="20"/>
          <w:color w:val="auto"/>
        </w:rPr>
      </w:pPr>
    </w:p>
    <w:p>
      <w:pPr>
        <w:ind w:left="920" w:right="20" w:hanging="914"/>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10.24 ~</w:t>
      </w:r>
      <w:r>
        <w:rPr>
          <w:sz w:val="20"/>
          <w:szCs w:val="20"/>
          <w:color w:val="auto"/>
        </w:rPr>
        <w:tab/>
      </w:r>
      <w:hyperlink r:id="rId44">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44">
        <w:r>
          <w:rPr>
            <w:rFonts w:ascii="Arial" w:cs="Arial" w:eastAsia="Arial" w:hAnsi="Arial"/>
            <w:sz w:val="17"/>
            <w:szCs w:val="17"/>
            <w:u w:val="single" w:color="auto"/>
            <w:color w:val="0000FF"/>
          </w:rPr>
          <w:t>Executive Officers and Employees</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10.24 to our Form 10-Q filed on August 1, 2017)</w:t>
        </w:r>
      </w:hyperlink>
    </w:p>
    <w:p>
      <w:pPr>
        <w:spacing w:after="0" w:line="1"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10.25 ~</w:t>
      </w:r>
      <w:r>
        <w:rPr>
          <w:sz w:val="20"/>
          <w:szCs w:val="20"/>
          <w:color w:val="auto"/>
        </w:rPr>
        <w:tab/>
      </w:r>
      <w:hyperlink r:id="rId45">
        <w:r>
          <w:rPr>
            <w:rFonts w:ascii="Arial" w:cs="Arial" w:eastAsia="Arial" w:hAnsi="Arial"/>
            <w:sz w:val="18"/>
            <w:szCs w:val="18"/>
            <w:u w:val="single" w:color="auto"/>
            <w:color w:val="0000FF"/>
          </w:rPr>
          <w:t xml:space="preserve">Form of NMI Holdings, Inc. 2014 Omnibus Incentive Plan Phantom Unit Award Agreement for Independent Directors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10.21 to our Form 10-Q, filed on August 5, 2015)</w:t>
      </w:r>
    </w:p>
    <w:p>
      <w:pPr>
        <w:spacing w:after="0" w:line="8"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10.26 ~</w:t>
      </w:r>
      <w:r>
        <w:rPr>
          <w:sz w:val="20"/>
          <w:szCs w:val="20"/>
          <w:color w:val="auto"/>
        </w:rPr>
        <w:tab/>
      </w:r>
      <w:hyperlink r:id="rId46">
        <w:r>
          <w:rPr>
            <w:rFonts w:ascii="Arial" w:cs="Arial" w:eastAsia="Arial" w:hAnsi="Arial"/>
            <w:sz w:val="18"/>
            <w:szCs w:val="18"/>
            <w:u w:val="single" w:color="auto"/>
            <w:color w:val="0000FF"/>
          </w:rPr>
          <w:t>Form of NMI Holdings, Inc. 2014 Omnibus Incentive Plan Performance Based Restricted Stock Unit Award Agreement for Chief</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10.26 to our Form 10-K, filed on February 17, 2017)</w:t>
        </w:r>
      </w:hyperlink>
    </w:p>
    <w:p>
      <w:pPr>
        <w:spacing w:after="0" w:line="8"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10.27 ~</w:t>
      </w:r>
      <w:r>
        <w:rPr>
          <w:sz w:val="20"/>
          <w:szCs w:val="20"/>
          <w:color w:val="auto"/>
        </w:rPr>
        <w:tab/>
      </w:r>
      <w:hyperlink r:id="rId47">
        <w:r>
          <w:rPr>
            <w:rFonts w:ascii="Arial" w:cs="Arial" w:eastAsia="Arial" w:hAnsi="Arial"/>
            <w:sz w:val="17"/>
            <w:szCs w:val="17"/>
            <w:u w:val="single" w:color="auto"/>
            <w:color w:val="0000FF"/>
          </w:rPr>
          <w:t xml:space="preserve">NMI Holdings, Inc. Severance Benefit Plan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10.1 to our Form 8-K, filed on February 17,</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2016)</w:t>
      </w:r>
    </w:p>
    <w:p>
      <w:pPr>
        <w:spacing w:after="0" w:line="49"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10.28 ~</w:t>
      </w:r>
      <w:r>
        <w:rPr>
          <w:sz w:val="20"/>
          <w:szCs w:val="20"/>
          <w:color w:val="auto"/>
        </w:rPr>
        <w:tab/>
      </w:r>
      <w:hyperlink r:id="rId48">
        <w:r>
          <w:rPr>
            <w:rFonts w:ascii="Arial" w:cs="Arial" w:eastAsia="Arial" w:hAnsi="Arial"/>
            <w:sz w:val="18"/>
            <w:szCs w:val="18"/>
            <w:u w:val="single" w:color="auto"/>
            <w:color w:val="0000FF"/>
          </w:rPr>
          <w:t xml:space="preserve">NMI Holdings, Inc. Change in Control Severance Benefit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10.1 to our Form 8-K, filed 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February 23, 2017)</w:t>
      </w:r>
    </w:p>
    <w:p>
      <w:pPr>
        <w:spacing w:after="0" w:line="8"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10.29 ~</w:t>
      </w:r>
      <w:r>
        <w:rPr>
          <w:sz w:val="20"/>
          <w:szCs w:val="20"/>
          <w:color w:val="auto"/>
        </w:rPr>
        <w:tab/>
      </w:r>
      <w:hyperlink r:id="rId49">
        <w:r>
          <w:rPr>
            <w:rFonts w:ascii="Arial" w:cs="Arial" w:eastAsia="Arial" w:hAnsi="Arial"/>
            <w:sz w:val="16"/>
            <w:szCs w:val="16"/>
            <w:u w:val="single" w:color="auto"/>
            <w:color w:val="0000FF"/>
          </w:rPr>
          <w:t xml:space="preserve">NMI Holdings, Inc. Clawback Policy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10.2 to our Form 8-K, filed on February 23, 2017)</w:t>
      </w:r>
    </w:p>
    <w:p>
      <w:pPr>
        <w:spacing w:after="0" w:line="63"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50">
        <w:r>
          <w:rPr>
            <w:rFonts w:ascii="Arial" w:cs="Arial" w:eastAsia="Arial" w:hAnsi="Arial"/>
            <w:sz w:val="16"/>
            <w:szCs w:val="16"/>
            <w:u w:val="single" w:color="auto"/>
            <w:color w:val="0000FF"/>
          </w:rPr>
          <w:t xml:space="preserve">Subsidiaries of NMI Holdings, Inc.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21.1 to our Form 10-Q, filed on October 30, 2015)</w:t>
      </w:r>
    </w:p>
    <w:p>
      <w:pPr>
        <w:spacing w:after="0" w:line="63"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 xml:space="preserve">Principal Executive Officer's Certification </w:t>
      </w:r>
      <w:r>
        <w:rPr>
          <w:rFonts w:ascii="Arial" w:cs="Arial" w:eastAsia="Arial" w:hAnsi="Arial"/>
          <w:sz w:val="16"/>
          <w:szCs w:val="16"/>
          <w:color w:val="000000"/>
        </w:rPr>
        <w:t>Pursuant to Section 302 of the Sarbanes-Oxley Act of 2002</w:t>
      </w:r>
    </w:p>
    <w:p>
      <w:pPr>
        <w:spacing w:after="0" w:line="63"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FF"/>
        </w:rPr>
        <w:t xml:space="preserve">Principal Financial Officer's Certification </w:t>
      </w:r>
      <w:r>
        <w:rPr>
          <w:rFonts w:ascii="Arial" w:cs="Arial" w:eastAsia="Arial" w:hAnsi="Arial"/>
          <w:sz w:val="16"/>
          <w:szCs w:val="16"/>
          <w:color w:val="000000"/>
        </w:rPr>
        <w:t>Pursuant to Section 302 of the Sarbanes-Oxley Act of 2002</w:t>
      </w:r>
    </w:p>
    <w:p>
      <w:pPr>
        <w:spacing w:after="0" w:line="63"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8"/>
          <w:szCs w:val="18"/>
          <w:color w:val="auto"/>
        </w:rPr>
        <w:t>32.1 #</w:t>
      </w:r>
      <w:r>
        <w:rPr>
          <w:sz w:val="20"/>
          <w:szCs w:val="20"/>
          <w:color w:val="auto"/>
        </w:rPr>
        <w:tab/>
      </w:r>
      <w:r>
        <w:rPr>
          <w:rFonts w:ascii="Arial" w:cs="Arial" w:eastAsia="Arial" w:hAnsi="Arial"/>
          <w:sz w:val="16"/>
          <w:szCs w:val="16"/>
          <w:u w:val="single" w:color="auto"/>
          <w:color w:val="0000FF"/>
        </w:rPr>
        <w:t xml:space="preserve">Certifications of CEO and CFO </w:t>
      </w:r>
      <w:r>
        <w:rPr>
          <w:rFonts w:ascii="Arial" w:cs="Arial" w:eastAsia="Arial" w:hAnsi="Arial"/>
          <w:sz w:val="16"/>
          <w:szCs w:val="16"/>
          <w:color w:val="000000"/>
        </w:rPr>
        <w:t>Pursuant to 18 U.S.C. Section 1350, as Adopted Pursuant to Section 906 of the Sarbanes-Oxley Act of</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2002</w:t>
      </w:r>
    </w:p>
    <w:p>
      <w:pPr>
        <w:spacing w:after="0" w:line="26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80"/>
          </w:cols>
          <w:pgMar w:left="620" w:top="746" w:right="399" w:bottom="1440" w:gutter="0" w:footer="0" w:header="0"/>
        </w:sectPr>
      </w:pPr>
    </w:p>
    <w:bookmarkStart w:id="51" w:name="page52"/>
    <w:bookmarkEnd w:id="51"/>
    <w:p>
      <w:pPr>
        <w:ind w:left="941" w:right="380" w:hanging="843"/>
        <w:spacing w:after="0" w:line="258" w:lineRule="auto"/>
        <w:tabs>
          <w:tab w:leader="none" w:pos="92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Quarterly Report on Form 10-Q for the quarter ended March 31, 2018 formatted in XBRL (eXtensible Business Reporting Language):</w:t>
      </w:r>
    </w:p>
    <w:p>
      <w:pPr>
        <w:spacing w:after="0" w:line="1" w:lineRule="exact"/>
        <w:rPr>
          <w:sz w:val="20"/>
          <w:szCs w:val="20"/>
          <w:color w:val="auto"/>
        </w:rPr>
      </w:pPr>
    </w:p>
    <w:p>
      <w:pPr>
        <w:ind w:left="1141" w:hanging="209"/>
        <w:spacing w:after="0"/>
        <w:tabs>
          <w:tab w:leader="none" w:pos="11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Condensed Consolidated Balance Sheets as of March 31, 2018 and December 31, 2017</w:t>
      </w:r>
    </w:p>
    <w:p>
      <w:pPr>
        <w:spacing w:after="0" w:line="9" w:lineRule="exact"/>
        <w:rPr>
          <w:rFonts w:ascii="Arial" w:cs="Arial" w:eastAsia="Arial" w:hAnsi="Arial"/>
          <w:sz w:val="18"/>
          <w:szCs w:val="18"/>
          <w:color w:val="auto"/>
        </w:rPr>
      </w:pPr>
    </w:p>
    <w:p>
      <w:pPr>
        <w:ind w:left="1201" w:hanging="269"/>
        <w:spacing w:after="0"/>
        <w:tabs>
          <w:tab w:leader="none" w:pos="12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Condensed Consolidated Statements of Operations and Comprehensive Income for the three months ended March 31, 2018 and 2017</w:t>
      </w:r>
    </w:p>
    <w:p>
      <w:pPr>
        <w:spacing w:after="0" w:line="32" w:lineRule="exact"/>
        <w:rPr>
          <w:rFonts w:ascii="Arial" w:cs="Arial" w:eastAsia="Arial" w:hAnsi="Arial"/>
          <w:sz w:val="16"/>
          <w:szCs w:val="16"/>
          <w:color w:val="auto"/>
        </w:rPr>
      </w:pPr>
    </w:p>
    <w:p>
      <w:pPr>
        <w:ind w:left="941" w:right="180" w:firstLine="216"/>
        <w:spacing w:after="0" w:line="250" w:lineRule="auto"/>
        <w:tabs>
          <w:tab w:leader="none" w:pos="1481"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Condensed Consolidated Statements of Changes in Shareholders' Equity for the three months ended March 31, 2018 and the year ended December 31, 2017</w:t>
      </w:r>
    </w:p>
    <w:p>
      <w:pPr>
        <w:ind w:left="1241" w:hanging="309"/>
        <w:spacing w:after="0"/>
        <w:tabs>
          <w:tab w:leader="none" w:pos="12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three months ended March 31, 2018 and 2017, and</w:t>
      </w:r>
    </w:p>
    <w:p>
      <w:pPr>
        <w:spacing w:after="0" w:line="9" w:lineRule="exact"/>
        <w:rPr>
          <w:rFonts w:ascii="Arial" w:cs="Arial" w:eastAsia="Arial" w:hAnsi="Arial"/>
          <w:sz w:val="18"/>
          <w:szCs w:val="18"/>
          <w:color w:val="auto"/>
        </w:rPr>
      </w:pPr>
    </w:p>
    <w:p>
      <w:pPr>
        <w:ind w:left="1181" w:hanging="249"/>
        <w:spacing w:after="0"/>
        <w:tabs>
          <w:tab w:leader="none" w:pos="11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w:t>
      </w:r>
    </w:p>
    <w:p>
      <w:pPr>
        <w:spacing w:after="0" w:line="188"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w:t>
      </w:r>
    </w:p>
    <w:p>
      <w:pPr>
        <w:spacing w:after="0" w:line="73" w:lineRule="exact"/>
        <w:rPr>
          <w:sz w:val="20"/>
          <w:szCs w:val="20"/>
          <w:color w:val="auto"/>
        </w:rPr>
      </w:pPr>
    </w:p>
    <w:p>
      <w:pPr>
        <w:jc w:val="both"/>
        <w:ind w:left="221" w:hanging="221"/>
        <w:spacing w:after="0" w:line="278" w:lineRule="auto"/>
        <w:tabs>
          <w:tab w:leader="none" w:pos="221"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221" w:right="20" w:hanging="221"/>
        <w:spacing w:after="0" w:line="278" w:lineRule="auto"/>
        <w:tabs>
          <w:tab w:leader="none" w:pos="221"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1"/>
          </w:cols>
          <w:pgMar w:left="599" w:top="74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21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03" w:lineRule="exact"/>
        <w:rPr>
          <w:rFonts w:ascii="Arial" w:cs="Arial" w:eastAsia="Arial" w:hAnsi="Arial"/>
          <w:sz w:val="18"/>
          <w:szCs w:val="18"/>
          <w:color w:val="auto"/>
        </w:rPr>
      </w:pPr>
    </w:p>
    <w:p>
      <w:pPr>
        <w:ind w:left="340" w:hanging="332"/>
        <w:spacing w:after="0" w:line="405"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hanging="332"/>
        <w:spacing w:after="0" w:line="36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36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980" w:hanging="324"/>
        <w:spacing w:after="0" w:line="360"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980" w:hanging="324"/>
        <w:spacing w:after="0" w:line="360"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980" w:hanging="324"/>
        <w:spacing w:after="0" w:line="381" w:lineRule="auto"/>
        <w:tabs>
          <w:tab w:leader="none" w:pos="9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80" w:hanging="324"/>
        <w:spacing w:after="0" w:line="360"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hanging="332"/>
        <w:spacing w:after="0" w:line="381"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38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7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7" w:lineRule="exact"/>
        <w:rPr>
          <w:sz w:val="20"/>
          <w:szCs w:val="20"/>
          <w:color w:val="auto"/>
        </w:rPr>
      </w:pPr>
    </w:p>
    <w:p>
      <w:pPr>
        <w:ind w:left="440" w:hanging="324"/>
        <w:spacing w:after="0" w:line="387"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2"/>
          </w:tcPr>
          <w:p>
            <w:pPr>
              <w:spacing w:after="0"/>
              <w:rPr>
                <w:sz w:val="20"/>
                <w:szCs w:val="20"/>
                <w:color w:val="auto"/>
              </w:rPr>
            </w:pPr>
            <w:r>
              <w:rPr>
                <w:rFonts w:ascii="Arial" w:cs="Arial" w:eastAsia="Arial" w:hAnsi="Arial"/>
                <w:sz w:val="18"/>
                <w:szCs w:val="18"/>
                <w:color w:val="auto"/>
              </w:rPr>
              <w:t>May 1, 2018</w:t>
            </w:r>
          </w:p>
        </w:tc>
        <w:tc>
          <w:tcPr>
            <w:tcW w:w="4460" w:type="dxa"/>
            <w:vAlign w:val="bottom"/>
          </w:tcPr>
          <w:p>
            <w:pPr>
              <w:spacing w:after="0"/>
              <w:rPr>
                <w:sz w:val="20"/>
                <w:szCs w:val="20"/>
                <w:color w:val="auto"/>
              </w:rPr>
            </w:pPr>
            <w:r>
              <w:rPr>
                <w:rFonts w:ascii="Arial" w:cs="Arial" w:eastAsia="Arial" w:hAnsi="Arial"/>
                <w:sz w:val="18"/>
                <w:szCs w:val="18"/>
                <w:color w:val="auto"/>
              </w:rPr>
              <w:t>/s/ Bradley M. Shuster</w:t>
            </w:r>
          </w:p>
        </w:tc>
      </w:tr>
      <w:tr>
        <w:trPr>
          <w:trHeight w:val="291"/>
        </w:trPr>
        <w:tc>
          <w:tcPr>
            <w:tcW w:w="920" w:type="dxa"/>
            <w:vAlign w:val="bottom"/>
            <w:tcBorders>
              <w:top w:val="single" w:sz="8" w:color="auto"/>
            </w:tcBorders>
          </w:tcPr>
          <w:p>
            <w:pPr>
              <w:spacing w:after="0"/>
              <w:rPr>
                <w:sz w:val="24"/>
                <w:szCs w:val="24"/>
                <w:color w:val="auto"/>
              </w:rPr>
            </w:pPr>
          </w:p>
        </w:tc>
        <w:tc>
          <w:tcPr>
            <w:tcW w:w="3340" w:type="dxa"/>
            <w:vAlign w:val="bottom"/>
          </w:tcPr>
          <w:p>
            <w:pPr>
              <w:spacing w:after="0"/>
              <w:rPr>
                <w:sz w:val="24"/>
                <w:szCs w:val="24"/>
                <w:color w:val="auto"/>
              </w:rPr>
            </w:pPr>
          </w:p>
        </w:tc>
        <w:tc>
          <w:tcPr>
            <w:tcW w:w="4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Bradley M. Shuster</w:t>
            </w:r>
          </w:p>
        </w:tc>
      </w:tr>
      <w:tr>
        <w:trPr>
          <w:trHeight w:val="270"/>
        </w:trPr>
        <w:tc>
          <w:tcPr>
            <w:tcW w:w="9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9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0880"/>
          </w:cols>
          <w:pgMar w:left="780" w:top="17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21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03" w:lineRule="exact"/>
        <w:rPr>
          <w:rFonts w:ascii="Arial" w:cs="Arial" w:eastAsia="Arial" w:hAnsi="Arial"/>
          <w:sz w:val="18"/>
          <w:szCs w:val="18"/>
          <w:color w:val="auto"/>
        </w:rPr>
      </w:pPr>
    </w:p>
    <w:p>
      <w:pPr>
        <w:ind w:left="340" w:hanging="332"/>
        <w:spacing w:after="0" w:line="405"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hanging="332"/>
        <w:spacing w:after="0" w:line="36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36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jc w:val="both"/>
        <w:ind w:left="820" w:hanging="326"/>
        <w:spacing w:after="0" w:line="360"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820" w:hanging="326"/>
        <w:spacing w:after="0" w:line="360"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820" w:hanging="326"/>
        <w:spacing w:after="0" w:line="381" w:lineRule="auto"/>
        <w:tabs>
          <w:tab w:leader="none" w:pos="8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820" w:hanging="326"/>
        <w:spacing w:after="0" w:line="360"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hanging="332"/>
        <w:spacing w:after="0" w:line="381"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820" w:hanging="326"/>
        <w:spacing w:after="0" w:line="360"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hanging="326"/>
        <w:spacing w:after="0" w:line="387"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May 1, 2018</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Adam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-10160</wp:posOffset>
            </wp:positionV>
            <wp:extent cx="1831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7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March 31, 2018,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58"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300" w:hanging="320"/>
        <w:spacing w:after="0" w:line="38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1, 2018</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Bradley M. Shuster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May 1, 2018</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both"/>
        <w:ind w:right="20"/>
        <w:spacing w:after="0" w:line="37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2"/>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lowerRoman"/>
      <w:start w:val="3"/>
    </w:lvl>
  </w:abstractNum>
  <w:abstractNum w:abstractNumId="18">
    <w:nsid w:val="79838CB2"/>
    <w:multiLevelType w:val="hybridMultilevel"/>
    <w:lvl w:ilvl="0">
      <w:lvlJc w:val="left"/>
      <w:lvlText w:val="(%1)"/>
      <w:numFmt w:val="lowerRoman"/>
      <w:start w:val="6"/>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Roman"/>
      <w:start w:val="1"/>
    </w:lvl>
    <w:lvl w:ilvl="1">
      <w:lvlJc w:val="left"/>
      <w:lvlText w:val="(%2)"/>
      <w:numFmt w:val="lowerRoman"/>
      <w:start w:val="3"/>
    </w:lvl>
  </w:abstractNum>
  <w:abstractNum w:abstractNumId="24">
    <w:nsid w:val="2CA88611"/>
    <w:multiLevelType w:val="hybridMultilevel"/>
    <w:lvl w:ilvl="0">
      <w:lvlJc w:val="left"/>
      <w:lvlText w:val="(%1)"/>
      <w:numFmt w:val="lowerRoman"/>
      <w:start w:val="4"/>
    </w:lvl>
    <w:lvl w:ilvl="1">
      <w:lvlJc w:val="left"/>
      <w:lvlText w:val="%2"/>
      <w:numFmt w:val="lowerRoman"/>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lowerLetter"/>
      <w:start w:val="2"/>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51" Type="http://schemas.openxmlformats.org/officeDocument/2006/relationships/image" Target="media/image4.png"/><Relationship Id="rId11" Type="http://schemas.openxmlformats.org/officeDocument/2006/relationships/hyperlink" Target="http://www.sec.gov/Archives/edgar/data/1547903/000154790313000020/a21macstockpurchaseagreeme.htm" TargetMode="External"/><Relationship Id="rId12" Type="http://schemas.openxmlformats.org/officeDocument/2006/relationships/hyperlink" Target="http://www.sec.gov/Archives/edgar/data/1547903/000154790313000020/a22amendmenttomacpurhcasea.htm" TargetMode="External"/><Relationship Id="rId13" Type="http://schemas.openxmlformats.org/officeDocument/2006/relationships/hyperlink" Target="http://www.sec.gov/Archives/edgar/data/1547903/000154790313000020/a31secondamendedandrestate.htm" TargetMode="External"/><Relationship Id="rId14" Type="http://schemas.openxmlformats.org/officeDocument/2006/relationships/hyperlink" Target="http://www.sec.gov/Archives/edgar/data/1547903/000154790314000152/exhibit31december92014.htm" TargetMode="External"/><Relationship Id="rId15" Type="http://schemas.openxmlformats.org/officeDocument/2006/relationships/hyperlink" Target="http://www.sec.gov/Archives/edgar/data/1547903/000154790313000020/a41specimenclassacommonsto.htm" TargetMode="External"/><Relationship Id="rId16" Type="http://schemas.openxmlformats.org/officeDocument/2006/relationships/hyperlink" Target="http://www.sec.gov/Archives/edgar/data/1547903/000154790313000020/a42registrationrightsagree.htm" TargetMode="External"/><Relationship Id="rId17" Type="http://schemas.openxmlformats.org/officeDocument/2006/relationships/hyperlink" Target="http://www.sec.gov/Archives/edgar/data/1547903/000154790313000020/a43registrationrightsagree.htm" TargetMode="External"/><Relationship Id="rId18" Type="http://schemas.openxmlformats.org/officeDocument/2006/relationships/hyperlink" Target="http://www.sec.gov/Archives/edgar/data/1547903/000154790313000020/a44registrationrightsagree.htm" TargetMode="External"/><Relationship Id="rId19" Type="http://schemas.openxmlformats.org/officeDocument/2006/relationships/hyperlink" Target="http://www.sec.gov/Archives/edgar/data/1547903/000154790313000020/a45warrantno1fbrcapitalmar.htm" TargetMode="External"/><Relationship Id="rId20" Type="http://schemas.openxmlformats.org/officeDocument/2006/relationships/hyperlink" Target="http://www.sec.gov/Archives/edgar/data/1547903/000154790313000020/a46warrantno2macfinancial4.htm" TargetMode="External"/><Relationship Id="rId21" Type="http://schemas.openxmlformats.org/officeDocument/2006/relationships/hyperlink" Target="http://www.sec.gov/Archives/edgar/data/1547903/000154790313000020/a101nmiholdingsinc2012stoc.htm" TargetMode="External"/><Relationship Id="rId22" Type="http://schemas.openxmlformats.org/officeDocument/2006/relationships/hyperlink" Target="http://www.sec.gov/Archives/edgar/data/1547903/000154790313000020/a102formofnmiholdingsinc20.htm" TargetMode="External"/><Relationship Id="rId23" Type="http://schemas.openxmlformats.org/officeDocument/2006/relationships/hyperlink" Target="http://www.sec.gov/Archives/edgar/data/1547903/000154790313000020/a103formofnmiholdingsinc20.htm" TargetMode="External"/><Relationship Id="rId24" Type="http://schemas.openxmlformats.org/officeDocument/2006/relationships/hyperlink" Target="http://www.sec.gov/Archives/edgar/data/1547903/000154790313000020/a104formofnmiholdingsinc20.htm" TargetMode="External"/><Relationship Id="rId25" Type="http://schemas.openxmlformats.org/officeDocument/2006/relationships/hyperlink" Target="http://www.sec.gov/Archives/edgar/data/1547903/000154790313000020/a105formofnonqualifiedstoc.htm" TargetMode="External"/><Relationship Id="rId26" Type="http://schemas.openxmlformats.org/officeDocument/2006/relationships/hyperlink" Target="http://www.sec.gov/Archives/edgar/data/1547903/000154790313000020/a106formofnonqualifiedstoc.htm" TargetMode="External"/><Relationship Id="rId27" Type="http://schemas.openxmlformats.org/officeDocument/2006/relationships/hyperlink" Target="http://www.sec.gov/Archives/edgar/data/1547903/000154790313000020/a107formofnonqualifiedstoc.htm" TargetMode="External"/><Relationship Id="rId28" Type="http://schemas.openxmlformats.org/officeDocument/2006/relationships/hyperlink" Target="http://www.sec.gov/Archives/edgar/data/1547903/000154790317000032/exhibit108-2012stockincent.htm" TargetMode="External"/><Relationship Id="rId29" Type="http://schemas.openxmlformats.org/officeDocument/2006/relationships/hyperlink" Target="http://www.sec.gov/Archives/edgar/data/1547903/000154790317000032/exhibit109-2012stockincent.htm" TargetMode="External"/><Relationship Id="rId30" Type="http://schemas.openxmlformats.org/officeDocument/2006/relationships/hyperlink" Target="http://www.sec.gov/Archives/edgar/data/1547903/000154790315000172/a20151223shusteremployment.htm" TargetMode="External"/><Relationship Id="rId31" Type="http://schemas.openxmlformats.org/officeDocument/2006/relationships/hyperlink" Target="http://www.sec.gov/Archives/edgar/data/1547903/000154790316000230/exhibit1010leatherberrybil.htm" TargetMode="External"/><Relationship Id="rId32" Type="http://schemas.openxmlformats.org/officeDocument/2006/relationships/hyperlink" Target="http://www.sec.gov/Archives/edgar/data/1547903/000154790317000003/exhibit101offerletterdated.htm" TargetMode="External"/><Relationship Id="rId33" Type="http://schemas.openxmlformats.org/officeDocument/2006/relationships/hyperlink" Target="http://www.sec.gov/Archives/edgar/data/1547903/000154790314000146/exhibit101november252014.htm" TargetMode="External"/><Relationship Id="rId34" Type="http://schemas.openxmlformats.org/officeDocument/2006/relationships/hyperlink" Target="http://www.sec.gov/Archives/edgar/data/1547903/000154790313000020/a1014commitmentletterforbu.htm" TargetMode="External"/><Relationship Id="rId35" Type="http://schemas.openxmlformats.org/officeDocument/2006/relationships/hyperlink" Target="http://www.sec.gov/Archives/edgar/data/1547903/000154790315000142/nmihexhibit41tlb.htm" TargetMode="External"/><Relationship Id="rId36" Type="http://schemas.openxmlformats.org/officeDocument/2006/relationships/hyperlink" Target="http://www.sec.gov/Archives/edgar/data/1547903/000154790317000005/exhibit101tlaandannex.htm" TargetMode="External"/><Relationship Id="rId37" Type="http://schemas.openxmlformats.org/officeDocument/2006/relationships/hyperlink" Target="http://www.sec.gov/Archives/edgar/data/1547903/000154790317000115/exhibit101amendmentno2.htm" TargetMode="External"/><Relationship Id="rId38" Type="http://schemas.openxmlformats.org/officeDocument/2006/relationships/hyperlink" Target="http://www.sec.gov/Archives/edgar/data/1547903/000154790317000043/nmihproxy2017.htm" TargetMode="External"/><Relationship Id="rId39" Type="http://schemas.openxmlformats.org/officeDocument/2006/relationships/hyperlink" Target="http://www.sec.gov/Archives/edgar/data/1547903/000154790317000100/ex1019rsuceo.htm" TargetMode="External"/><Relationship Id="rId40" Type="http://schemas.openxmlformats.org/officeDocument/2006/relationships/hyperlink" Target="http://www.sec.gov/Archives/edgar/data/1547903/000154790317000100/ex1020rsueo.htm" TargetMode="External"/><Relationship Id="rId41" Type="http://schemas.openxmlformats.org/officeDocument/2006/relationships/hyperlink" Target="http://www.sec.gov/Archives/edgar/data/1547903/000154790317000100/ex1021rsuee.htm" TargetMode="External"/><Relationship Id="rId42" Type="http://schemas.openxmlformats.org/officeDocument/2006/relationships/hyperlink" Target="http://www.sec.gov/Archives/edgar/data/1547903/000154790317000100/ex1022rsuindependentdirect.htm" TargetMode="External"/><Relationship Id="rId43" Type="http://schemas.openxmlformats.org/officeDocument/2006/relationships/hyperlink" Target="http://www.sec.gov/Archives/edgar/data/1547903/000154790317000100/ex1023nqsceo.htm" TargetMode="External"/><Relationship Id="rId44" Type="http://schemas.openxmlformats.org/officeDocument/2006/relationships/hyperlink" Target="http://www.sec.gov/Archives/edgar/data/1547903/000154790317000100/ex1024nqseoee.htm" TargetMode="External"/><Relationship Id="rId45" Type="http://schemas.openxmlformats.org/officeDocument/2006/relationships/hyperlink" Target="http://www.sec.gov/Archives/edgar/data/1547903/000154790315000112/exhibit1021formofphantomun.htm" TargetMode="External"/><Relationship Id="rId46" Type="http://schemas.openxmlformats.org/officeDocument/2006/relationships/hyperlink" Target="http://www.sec.gov/Archives/edgar/data/1547903/000154790317000032/exhibit1026-2014omnibusinc.htm" TargetMode="External"/><Relationship Id="rId47" Type="http://schemas.openxmlformats.org/officeDocument/2006/relationships/hyperlink" Target="http://www.sec.gov/Archives/edgar/data/1547903/000154790316000185/ex101severancebenefitplan.htm" TargetMode="External"/><Relationship Id="rId48" Type="http://schemas.openxmlformats.org/officeDocument/2006/relationships/hyperlink" Target="http://www.sec.gov/Archives/edgar/data/1547903/000154790317000035/exhbit101.htm" TargetMode="External"/><Relationship Id="rId49" Type="http://schemas.openxmlformats.org/officeDocument/2006/relationships/hyperlink" Target="http://www.sec.gov/Archives/edgar/data/1547903/000154790317000035/exhibit102.htm" TargetMode="External"/><Relationship Id="rId50"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2019-12-08T02:40:33Z</dcterms:created>
  <dcterms:modified xsi:type="dcterms:W3CDTF">2019-12-08T02:40:33Z</dcterms:modified>
</cp:coreProperties>
</file>