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3960" w:type="dxa"/>
            <w:vAlign w:val="bottom"/>
            <w:gridSpan w:val="2"/>
          </w:tcPr>
          <w:p>
            <w:pPr>
              <w:jc w:val="center"/>
              <w:ind w:right="640"/>
              <w:spacing w:after="0"/>
              <w:rPr>
                <w:sz w:val="20"/>
                <w:szCs w:val="20"/>
                <w:color w:val="auto"/>
              </w:rPr>
            </w:pPr>
            <w:r>
              <w:rPr>
                <w:rFonts w:ascii="Arial" w:cs="Arial" w:eastAsia="Arial" w:hAnsi="Arial"/>
                <w:sz w:val="22"/>
                <w:szCs w:val="22"/>
                <w:b w:val="1"/>
                <w:bCs w:val="1"/>
                <w:color w:val="auto"/>
                <w:w w:val="96"/>
              </w:rPr>
              <w:t>UNITED STATES</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5960" w:type="dxa"/>
            <w:vAlign w:val="bottom"/>
            <w:gridSpan w:val="3"/>
          </w:tcPr>
          <w:p>
            <w:pPr>
              <w:jc w:val="center"/>
              <w:ind w:left="1290"/>
              <w:spacing w:after="0"/>
              <w:rPr>
                <w:sz w:val="20"/>
                <w:szCs w:val="20"/>
                <w:color w:val="auto"/>
              </w:rPr>
            </w:pPr>
            <w:r>
              <w:rPr>
                <w:rFonts w:ascii="Arial" w:cs="Arial" w:eastAsia="Arial" w:hAnsi="Arial"/>
                <w:sz w:val="22"/>
                <w:szCs w:val="22"/>
                <w:b w:val="1"/>
                <w:bCs w:val="1"/>
                <w:color w:val="auto"/>
                <w:w w:val="98"/>
              </w:rPr>
              <w:t>SECURITIES AND EXCHANGE COMMISSION</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96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Washington, D.C. 20549</w:t>
            </w:r>
          </w:p>
        </w:tc>
        <w:tc>
          <w:tcPr>
            <w:tcW w:w="0" w:type="dxa"/>
            <w:vAlign w:val="bottom"/>
          </w:tcPr>
          <w:p>
            <w:pPr>
              <w:spacing w:after="0"/>
              <w:rPr>
                <w:sz w:val="1"/>
                <w:szCs w:val="1"/>
                <w:color w:val="auto"/>
              </w:rPr>
            </w:pPr>
          </w:p>
        </w:tc>
      </w:tr>
      <w:tr>
        <w:trPr>
          <w:trHeight w:val="129"/>
        </w:trPr>
        <w:tc>
          <w:tcPr>
            <w:tcW w:w="19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c>
          <w:tcPr>
            <w:tcW w:w="6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304"/>
        </w:trPr>
        <w:tc>
          <w:tcPr>
            <w:tcW w:w="19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rPr>
              <w:t>SCHEDULE 14A</w:t>
            </w: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960" w:type="dxa"/>
            <w:vAlign w:val="bottom"/>
          </w:tcPr>
          <w:p>
            <w:pPr>
              <w:spacing w:after="0"/>
              <w:rPr>
                <w:sz w:val="24"/>
                <w:szCs w:val="24"/>
                <w:color w:val="auto"/>
              </w:rPr>
            </w:pPr>
          </w:p>
        </w:tc>
        <w:tc>
          <w:tcPr>
            <w:tcW w:w="5960" w:type="dxa"/>
            <w:vAlign w:val="bottom"/>
            <w:gridSpan w:val="3"/>
          </w:tcPr>
          <w:p>
            <w:pPr>
              <w:jc w:val="center"/>
              <w:ind w:left="1290"/>
              <w:spacing w:after="0"/>
              <w:rPr>
                <w:sz w:val="20"/>
                <w:szCs w:val="20"/>
                <w:color w:val="auto"/>
              </w:rPr>
            </w:pPr>
            <w:r>
              <w:rPr>
                <w:rFonts w:ascii="Arial" w:cs="Arial" w:eastAsia="Arial" w:hAnsi="Arial"/>
                <w:sz w:val="16"/>
                <w:szCs w:val="16"/>
                <w:b w:val="1"/>
                <w:bCs w:val="1"/>
                <w:color w:val="auto"/>
              </w:rPr>
              <w:t>Proxy Statement Pursuant to Section 14(a) of the Securities</w:t>
            </w: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96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rPr>
              <w:t>Exchange Act of 1934</w:t>
            </w:r>
          </w:p>
        </w:tc>
        <w:tc>
          <w:tcPr>
            <w:tcW w:w="0" w:type="dxa"/>
            <w:vAlign w:val="bottom"/>
          </w:tcPr>
          <w:p>
            <w:pPr>
              <w:spacing w:after="0"/>
              <w:rPr>
                <w:sz w:val="1"/>
                <w:szCs w:val="1"/>
                <w:color w:val="auto"/>
              </w:rPr>
            </w:pPr>
          </w:p>
        </w:tc>
      </w:tr>
      <w:tr>
        <w:trPr>
          <w:trHeight w:val="424"/>
        </w:trPr>
        <w:tc>
          <w:tcPr>
            <w:tcW w:w="1960" w:type="dxa"/>
            <w:vAlign w:val="bottom"/>
          </w:tcPr>
          <w:p>
            <w:pPr>
              <w:spacing w:after="0"/>
              <w:rPr>
                <w:sz w:val="20"/>
                <w:szCs w:val="20"/>
                <w:color w:val="auto"/>
              </w:rPr>
            </w:pPr>
            <w:r>
              <w:rPr>
                <w:rFonts w:ascii="Arial" w:cs="Arial" w:eastAsia="Arial" w:hAnsi="Arial"/>
                <w:sz w:val="16"/>
                <w:szCs w:val="16"/>
                <w:color w:val="auto"/>
              </w:rPr>
              <w:t>Filed by the Registrant</w:t>
            </w:r>
          </w:p>
        </w:tc>
        <w:tc>
          <w:tcPr>
            <w:tcW w:w="5960" w:type="dxa"/>
            <w:vAlign w:val="bottom"/>
            <w:gridSpan w:val="3"/>
          </w:tcPr>
          <w:p>
            <w:pPr>
              <w:ind w:left="340"/>
              <w:spacing w:after="0"/>
              <w:rPr>
                <w:sz w:val="20"/>
                <w:szCs w:val="20"/>
                <w:color w:val="auto"/>
              </w:rPr>
            </w:pPr>
            <w:r>
              <w:rPr>
                <w:rFonts w:ascii="Wingdings" w:cs="Wingdings" w:eastAsia="Wingdings" w:hAnsi="Wingdings"/>
                <w:sz w:val="16"/>
                <w:szCs w:val="16"/>
                <w:b w:val="1"/>
                <w:bCs w:val="1"/>
                <w:color w:val="auto"/>
              </w:rPr>
              <w:t>x</w:t>
            </w:r>
          </w:p>
        </w:tc>
        <w:tc>
          <w:tcPr>
            <w:tcW w:w="0" w:type="dxa"/>
            <w:vAlign w:val="bottom"/>
          </w:tcPr>
          <w:p>
            <w:pPr>
              <w:spacing w:after="0"/>
              <w:rPr>
                <w:sz w:val="1"/>
                <w:szCs w:val="1"/>
                <w:color w:val="auto"/>
              </w:rPr>
            </w:pPr>
          </w:p>
        </w:tc>
      </w:tr>
    </w:tbl>
    <w:p>
      <w:pPr>
        <w:spacing w:after="0"/>
        <w:tabs>
          <w:tab w:leader="none" w:pos="32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Wingdings" w:cs="Wingdings" w:eastAsia="Wingdings" w:hAnsi="Wingdings"/>
          <w:sz w:val="15"/>
          <w:szCs w:val="15"/>
          <w:b w:val="1"/>
          <w:bCs w:val="1"/>
          <w:color w:val="auto"/>
        </w:rPr>
        <w:t>o</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67" w:lineRule="exact"/>
        <w:rPr>
          <w:sz w:val="24"/>
          <w:szCs w:val="24"/>
          <w:color w:val="auto"/>
        </w:rPr>
      </w:pPr>
    </w:p>
    <w:p>
      <w:pPr>
        <w:ind w:left="340" w:hanging="332"/>
        <w:spacing w:after="0"/>
        <w:tabs>
          <w:tab w:leader="none" w:pos="34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color w:val="auto"/>
        </w:rPr>
        <w:t>Preliminary Proxy Statement</w:t>
      </w:r>
    </w:p>
    <w:p>
      <w:pPr>
        <w:spacing w:after="0" w:line="180" w:lineRule="exact"/>
        <w:rPr>
          <w:rFonts w:ascii="Wingdings" w:cs="Wingdings" w:eastAsia="Wingdings" w:hAnsi="Wingdings"/>
          <w:sz w:val="16"/>
          <w:szCs w:val="16"/>
          <w:b w:val="1"/>
          <w:bCs w:val="1"/>
          <w:color w:val="auto"/>
        </w:rPr>
      </w:pPr>
    </w:p>
    <w:p>
      <w:pPr>
        <w:ind w:left="340" w:hanging="332"/>
        <w:spacing w:after="0"/>
        <w:tabs>
          <w:tab w:leader="none" w:pos="340" w:val="left"/>
        </w:tabs>
        <w:numPr>
          <w:ilvl w:val="0"/>
          <w:numId w:val="1"/>
        </w:numPr>
        <w:rPr>
          <w:rFonts w:ascii="Wingdings" w:cs="Wingdings" w:eastAsia="Wingdings" w:hAnsi="Wingdings"/>
          <w:sz w:val="16"/>
          <w:szCs w:val="16"/>
          <w:b w:val="1"/>
          <w:bCs w:val="1"/>
          <w:color w:val="auto"/>
        </w:rPr>
      </w:pPr>
      <w:r>
        <w:rPr>
          <w:rFonts w:ascii="Arial" w:cs="Arial" w:eastAsia="Arial" w:hAnsi="Arial"/>
          <w:sz w:val="16"/>
          <w:szCs w:val="16"/>
          <w:b w:val="1"/>
          <w:bCs w:val="1"/>
          <w:color w:val="auto"/>
        </w:rPr>
        <w:t>Confidential, for Use of the Commission Only (as permitted by Rule 14a-6(e)(2))</w:t>
      </w:r>
    </w:p>
    <w:p>
      <w:pPr>
        <w:spacing w:after="0" w:line="167" w:lineRule="exact"/>
        <w:rPr>
          <w:sz w:val="24"/>
          <w:szCs w:val="24"/>
          <w:color w:val="auto"/>
        </w:rPr>
      </w:pPr>
    </w:p>
    <w:p>
      <w:pPr>
        <w:ind w:left="360" w:hanging="352"/>
        <w:spacing w:after="0"/>
        <w:tabs>
          <w:tab w:leader="none" w:pos="360" w:val="left"/>
        </w:tabs>
        <w:numPr>
          <w:ilvl w:val="0"/>
          <w:numId w:val="2"/>
        </w:numPr>
        <w:rPr>
          <w:rFonts w:ascii="Wingdings" w:cs="Wingdings" w:eastAsia="Wingdings" w:hAnsi="Wingdings"/>
          <w:sz w:val="16"/>
          <w:szCs w:val="16"/>
          <w:b w:val="1"/>
          <w:bCs w:val="1"/>
          <w:color w:val="auto"/>
        </w:rPr>
      </w:pPr>
      <w:r>
        <w:rPr>
          <w:rFonts w:ascii="Arial" w:cs="Arial" w:eastAsia="Arial" w:hAnsi="Arial"/>
          <w:sz w:val="16"/>
          <w:szCs w:val="16"/>
          <w:color w:val="auto"/>
        </w:rPr>
        <w:t>Definitive Proxy Statement</w:t>
      </w:r>
    </w:p>
    <w:p>
      <w:pPr>
        <w:spacing w:after="0" w:line="181" w:lineRule="exact"/>
        <w:rPr>
          <w:sz w:val="24"/>
          <w:szCs w:val="24"/>
          <w:color w:val="auto"/>
        </w:rPr>
      </w:pPr>
    </w:p>
    <w:p>
      <w:pPr>
        <w:ind w:left="340" w:hanging="332"/>
        <w:spacing w:after="0"/>
        <w:tabs>
          <w:tab w:leader="none" w:pos="340" w:val="left"/>
        </w:tabs>
        <w:numPr>
          <w:ilvl w:val="0"/>
          <w:numId w:val="3"/>
        </w:numPr>
        <w:rPr>
          <w:rFonts w:ascii="Wingdings" w:cs="Wingdings" w:eastAsia="Wingdings" w:hAnsi="Wingdings"/>
          <w:sz w:val="16"/>
          <w:szCs w:val="16"/>
          <w:b w:val="1"/>
          <w:bCs w:val="1"/>
          <w:color w:val="auto"/>
        </w:rPr>
      </w:pPr>
      <w:r>
        <w:rPr>
          <w:rFonts w:ascii="Arial" w:cs="Arial" w:eastAsia="Arial" w:hAnsi="Arial"/>
          <w:sz w:val="16"/>
          <w:szCs w:val="16"/>
          <w:color w:val="auto"/>
        </w:rPr>
        <w:t>Definitive Additional Materials</w:t>
      </w:r>
    </w:p>
    <w:p>
      <w:pPr>
        <w:spacing w:after="0" w:line="167" w:lineRule="exact"/>
        <w:rPr>
          <w:rFonts w:ascii="Wingdings" w:cs="Wingdings" w:eastAsia="Wingdings" w:hAnsi="Wingdings"/>
          <w:sz w:val="16"/>
          <w:szCs w:val="16"/>
          <w:b w:val="1"/>
          <w:bCs w:val="1"/>
          <w:color w:val="auto"/>
        </w:rPr>
      </w:pPr>
    </w:p>
    <w:p>
      <w:pPr>
        <w:ind w:left="340" w:hanging="332"/>
        <w:spacing w:after="0"/>
        <w:tabs>
          <w:tab w:leader="none" w:pos="340" w:val="left"/>
        </w:tabs>
        <w:numPr>
          <w:ilvl w:val="0"/>
          <w:numId w:val="3"/>
        </w:numPr>
        <w:rPr>
          <w:rFonts w:ascii="Wingdings" w:cs="Wingdings" w:eastAsia="Wingdings" w:hAnsi="Wingdings"/>
          <w:sz w:val="16"/>
          <w:szCs w:val="16"/>
          <w:b w:val="1"/>
          <w:bCs w:val="1"/>
          <w:color w:val="auto"/>
        </w:rPr>
      </w:pPr>
      <w:r>
        <w:rPr>
          <w:rFonts w:ascii="Arial" w:cs="Arial" w:eastAsia="Arial" w:hAnsi="Arial"/>
          <w:sz w:val="16"/>
          <w:szCs w:val="16"/>
          <w:color w:val="auto"/>
        </w:rPr>
        <w:t>Soliciting Material Pursuant to §240.14a-12</w:t>
      </w:r>
    </w:p>
    <w:p>
      <w:pPr>
        <w:spacing w:after="0" w:line="1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NMI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(Name of Registrant as Specified In Its Charter)</w:t>
      </w:r>
    </w:p>
    <w:p>
      <w:pPr>
        <w:spacing w:after="0" w:line="21" w:lineRule="exact"/>
        <w:rPr>
          <w:sz w:val="24"/>
          <w:szCs w:val="24"/>
          <w:color w:val="auto"/>
        </w:rPr>
      </w:pPr>
    </w:p>
    <w:p>
      <w:pPr>
        <w:jc w:val="center"/>
        <w:ind w:right="-11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67" w:lineRule="exact"/>
        <w:rPr>
          <w:sz w:val="24"/>
          <w:szCs w:val="24"/>
          <w:color w:val="auto"/>
        </w:rPr>
      </w:pPr>
    </w:p>
    <w:p>
      <w:pPr>
        <w:ind w:left="360" w:hanging="352"/>
        <w:spacing w:after="0"/>
        <w:tabs>
          <w:tab w:leader="none" w:pos="360" w:val="left"/>
        </w:tabs>
        <w:numPr>
          <w:ilvl w:val="0"/>
          <w:numId w:val="4"/>
        </w:numPr>
        <w:rPr>
          <w:rFonts w:ascii="Wingdings" w:cs="Wingdings" w:eastAsia="Wingdings" w:hAnsi="Wingdings"/>
          <w:sz w:val="16"/>
          <w:szCs w:val="16"/>
          <w:b w:val="1"/>
          <w:bCs w:val="1"/>
          <w:color w:val="auto"/>
        </w:rPr>
      </w:pPr>
      <w:r>
        <w:rPr>
          <w:rFonts w:ascii="Arial" w:cs="Arial" w:eastAsia="Arial" w:hAnsi="Arial"/>
          <w:sz w:val="16"/>
          <w:szCs w:val="16"/>
          <w:color w:val="auto"/>
        </w:rPr>
        <w:t>No fee required.</w:t>
      </w:r>
    </w:p>
    <w:p>
      <w:pPr>
        <w:spacing w:after="0" w:line="181" w:lineRule="exact"/>
        <w:rPr>
          <w:sz w:val="24"/>
          <w:szCs w:val="24"/>
          <w:color w:val="auto"/>
        </w:rPr>
      </w:pPr>
    </w:p>
    <w:p>
      <w:pPr>
        <w:ind w:left="340" w:hanging="332"/>
        <w:spacing w:after="0"/>
        <w:tabs>
          <w:tab w:leader="none" w:pos="340" w:val="left"/>
        </w:tabs>
        <w:numPr>
          <w:ilvl w:val="0"/>
          <w:numId w:val="5"/>
        </w:numPr>
        <w:rPr>
          <w:rFonts w:ascii="Wingdings" w:cs="Wingdings" w:eastAsia="Wingdings" w:hAnsi="Wingdings"/>
          <w:sz w:val="16"/>
          <w:szCs w:val="16"/>
          <w:b w:val="1"/>
          <w:bCs w:val="1"/>
          <w:color w:val="auto"/>
        </w:rPr>
      </w:pPr>
      <w:r>
        <w:rPr>
          <w:rFonts w:ascii="Arial" w:cs="Arial" w:eastAsia="Arial" w:hAnsi="Arial"/>
          <w:sz w:val="16"/>
          <w:szCs w:val="16"/>
          <w:color w:val="auto"/>
        </w:rPr>
        <w:t>Fee paid previously with preliminary materials.</w:t>
      </w:r>
    </w:p>
    <w:p>
      <w:pPr>
        <w:spacing w:after="0" w:line="167" w:lineRule="exact"/>
        <w:rPr>
          <w:rFonts w:ascii="Wingdings" w:cs="Wingdings" w:eastAsia="Wingdings" w:hAnsi="Wingdings"/>
          <w:sz w:val="16"/>
          <w:szCs w:val="16"/>
          <w:b w:val="1"/>
          <w:bCs w:val="1"/>
          <w:color w:val="auto"/>
        </w:rPr>
      </w:pPr>
    </w:p>
    <w:p>
      <w:pPr>
        <w:ind w:left="340" w:hanging="332"/>
        <w:spacing w:after="0"/>
        <w:tabs>
          <w:tab w:leader="none" w:pos="340" w:val="left"/>
        </w:tabs>
        <w:numPr>
          <w:ilvl w:val="0"/>
          <w:numId w:val="5"/>
        </w:numPr>
        <w:rPr>
          <w:rFonts w:ascii="Wingdings" w:cs="Wingdings" w:eastAsia="Wingdings" w:hAnsi="Wingdings"/>
          <w:sz w:val="16"/>
          <w:szCs w:val="16"/>
          <w:b w:val="1"/>
          <w:bCs w:val="1"/>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1353820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9004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90049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2608580</wp:posOffset>
            </wp:positionH>
            <wp:positionV relativeFrom="page">
              <wp:posOffset>603250</wp:posOffset>
            </wp:positionV>
            <wp:extent cx="2331720"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331720" cy="42862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March 26, 2026</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0C2940"/>
        </w:rPr>
        <w:t>Dear Stockholder:</w:t>
      </w:r>
    </w:p>
    <w:p>
      <w:pPr>
        <w:spacing w:after="0" w:line="200" w:lineRule="exact"/>
        <w:rPr>
          <w:sz w:val="20"/>
          <w:szCs w:val="20"/>
          <w:color w:val="auto"/>
        </w:rPr>
      </w:pPr>
    </w:p>
    <w:p>
      <w:pPr>
        <w:spacing w:after="0" w:line="21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You are cordially invited to attend the Annual Meeting of Stockholders of NMI Holdings, Inc. (NMI or the Company). The meeting will be held as a virtual meeting on Thursday, May 14, 2026 at 8:30 a.m. Pacific Time. We will provide a live audio webcast of the annual meeting at </w:t>
      </w:r>
      <w:r>
        <w:rPr>
          <w:rFonts w:ascii="Arial" w:cs="Arial" w:eastAsia="Arial" w:hAnsi="Arial"/>
          <w:sz w:val="16"/>
          <w:szCs w:val="16"/>
          <w:b w:val="1"/>
          <w:bCs w:val="1"/>
          <w:i w:val="1"/>
          <w:iCs w:val="1"/>
          <w:color w:val="auto"/>
        </w:rPr>
        <w:t>www.virtualshareholdermeeting.com/NMIH2026</w:t>
      </w:r>
      <w:r>
        <w:rPr>
          <w:rFonts w:ascii="Arial" w:cs="Arial" w:eastAsia="Arial" w:hAnsi="Arial"/>
          <w:sz w:val="16"/>
          <w:szCs w:val="16"/>
          <w:color w:val="auto"/>
        </w:rPr>
        <w:t>.</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At this year's meeting, we will vote on the election of directors and the ratification of the selection of BDO USA, P.C. as NMI's independent auditors. We will also conduct a nonbinding advisory vote to approve the compensation of NMI's named executive officers. Finally, we will transact such other business as may properly come before the meeting, and stockholders will have an opportunity to ask questions. Prior to and during the meeting you may vote on the proposals described in this proxy statement.</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Your vote is important. Whether or not you plan to participate in the meeting, we encourage you to vote as soon as possible over the Internet or, if you requested printed copies of the proxy materials to be mailed to you, by telephone or by mailing a completed proxy card or voting instruction form. Your vote by proxy will ensure your representation at the annual meeting regardless of whether you participate in the meeting. You may also vote online during the meeting until voting is closed. Details regarding the annual meeting and the business to be conducted are described in the accompanying Notice of 2026 Annual Meeting of Stockholders and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trust and ongoing support in NMI.</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8587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4114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638175</wp:posOffset>
            </wp:positionV>
            <wp:extent cx="1071245" cy="1045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12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920"/>
        <w:spacing w:after="0"/>
        <w:rPr>
          <w:sz w:val="20"/>
          <w:szCs w:val="20"/>
          <w:color w:val="auto"/>
        </w:rPr>
      </w:pPr>
      <w:r>
        <w:rPr>
          <w:rFonts w:ascii="Arial" w:cs="Arial" w:eastAsia="Arial" w:hAnsi="Arial"/>
          <w:sz w:val="16"/>
          <w:szCs w:val="16"/>
          <w:color w:val="0C2940"/>
        </w:rPr>
        <w:t>Bradley M. Shuster</w:t>
      </w:r>
    </w:p>
    <w:p>
      <w:pPr>
        <w:spacing w:after="0" w:line="64"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Executive Chairman and Chairman</w:t>
      </w:r>
    </w:p>
    <w:p>
      <w:pPr>
        <w:spacing w:after="0" w:line="29"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of the Board</w:t>
      </w:r>
    </w:p>
    <w:p>
      <w:pPr>
        <w:spacing w:after="0" w:line="55"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March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1125220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1097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sz w:val="1"/>
          <w:szCs w:val="1"/>
          <w:color w:val="auto"/>
        </w:rPr>
        <w:drawing>
          <wp:inline distT="0" distB="0" distL="0" distR="0">
            <wp:extent cx="539750" cy="70294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9750" cy="702945"/>
                    </a:xfrm>
                    <a:prstGeom prst="rect">
                      <a:avLst/>
                    </a:prstGeom>
                    <a:noFill/>
                    <a:ln>
                      <a:noFill/>
                    </a:ln>
                  </pic:spPr>
                </pic:pic>
              </a:graphicData>
            </a:graphic>
          </wp:inline>
        </w:drawing>
      </w:r>
      <w:r>
        <w:rPr>
          <w:rFonts w:ascii="Arial" w:cs="Arial" w:eastAsia="Arial" w:hAnsi="Arial"/>
          <w:sz w:val="43"/>
          <w:szCs w:val="43"/>
          <w:color w:val="A7A9AC"/>
        </w:rPr>
        <w:t xml:space="preserve">Table of </w:t>
      </w:r>
      <w:r>
        <w:rPr>
          <w:rFonts w:ascii="Arial" w:cs="Arial" w:eastAsia="Arial" w:hAnsi="Arial"/>
          <w:sz w:val="43"/>
          <w:szCs w:val="43"/>
          <w:b w:val="1"/>
          <w:bCs w:val="1"/>
          <w:color w:val="DE762B"/>
        </w:rPr>
        <w:t>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shd w:val="clear" w:color="auto" w:fill="082940"/>
          </w:tcPr>
          <w:p>
            <w:pPr>
              <w:ind w:left="100"/>
              <w:spacing w:after="0"/>
              <w:rPr>
                <w:sz w:val="20"/>
                <w:szCs w:val="20"/>
                <w:color w:val="auto"/>
              </w:rPr>
            </w:pPr>
            <w:r>
              <w:rPr>
                <w:rFonts w:ascii="Arial" w:cs="Arial" w:eastAsia="Arial" w:hAnsi="Arial"/>
                <w:sz w:val="14"/>
                <w:szCs w:val="14"/>
                <w:color w:val="FFFFFF"/>
              </w:rPr>
              <w:t>NOTICE OF 2026 ANNUAL MEETING</w:t>
            </w:r>
          </w:p>
        </w:tc>
        <w:tc>
          <w:tcPr>
            <w:tcW w:w="560" w:type="dxa"/>
            <w:vAlign w:val="bottom"/>
            <w:shd w:val="clear" w:color="auto" w:fill="082940"/>
          </w:tcPr>
          <w:p>
            <w:pPr>
              <w:jc w:val="center"/>
              <w:spacing w:after="0"/>
              <w:rPr>
                <w:sz w:val="20"/>
                <w:szCs w:val="20"/>
                <w:color w:val="auto"/>
              </w:rPr>
            </w:pPr>
            <w:r>
              <w:rPr>
                <w:rFonts w:ascii="Arial" w:cs="Arial" w:eastAsia="Arial" w:hAnsi="Arial"/>
                <w:sz w:val="14"/>
                <w:szCs w:val="14"/>
                <w:color w:val="FFFFFF"/>
              </w:rPr>
              <w:t>1</w:t>
            </w:r>
          </w:p>
        </w:tc>
      </w:tr>
      <w:tr>
        <w:trPr>
          <w:trHeight w:val="242"/>
        </w:trPr>
        <w:tc>
          <w:tcPr>
            <w:tcW w:w="4860" w:type="dxa"/>
            <w:vAlign w:val="bottom"/>
            <w:tcBorders>
              <w:bottom w:val="single" w:sz="8" w:color="082940"/>
            </w:tcBorders>
            <w:shd w:val="clear" w:color="auto" w:fill="082940"/>
          </w:tcPr>
          <w:p>
            <w:pPr>
              <w:ind w:left="100"/>
              <w:spacing w:after="0"/>
              <w:rPr>
                <w:sz w:val="20"/>
                <w:szCs w:val="20"/>
                <w:color w:val="auto"/>
              </w:rPr>
            </w:pPr>
            <w:r>
              <w:rPr>
                <w:rFonts w:ascii="Arial" w:cs="Arial" w:eastAsia="Arial" w:hAnsi="Arial"/>
                <w:sz w:val="14"/>
                <w:szCs w:val="14"/>
                <w:color w:val="FFFFFF"/>
              </w:rPr>
              <w:t>PROXY STATEMENT SUMMARY</w:t>
            </w:r>
          </w:p>
        </w:tc>
        <w:tc>
          <w:tcPr>
            <w:tcW w:w="560" w:type="dxa"/>
            <w:vAlign w:val="bottom"/>
            <w:tcBorders>
              <w:bottom w:val="single" w:sz="8" w:color="082940"/>
            </w:tcBorders>
            <w:shd w:val="clear" w:color="auto" w:fill="082940"/>
          </w:tcPr>
          <w:p>
            <w:pPr>
              <w:jc w:val="center"/>
              <w:spacing w:after="0"/>
              <w:rPr>
                <w:sz w:val="20"/>
                <w:szCs w:val="20"/>
                <w:color w:val="auto"/>
              </w:rPr>
            </w:pPr>
            <w:r>
              <w:rPr>
                <w:rFonts w:ascii="Arial" w:cs="Arial" w:eastAsia="Arial" w:hAnsi="Arial"/>
                <w:sz w:val="14"/>
                <w:szCs w:val="14"/>
                <w:color w:val="FFFFFF"/>
              </w:rPr>
              <w:t>2</w:t>
            </w: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Matters To Be Voted Upon</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Virtual Annual Meeting Detail</w:t>
            </w:r>
          </w:p>
        </w:tc>
        <w:tc>
          <w:tcPr>
            <w:tcW w:w="56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How to Vote In Advance of the Annual Meeting</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How to Participate and Vote in the Annual Meeting</w:t>
            </w:r>
          </w:p>
        </w:tc>
        <w:tc>
          <w:tcPr>
            <w:tcW w:w="560" w:type="dxa"/>
            <w:vAlign w:val="bottom"/>
          </w:tcPr>
          <w:p>
            <w:pPr>
              <w:jc w:val="center"/>
              <w:spacing w:after="0"/>
              <w:rPr>
                <w:sz w:val="20"/>
                <w:szCs w:val="20"/>
                <w:color w:val="auto"/>
              </w:rPr>
            </w:pPr>
            <w:r>
              <w:rPr>
                <w:rFonts w:ascii="Arial" w:cs="Arial" w:eastAsia="Arial" w:hAnsi="Arial"/>
                <w:sz w:val="14"/>
                <w:szCs w:val="14"/>
                <w:color w:val="auto"/>
              </w:rPr>
              <w:t>3</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Director Nominees</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4</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Performance Highlights and Strategy</w:t>
            </w:r>
          </w:p>
        </w:tc>
        <w:tc>
          <w:tcPr>
            <w:tcW w:w="560" w:type="dxa"/>
            <w:vAlign w:val="bottom"/>
          </w:tcPr>
          <w:p>
            <w:pPr>
              <w:jc w:val="center"/>
              <w:spacing w:after="0"/>
              <w:rPr>
                <w:sz w:val="20"/>
                <w:szCs w:val="20"/>
                <w:color w:val="auto"/>
              </w:rPr>
            </w:pPr>
            <w:r>
              <w:rPr>
                <w:rFonts w:ascii="Arial" w:cs="Arial" w:eastAsia="Arial" w:hAnsi="Arial"/>
                <w:sz w:val="14"/>
                <w:szCs w:val="14"/>
                <w:color w:val="auto"/>
              </w:rPr>
              <w:t>5</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Corporate Governance</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Compensation Practices</w:t>
            </w:r>
          </w:p>
        </w:tc>
        <w:tc>
          <w:tcPr>
            <w:tcW w:w="560" w:type="dxa"/>
            <w:vAlign w:val="bottom"/>
          </w:tcPr>
          <w:p>
            <w:pPr>
              <w:jc w:val="center"/>
              <w:spacing w:after="0"/>
              <w:rPr>
                <w:sz w:val="20"/>
                <w:szCs w:val="20"/>
                <w:color w:val="auto"/>
              </w:rPr>
            </w:pPr>
            <w:r>
              <w:rPr>
                <w:rFonts w:ascii="Arial" w:cs="Arial" w:eastAsia="Arial" w:hAnsi="Arial"/>
                <w:sz w:val="14"/>
                <w:szCs w:val="14"/>
                <w:color w:val="auto"/>
              </w:rPr>
              <w:t>7</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10"/>
        </w:trPr>
        <w:tc>
          <w:tcPr>
            <w:tcW w:w="4860" w:type="dxa"/>
            <w:vAlign w:val="bottom"/>
            <w:tcBorders>
              <w:bottom w:val="single" w:sz="8" w:color="082940"/>
            </w:tcBorders>
            <w:shd w:val="clear" w:color="auto" w:fill="082940"/>
          </w:tcPr>
          <w:p>
            <w:pPr>
              <w:ind w:left="100"/>
              <w:spacing w:after="0"/>
              <w:rPr>
                <w:sz w:val="20"/>
                <w:szCs w:val="20"/>
                <w:color w:val="auto"/>
              </w:rPr>
            </w:pPr>
            <w:r>
              <w:rPr>
                <w:rFonts w:ascii="Arial" w:cs="Arial" w:eastAsia="Arial" w:hAnsi="Arial"/>
                <w:sz w:val="14"/>
                <w:szCs w:val="14"/>
                <w:color w:val="FFFFFF"/>
              </w:rPr>
              <w:t>PROXY STATEMENT</w:t>
            </w:r>
          </w:p>
        </w:tc>
        <w:tc>
          <w:tcPr>
            <w:tcW w:w="560" w:type="dxa"/>
            <w:vAlign w:val="bottom"/>
            <w:tcBorders>
              <w:bottom w:val="single" w:sz="8" w:color="082940"/>
            </w:tcBorders>
            <w:shd w:val="clear" w:color="auto" w:fill="082940"/>
          </w:tcPr>
          <w:p>
            <w:pPr>
              <w:jc w:val="center"/>
              <w:spacing w:after="0"/>
              <w:rPr>
                <w:sz w:val="20"/>
                <w:szCs w:val="20"/>
                <w:color w:val="auto"/>
              </w:rPr>
            </w:pPr>
            <w:r>
              <w:rPr>
                <w:rFonts w:ascii="Arial" w:cs="Arial" w:eastAsia="Arial" w:hAnsi="Arial"/>
                <w:sz w:val="14"/>
                <w:szCs w:val="14"/>
                <w:color w:val="FFFFFF"/>
              </w:rPr>
              <w:t>8</w:t>
            </w: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About the Annual Meeting</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8</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9"/>
        </w:trPr>
        <w:tc>
          <w:tcPr>
            <w:tcW w:w="4860" w:type="dxa"/>
            <w:vAlign w:val="bottom"/>
            <w:tcBorders>
              <w:bottom w:val="single" w:sz="8" w:color="082940"/>
            </w:tcBorders>
            <w:shd w:val="clear" w:color="auto" w:fill="082940"/>
          </w:tcPr>
          <w:p>
            <w:pPr>
              <w:ind w:left="100"/>
              <w:spacing w:after="0"/>
              <w:rPr>
                <w:sz w:val="20"/>
                <w:szCs w:val="20"/>
                <w:color w:val="auto"/>
              </w:rPr>
            </w:pPr>
            <w:r>
              <w:rPr>
                <w:rFonts w:ascii="Arial" w:cs="Arial" w:eastAsia="Arial" w:hAnsi="Arial"/>
                <w:sz w:val="14"/>
                <w:szCs w:val="14"/>
                <w:color w:val="FFFFFF"/>
              </w:rPr>
              <w:t>ITEM 1 — ELECTION OF DIRECTORS</w:t>
            </w:r>
          </w:p>
        </w:tc>
        <w:tc>
          <w:tcPr>
            <w:tcW w:w="560" w:type="dxa"/>
            <w:vAlign w:val="bottom"/>
            <w:tcBorders>
              <w:bottom w:val="single" w:sz="8" w:color="082940"/>
            </w:tcBorders>
            <w:shd w:val="clear" w:color="auto" w:fill="082940"/>
          </w:tcPr>
          <w:p>
            <w:pPr>
              <w:jc w:val="center"/>
              <w:spacing w:after="0"/>
              <w:rPr>
                <w:sz w:val="20"/>
                <w:szCs w:val="20"/>
                <w:color w:val="auto"/>
              </w:rPr>
            </w:pPr>
            <w:r>
              <w:rPr>
                <w:rFonts w:ascii="Arial" w:cs="Arial" w:eastAsia="Arial" w:hAnsi="Arial"/>
                <w:sz w:val="14"/>
                <w:szCs w:val="14"/>
                <w:color w:val="FFFFFF"/>
              </w:rPr>
              <w:t>11</w:t>
            </w:r>
          </w:p>
        </w:tc>
      </w:tr>
      <w:tr>
        <w:trPr>
          <w:trHeight w:val="208"/>
        </w:trPr>
        <w:tc>
          <w:tcPr>
            <w:tcW w:w="4860" w:type="dxa"/>
            <w:vAlign w:val="bottom"/>
            <w:shd w:val="clear" w:color="auto" w:fill="F5F5F5"/>
          </w:tcPr>
          <w:p>
            <w:pPr>
              <w:ind w:left="180"/>
              <w:spacing w:after="0"/>
              <w:rPr>
                <w:sz w:val="20"/>
                <w:szCs w:val="20"/>
                <w:color w:val="auto"/>
              </w:rPr>
            </w:pPr>
            <w:r>
              <w:rPr>
                <w:rFonts w:ascii="Arial" w:cs="Arial" w:eastAsia="Arial" w:hAnsi="Arial"/>
                <w:sz w:val="14"/>
                <w:szCs w:val="14"/>
                <w:color w:val="auto"/>
              </w:rPr>
              <w:t>Director Criteria, Qualifications, Experience and Tenure</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89"/>
              </w:rPr>
              <w:t>11</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Our Director Nominees</w:t>
            </w:r>
          </w:p>
        </w:tc>
        <w:tc>
          <w:tcPr>
            <w:tcW w:w="560" w:type="dxa"/>
            <w:vAlign w:val="bottom"/>
          </w:tcPr>
          <w:p>
            <w:pPr>
              <w:jc w:val="center"/>
              <w:spacing w:after="0"/>
              <w:rPr>
                <w:sz w:val="20"/>
                <w:szCs w:val="20"/>
                <w:color w:val="auto"/>
              </w:rPr>
            </w:pPr>
            <w:r>
              <w:rPr>
                <w:rFonts w:ascii="Arial" w:cs="Arial" w:eastAsia="Arial" w:hAnsi="Arial"/>
                <w:sz w:val="14"/>
                <w:szCs w:val="14"/>
                <w:color w:val="auto"/>
              </w:rPr>
              <w:t>12</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Personal Attributes and Skills of the Director Nominees</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13</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Biographies of the Director Nominees</w:t>
            </w:r>
          </w:p>
        </w:tc>
        <w:tc>
          <w:tcPr>
            <w:tcW w:w="560" w:type="dxa"/>
            <w:vAlign w:val="bottom"/>
          </w:tcPr>
          <w:p>
            <w:pPr>
              <w:jc w:val="center"/>
              <w:spacing w:after="0"/>
              <w:rPr>
                <w:sz w:val="20"/>
                <w:szCs w:val="20"/>
                <w:color w:val="auto"/>
              </w:rPr>
            </w:pPr>
            <w:r>
              <w:rPr>
                <w:rFonts w:ascii="Arial" w:cs="Arial" w:eastAsia="Arial" w:hAnsi="Arial"/>
                <w:sz w:val="14"/>
                <w:szCs w:val="14"/>
                <w:color w:val="auto"/>
              </w:rPr>
              <w:t>14</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2025 Director Compensation</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19</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Corporate Governance and Board Matters</w:t>
            </w:r>
          </w:p>
        </w:tc>
        <w:tc>
          <w:tcPr>
            <w:tcW w:w="560" w:type="dxa"/>
            <w:vAlign w:val="bottom"/>
          </w:tcPr>
          <w:p>
            <w:pPr>
              <w:jc w:val="center"/>
              <w:spacing w:after="0"/>
              <w:rPr>
                <w:sz w:val="20"/>
                <w:szCs w:val="20"/>
                <w:color w:val="auto"/>
              </w:rPr>
            </w:pPr>
            <w:r>
              <w:rPr>
                <w:rFonts w:ascii="Arial" w:cs="Arial" w:eastAsia="Arial" w:hAnsi="Arial"/>
                <w:sz w:val="14"/>
                <w:szCs w:val="14"/>
                <w:color w:val="auto"/>
              </w:rPr>
              <w:t>21</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Board Leadership</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21</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Board Committees</w:t>
            </w:r>
          </w:p>
        </w:tc>
        <w:tc>
          <w:tcPr>
            <w:tcW w:w="560" w:type="dxa"/>
            <w:vAlign w:val="bottom"/>
          </w:tcPr>
          <w:p>
            <w:pPr>
              <w:jc w:val="center"/>
              <w:spacing w:after="0"/>
              <w:rPr>
                <w:sz w:val="20"/>
                <w:szCs w:val="20"/>
                <w:color w:val="auto"/>
              </w:rPr>
            </w:pPr>
            <w:r>
              <w:rPr>
                <w:rFonts w:ascii="Arial" w:cs="Arial" w:eastAsia="Arial" w:hAnsi="Arial"/>
                <w:sz w:val="14"/>
                <w:szCs w:val="14"/>
                <w:color w:val="auto"/>
              </w:rPr>
              <w:t>22</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Audit Committee Report</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23</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Board Oversight of Risk</w:t>
            </w:r>
          </w:p>
        </w:tc>
        <w:tc>
          <w:tcPr>
            <w:tcW w:w="560" w:type="dxa"/>
            <w:vAlign w:val="bottom"/>
          </w:tcPr>
          <w:p>
            <w:pPr>
              <w:jc w:val="center"/>
              <w:spacing w:after="0"/>
              <w:rPr>
                <w:sz w:val="20"/>
                <w:szCs w:val="20"/>
                <w:color w:val="auto"/>
              </w:rPr>
            </w:pPr>
            <w:r>
              <w:rPr>
                <w:rFonts w:ascii="Arial" w:cs="Arial" w:eastAsia="Arial" w:hAnsi="Arial"/>
                <w:sz w:val="14"/>
                <w:szCs w:val="14"/>
                <w:color w:val="auto"/>
              </w:rPr>
              <w:t>25</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Board Oversight of Our Values and People</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27</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Corporate Responsibility</w:t>
            </w:r>
          </w:p>
        </w:tc>
        <w:tc>
          <w:tcPr>
            <w:tcW w:w="560" w:type="dxa"/>
            <w:vAlign w:val="bottom"/>
          </w:tcPr>
          <w:p>
            <w:pPr>
              <w:jc w:val="center"/>
              <w:spacing w:after="0"/>
              <w:rPr>
                <w:sz w:val="20"/>
                <w:szCs w:val="20"/>
                <w:color w:val="auto"/>
              </w:rPr>
            </w:pPr>
            <w:r>
              <w:rPr>
                <w:rFonts w:ascii="Arial" w:cs="Arial" w:eastAsia="Arial" w:hAnsi="Arial"/>
                <w:sz w:val="14"/>
                <w:szCs w:val="14"/>
                <w:color w:val="auto"/>
              </w:rPr>
              <w:t>27</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440"/>
              <w:spacing w:after="0"/>
              <w:rPr>
                <w:sz w:val="20"/>
                <w:szCs w:val="20"/>
                <w:color w:val="auto"/>
              </w:rPr>
            </w:pPr>
            <w:r>
              <w:rPr>
                <w:rFonts w:ascii="Arial" w:cs="Arial" w:eastAsia="Arial" w:hAnsi="Arial"/>
                <w:sz w:val="14"/>
                <w:szCs w:val="14"/>
                <w:color w:val="auto"/>
              </w:rPr>
              <w:t>Sustainability Report</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27</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440"/>
              <w:spacing w:after="0"/>
              <w:rPr>
                <w:sz w:val="20"/>
                <w:szCs w:val="20"/>
                <w:color w:val="auto"/>
              </w:rPr>
            </w:pPr>
            <w:r>
              <w:rPr>
                <w:rFonts w:ascii="Arial" w:cs="Arial" w:eastAsia="Arial" w:hAnsi="Arial"/>
                <w:sz w:val="14"/>
                <w:szCs w:val="14"/>
                <w:color w:val="auto"/>
              </w:rPr>
              <w:t>Environmental Impact</w:t>
            </w:r>
          </w:p>
        </w:tc>
        <w:tc>
          <w:tcPr>
            <w:tcW w:w="560" w:type="dxa"/>
            <w:vAlign w:val="bottom"/>
          </w:tcPr>
          <w:p>
            <w:pPr>
              <w:jc w:val="center"/>
              <w:spacing w:after="0"/>
              <w:rPr>
                <w:sz w:val="20"/>
                <w:szCs w:val="20"/>
                <w:color w:val="auto"/>
              </w:rPr>
            </w:pPr>
            <w:r>
              <w:rPr>
                <w:rFonts w:ascii="Arial" w:cs="Arial" w:eastAsia="Arial" w:hAnsi="Arial"/>
                <w:sz w:val="14"/>
                <w:szCs w:val="14"/>
                <w:color w:val="auto"/>
              </w:rPr>
              <w:t>27</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440"/>
              <w:spacing w:after="0"/>
              <w:rPr>
                <w:sz w:val="20"/>
                <w:szCs w:val="20"/>
                <w:color w:val="auto"/>
              </w:rPr>
            </w:pPr>
            <w:r>
              <w:rPr>
                <w:rFonts w:ascii="Arial" w:cs="Arial" w:eastAsia="Arial" w:hAnsi="Arial"/>
                <w:sz w:val="14"/>
                <w:szCs w:val="14"/>
                <w:color w:val="auto"/>
              </w:rPr>
              <w:t>Social Responsibility: Communities and Human Capital</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27</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440"/>
              <w:spacing w:after="0"/>
              <w:rPr>
                <w:sz w:val="20"/>
                <w:szCs w:val="20"/>
                <w:color w:val="auto"/>
              </w:rPr>
            </w:pPr>
            <w:r>
              <w:rPr>
                <w:rFonts w:ascii="Arial" w:cs="Arial" w:eastAsia="Arial" w:hAnsi="Arial"/>
                <w:sz w:val="14"/>
                <w:szCs w:val="14"/>
                <w:color w:val="auto"/>
              </w:rPr>
              <w:t>Governance</w:t>
            </w:r>
          </w:p>
        </w:tc>
        <w:tc>
          <w:tcPr>
            <w:tcW w:w="560" w:type="dxa"/>
            <w:vAlign w:val="bottom"/>
          </w:tcPr>
          <w:p>
            <w:pPr>
              <w:jc w:val="center"/>
              <w:spacing w:after="0"/>
              <w:rPr>
                <w:sz w:val="20"/>
                <w:szCs w:val="20"/>
                <w:color w:val="auto"/>
              </w:rPr>
            </w:pPr>
            <w:r>
              <w:rPr>
                <w:rFonts w:ascii="Arial" w:cs="Arial" w:eastAsia="Arial" w:hAnsi="Arial"/>
                <w:sz w:val="14"/>
                <w:szCs w:val="14"/>
                <w:color w:val="auto"/>
              </w:rPr>
              <w:t>28</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600"/>
              <w:spacing w:after="0"/>
              <w:rPr>
                <w:sz w:val="20"/>
                <w:szCs w:val="20"/>
                <w:color w:val="auto"/>
              </w:rPr>
            </w:pPr>
            <w:r>
              <w:rPr>
                <w:rFonts w:ascii="Arial" w:cs="Arial" w:eastAsia="Arial" w:hAnsi="Arial"/>
                <w:sz w:val="14"/>
                <w:szCs w:val="14"/>
                <w:color w:val="auto"/>
              </w:rPr>
              <w:t>Director Independence</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29</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440"/>
              <w:spacing w:after="0"/>
              <w:rPr>
                <w:sz w:val="20"/>
                <w:szCs w:val="20"/>
                <w:color w:val="auto"/>
              </w:rPr>
            </w:pPr>
            <w:r>
              <w:rPr>
                <w:rFonts w:ascii="Arial" w:cs="Arial" w:eastAsia="Arial" w:hAnsi="Arial"/>
                <w:sz w:val="14"/>
                <w:szCs w:val="14"/>
                <w:color w:val="auto"/>
              </w:rPr>
              <w:t>Certain Relationships and Related Party Transactions</w:t>
            </w:r>
          </w:p>
        </w:tc>
        <w:tc>
          <w:tcPr>
            <w:tcW w:w="560" w:type="dxa"/>
            <w:vAlign w:val="bottom"/>
          </w:tcPr>
          <w:p>
            <w:pPr>
              <w:jc w:val="center"/>
              <w:spacing w:after="0"/>
              <w:rPr>
                <w:sz w:val="20"/>
                <w:szCs w:val="20"/>
                <w:color w:val="auto"/>
              </w:rPr>
            </w:pPr>
            <w:r>
              <w:rPr>
                <w:rFonts w:ascii="Arial" w:cs="Arial" w:eastAsia="Arial" w:hAnsi="Arial"/>
                <w:sz w:val="14"/>
                <w:szCs w:val="14"/>
                <w:color w:val="auto"/>
              </w:rPr>
              <w:t>29</w:t>
            </w:r>
          </w:p>
        </w:tc>
      </w:tr>
      <w:tr>
        <w:trPr>
          <w:trHeight w:val="76"/>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Stockholder Engagement</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30</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Information Online</w:t>
            </w:r>
          </w:p>
        </w:tc>
        <w:tc>
          <w:tcPr>
            <w:tcW w:w="560" w:type="dxa"/>
            <w:vAlign w:val="bottom"/>
          </w:tcPr>
          <w:p>
            <w:pPr>
              <w:jc w:val="center"/>
              <w:spacing w:after="0"/>
              <w:rPr>
                <w:sz w:val="20"/>
                <w:szCs w:val="20"/>
                <w:color w:val="auto"/>
              </w:rPr>
            </w:pPr>
            <w:r>
              <w:rPr>
                <w:rFonts w:ascii="Arial" w:cs="Arial" w:eastAsia="Arial" w:hAnsi="Arial"/>
                <w:sz w:val="14"/>
                <w:szCs w:val="14"/>
                <w:color w:val="auto"/>
              </w:rPr>
              <w:t>30</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Board Communication</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31</w:t>
            </w:r>
          </w:p>
        </w:tc>
      </w:tr>
      <w:tr>
        <w:trPr>
          <w:trHeight w:val="76"/>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100"/>
              <w:spacing w:after="0"/>
              <w:rPr>
                <w:sz w:val="20"/>
                <w:szCs w:val="20"/>
                <w:color w:val="auto"/>
              </w:rPr>
            </w:pPr>
            <w:r>
              <w:rPr>
                <w:rFonts w:ascii="Arial" w:cs="Arial" w:eastAsia="Arial" w:hAnsi="Arial"/>
                <w:sz w:val="14"/>
                <w:szCs w:val="14"/>
                <w:color w:val="auto"/>
              </w:rPr>
              <w:t>Information About Our Executive Officers</w:t>
            </w:r>
          </w:p>
        </w:tc>
        <w:tc>
          <w:tcPr>
            <w:tcW w:w="560" w:type="dxa"/>
            <w:vAlign w:val="bottom"/>
          </w:tcPr>
          <w:p>
            <w:pPr>
              <w:jc w:val="center"/>
              <w:spacing w:after="0"/>
              <w:rPr>
                <w:sz w:val="20"/>
                <w:szCs w:val="20"/>
                <w:color w:val="auto"/>
              </w:rPr>
            </w:pPr>
            <w:r>
              <w:rPr>
                <w:rFonts w:ascii="Arial" w:cs="Arial" w:eastAsia="Arial" w:hAnsi="Arial"/>
                <w:sz w:val="14"/>
                <w:szCs w:val="14"/>
                <w:color w:val="auto"/>
              </w:rPr>
              <w:t>31</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100"/>
              <w:spacing w:after="0"/>
              <w:rPr>
                <w:sz w:val="20"/>
                <w:szCs w:val="20"/>
                <w:color w:val="auto"/>
              </w:rPr>
            </w:pPr>
            <w:r>
              <w:rPr>
                <w:rFonts w:ascii="Arial" w:cs="Arial" w:eastAsia="Arial" w:hAnsi="Arial"/>
                <w:sz w:val="14"/>
                <w:szCs w:val="14"/>
                <w:color w:val="auto"/>
              </w:rPr>
              <w:t>Beneficial Ownership of Common Stock</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34</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Delinquent Section 16(a) Reports</w:t>
            </w:r>
          </w:p>
        </w:tc>
        <w:tc>
          <w:tcPr>
            <w:tcW w:w="560" w:type="dxa"/>
            <w:vAlign w:val="bottom"/>
          </w:tcPr>
          <w:p>
            <w:pPr>
              <w:jc w:val="center"/>
              <w:spacing w:after="0"/>
              <w:rPr>
                <w:sz w:val="20"/>
                <w:szCs w:val="20"/>
                <w:color w:val="auto"/>
              </w:rPr>
            </w:pPr>
            <w:r>
              <w:rPr>
                <w:rFonts w:ascii="Arial" w:cs="Arial" w:eastAsia="Arial" w:hAnsi="Arial"/>
                <w:sz w:val="14"/>
                <w:szCs w:val="14"/>
                <w:color w:val="auto"/>
              </w:rPr>
              <w:t>35</w:t>
            </w:r>
          </w:p>
        </w:tc>
      </w:tr>
      <w:tr>
        <w:trPr>
          <w:trHeight w:val="75"/>
        </w:trPr>
        <w:tc>
          <w:tcPr>
            <w:tcW w:w="4860" w:type="dxa"/>
            <w:vAlign w:val="bottom"/>
          </w:tcPr>
          <w:p>
            <w:pPr>
              <w:spacing w:after="0"/>
              <w:rPr>
                <w:sz w:val="6"/>
                <w:szCs w:val="6"/>
                <w:color w:val="auto"/>
              </w:rPr>
            </w:pPr>
          </w:p>
        </w:tc>
        <w:tc>
          <w:tcPr>
            <w:tcW w:w="560" w:type="dxa"/>
            <w:vAlign w:val="bottom"/>
          </w:tcPr>
          <w:p>
            <w:pPr>
              <w:spacing w:after="0"/>
              <w:rPr>
                <w:sz w:val="6"/>
                <w:szCs w:val="6"/>
                <w:color w:val="auto"/>
              </w:rPr>
            </w:pPr>
          </w:p>
        </w:tc>
      </w:tr>
      <w:tr>
        <w:trPr>
          <w:trHeight w:val="208"/>
        </w:trPr>
        <w:tc>
          <w:tcPr>
            <w:tcW w:w="4860" w:type="dxa"/>
            <w:vAlign w:val="bottom"/>
            <w:shd w:val="clear" w:color="auto" w:fill="F5F5F5"/>
          </w:tcPr>
          <w:p>
            <w:pPr>
              <w:ind w:left="260"/>
              <w:spacing w:after="0"/>
              <w:rPr>
                <w:sz w:val="20"/>
                <w:szCs w:val="20"/>
                <w:color w:val="auto"/>
              </w:rPr>
            </w:pPr>
            <w:r>
              <w:rPr>
                <w:rFonts w:ascii="Arial" w:cs="Arial" w:eastAsia="Arial" w:hAnsi="Arial"/>
                <w:sz w:val="14"/>
                <w:szCs w:val="14"/>
                <w:color w:val="auto"/>
              </w:rPr>
              <w:t>Compensation Committee Interlocks and Insider Participation</w:t>
            </w:r>
          </w:p>
        </w:tc>
        <w:tc>
          <w:tcPr>
            <w:tcW w:w="5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35</w:t>
            </w:r>
          </w:p>
        </w:tc>
      </w:tr>
      <w:tr>
        <w:trPr>
          <w:trHeight w:val="75"/>
        </w:trPr>
        <w:tc>
          <w:tcPr>
            <w:tcW w:w="4860" w:type="dxa"/>
            <w:vAlign w:val="bottom"/>
            <w:shd w:val="clear" w:color="auto" w:fill="F5F5F5"/>
          </w:tcPr>
          <w:p>
            <w:pPr>
              <w:spacing w:after="0"/>
              <w:rPr>
                <w:sz w:val="6"/>
                <w:szCs w:val="6"/>
                <w:color w:val="auto"/>
              </w:rPr>
            </w:pPr>
          </w:p>
        </w:tc>
        <w:tc>
          <w:tcPr>
            <w:tcW w:w="560" w:type="dxa"/>
            <w:vAlign w:val="bottom"/>
            <w:shd w:val="clear" w:color="auto" w:fill="F5F5F5"/>
          </w:tcPr>
          <w:p>
            <w:pPr>
              <w:spacing w:after="0"/>
              <w:rPr>
                <w:sz w:val="6"/>
                <w:szCs w:val="6"/>
                <w:color w:val="auto"/>
              </w:rPr>
            </w:pPr>
          </w:p>
        </w:tc>
      </w:tr>
      <w:tr>
        <w:trPr>
          <w:trHeight w:val="208"/>
        </w:trPr>
        <w:tc>
          <w:tcPr>
            <w:tcW w:w="4860" w:type="dxa"/>
            <w:vAlign w:val="bottom"/>
          </w:tcPr>
          <w:p>
            <w:pPr>
              <w:ind w:left="260"/>
              <w:spacing w:after="0"/>
              <w:rPr>
                <w:sz w:val="20"/>
                <w:szCs w:val="20"/>
                <w:color w:val="auto"/>
              </w:rPr>
            </w:pPr>
            <w:r>
              <w:rPr>
                <w:rFonts w:ascii="Arial" w:cs="Arial" w:eastAsia="Arial" w:hAnsi="Arial"/>
                <w:sz w:val="14"/>
                <w:szCs w:val="14"/>
                <w:color w:val="auto"/>
              </w:rPr>
              <w:t>Equity Compensation Plans Information</w:t>
            </w:r>
          </w:p>
        </w:tc>
        <w:tc>
          <w:tcPr>
            <w:tcW w:w="560" w:type="dxa"/>
            <w:vAlign w:val="bottom"/>
          </w:tcPr>
          <w:p>
            <w:pPr>
              <w:jc w:val="center"/>
              <w:spacing w:after="0"/>
              <w:rPr>
                <w:sz w:val="20"/>
                <w:szCs w:val="20"/>
                <w:color w:val="auto"/>
              </w:rPr>
            </w:pPr>
            <w:r>
              <w:rPr>
                <w:rFonts w:ascii="Arial" w:cs="Arial" w:eastAsia="Arial" w:hAnsi="Arial"/>
                <w:sz w:val="14"/>
                <w:szCs w:val="14"/>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-6697980</wp:posOffset>
            </wp:positionV>
            <wp:extent cx="3437255" cy="6758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37255" cy="6758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40" w:type="dxa"/>
            <w:vAlign w:val="bottom"/>
            <w:shd w:val="clear" w:color="auto" w:fill="082940"/>
          </w:tcPr>
          <w:p>
            <w:pPr>
              <w:ind w:left="100"/>
              <w:spacing w:after="0"/>
              <w:rPr>
                <w:sz w:val="20"/>
                <w:szCs w:val="20"/>
                <w:color w:val="auto"/>
              </w:rPr>
            </w:pPr>
            <w:r>
              <w:rPr>
                <w:rFonts w:ascii="Arial" w:cs="Arial" w:eastAsia="Arial" w:hAnsi="Arial"/>
                <w:sz w:val="14"/>
                <w:szCs w:val="14"/>
                <w:color w:val="FFFFFF"/>
              </w:rPr>
              <w:t>COMPENSATION OF NAMED EXECUTIVE OFFICERS</w:t>
            </w:r>
          </w:p>
        </w:tc>
        <w:tc>
          <w:tcPr>
            <w:tcW w:w="580" w:type="dxa"/>
            <w:vAlign w:val="bottom"/>
            <w:shd w:val="clear" w:color="auto" w:fill="082940"/>
          </w:tcPr>
          <w:p>
            <w:pPr>
              <w:jc w:val="center"/>
              <w:spacing w:after="0"/>
              <w:rPr>
                <w:sz w:val="20"/>
                <w:szCs w:val="20"/>
                <w:color w:val="auto"/>
              </w:rPr>
            </w:pPr>
            <w:r>
              <w:rPr>
                <w:rFonts w:ascii="Arial" w:cs="Arial" w:eastAsia="Arial" w:hAnsi="Arial"/>
                <w:sz w:val="14"/>
                <w:szCs w:val="14"/>
                <w:color w:val="FFFFFF"/>
              </w:rPr>
              <w:t>36</w:t>
            </w: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Compensation Discussion and Analysis</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Executive Summary and Overview of Performance</w:t>
            </w:r>
          </w:p>
        </w:tc>
        <w:tc>
          <w:tcPr>
            <w:tcW w:w="580" w:type="dxa"/>
            <w:vAlign w:val="bottom"/>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260"/>
              <w:spacing w:after="0"/>
              <w:rPr>
                <w:sz w:val="20"/>
                <w:szCs w:val="20"/>
                <w:color w:val="auto"/>
              </w:rPr>
            </w:pPr>
            <w:r>
              <w:rPr>
                <w:rFonts w:ascii="Arial" w:cs="Arial" w:eastAsia="Arial" w:hAnsi="Arial"/>
                <w:sz w:val="14"/>
                <w:szCs w:val="14"/>
                <w:color w:val="auto"/>
              </w:rPr>
              <w:t>Executive Compensation Philosophy</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260"/>
              <w:spacing w:after="0"/>
              <w:rPr>
                <w:sz w:val="20"/>
                <w:szCs w:val="20"/>
                <w:color w:val="auto"/>
              </w:rPr>
            </w:pPr>
            <w:r>
              <w:rPr>
                <w:rFonts w:ascii="Arial" w:cs="Arial" w:eastAsia="Arial" w:hAnsi="Arial"/>
                <w:sz w:val="14"/>
                <w:szCs w:val="14"/>
                <w:color w:val="auto"/>
              </w:rPr>
              <w:t>Stockholder Say-on-Pay Votes</w:t>
            </w:r>
          </w:p>
        </w:tc>
        <w:tc>
          <w:tcPr>
            <w:tcW w:w="580" w:type="dxa"/>
            <w:vAlign w:val="bottom"/>
          </w:tcPr>
          <w:p>
            <w:pPr>
              <w:jc w:val="center"/>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Our Process for Executive Compensation</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260"/>
              <w:spacing w:after="0"/>
              <w:rPr>
                <w:sz w:val="20"/>
                <w:szCs w:val="20"/>
                <w:color w:val="auto"/>
              </w:rPr>
            </w:pPr>
            <w:r>
              <w:rPr>
                <w:rFonts w:ascii="Arial" w:cs="Arial" w:eastAsia="Arial" w:hAnsi="Arial"/>
                <w:sz w:val="14"/>
                <w:szCs w:val="14"/>
                <w:color w:val="auto"/>
              </w:rPr>
              <w:t>Market Data</w:t>
            </w:r>
          </w:p>
        </w:tc>
        <w:tc>
          <w:tcPr>
            <w:tcW w:w="580" w:type="dxa"/>
            <w:vAlign w:val="bottom"/>
          </w:tcPr>
          <w:p>
            <w:pPr>
              <w:jc w:val="center"/>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420"/>
              <w:spacing w:after="0"/>
              <w:rPr>
                <w:sz w:val="20"/>
                <w:szCs w:val="20"/>
                <w:color w:val="auto"/>
              </w:rPr>
            </w:pPr>
            <w:r>
              <w:rPr>
                <w:rFonts w:ascii="Arial" w:cs="Arial" w:eastAsia="Arial" w:hAnsi="Arial"/>
                <w:sz w:val="14"/>
                <w:szCs w:val="14"/>
                <w:color w:val="auto"/>
              </w:rPr>
              <w:t>Our Peer Group</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Elements of Executive Compensation Program (Overview)</w:t>
            </w:r>
          </w:p>
        </w:tc>
        <w:tc>
          <w:tcPr>
            <w:tcW w:w="580" w:type="dxa"/>
            <w:vAlign w:val="bottom"/>
          </w:tcPr>
          <w:p>
            <w:pPr>
              <w:jc w:val="center"/>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F5F5F5"/>
          </w:tcPr>
          <w:p>
            <w:pPr>
              <w:ind w:left="500"/>
              <w:spacing w:after="0"/>
              <w:rPr>
                <w:sz w:val="20"/>
                <w:szCs w:val="20"/>
                <w:color w:val="auto"/>
              </w:rPr>
            </w:pPr>
            <w:r>
              <w:rPr>
                <w:rFonts w:ascii="Arial" w:cs="Arial" w:eastAsia="Arial" w:hAnsi="Arial"/>
                <w:sz w:val="14"/>
                <w:szCs w:val="14"/>
                <w:color w:val="auto"/>
              </w:rPr>
              <w:t>Compensation of our CEO and Executive Officers Are Weighed</w:t>
            </w:r>
          </w:p>
        </w:tc>
        <w:tc>
          <w:tcPr>
            <w:tcW w:w="580" w:type="dxa"/>
            <w:vAlign w:val="bottom"/>
            <w:vMerge w:val="restart"/>
            <w:shd w:val="clear" w:color="auto" w:fill="F6F5F7"/>
          </w:tcPr>
          <w:p>
            <w:pPr>
              <w:jc w:val="center"/>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09"/>
        </w:trPr>
        <w:tc>
          <w:tcPr>
            <w:tcW w:w="4840" w:type="dxa"/>
            <w:vAlign w:val="bottom"/>
            <w:vMerge w:val="restart"/>
            <w:shd w:val="clear" w:color="auto" w:fill="F5F5F5"/>
          </w:tcPr>
          <w:p>
            <w:pPr>
              <w:ind w:left="500"/>
              <w:spacing w:after="0"/>
              <w:rPr>
                <w:sz w:val="20"/>
                <w:szCs w:val="20"/>
                <w:color w:val="auto"/>
              </w:rPr>
            </w:pPr>
            <w:r>
              <w:rPr>
                <w:rFonts w:ascii="Arial" w:cs="Arial" w:eastAsia="Arial" w:hAnsi="Arial"/>
                <w:sz w:val="14"/>
                <w:szCs w:val="14"/>
                <w:color w:val="auto"/>
              </w:rPr>
              <w:t>Towards Variable Compensation</w:t>
            </w:r>
          </w:p>
        </w:tc>
        <w:tc>
          <w:tcPr>
            <w:tcW w:w="580" w:type="dxa"/>
            <w:vAlign w:val="bottom"/>
            <w:vMerge w:val="continue"/>
            <w:shd w:val="clear" w:color="auto" w:fill="F6F5F7"/>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840" w:type="dxa"/>
            <w:vAlign w:val="bottom"/>
            <w:vMerge w:val="continue"/>
            <w:shd w:val="clear" w:color="auto" w:fill="F5F5F5"/>
          </w:tcPr>
          <w:p>
            <w:pPr>
              <w:spacing w:after="0"/>
              <w:rPr>
                <w:sz w:val="7"/>
                <w:szCs w:val="7"/>
                <w:color w:val="auto"/>
              </w:rPr>
            </w:pPr>
          </w:p>
        </w:tc>
        <w:tc>
          <w:tcPr>
            <w:tcW w:w="580" w:type="dxa"/>
            <w:vAlign w:val="bottom"/>
            <w:shd w:val="clear" w:color="auto" w:fill="F6F5F7"/>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40" w:type="dxa"/>
            <w:vAlign w:val="bottom"/>
            <w:shd w:val="clear" w:color="auto" w:fill="F5F5F5"/>
          </w:tcPr>
          <w:p>
            <w:pPr>
              <w:spacing w:after="0"/>
              <w:rPr>
                <w:sz w:val="7"/>
                <w:szCs w:val="7"/>
                <w:color w:val="auto"/>
              </w:rPr>
            </w:pPr>
          </w:p>
        </w:tc>
        <w:tc>
          <w:tcPr>
            <w:tcW w:w="580" w:type="dxa"/>
            <w:vAlign w:val="bottom"/>
            <w:shd w:val="clear" w:color="auto" w:fill="F6F5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Compensation Program Details</w:t>
            </w:r>
          </w:p>
        </w:tc>
        <w:tc>
          <w:tcPr>
            <w:tcW w:w="580" w:type="dxa"/>
            <w:vAlign w:val="bottom"/>
          </w:tcPr>
          <w:p>
            <w:pPr>
              <w:jc w:val="center"/>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Other Important Governance and Executive Compensation Policies</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Compensation Committee Report</w:t>
            </w:r>
          </w:p>
        </w:tc>
        <w:tc>
          <w:tcPr>
            <w:tcW w:w="580" w:type="dxa"/>
            <w:vAlign w:val="bottom"/>
          </w:tcPr>
          <w:p>
            <w:pPr>
              <w:jc w:val="center"/>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Compensation and Related Tables</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260"/>
              <w:spacing w:after="0"/>
              <w:rPr>
                <w:sz w:val="20"/>
                <w:szCs w:val="20"/>
                <w:color w:val="auto"/>
              </w:rPr>
            </w:pPr>
            <w:r>
              <w:rPr>
                <w:rFonts w:ascii="Arial" w:cs="Arial" w:eastAsia="Arial" w:hAnsi="Arial"/>
                <w:sz w:val="14"/>
                <w:szCs w:val="14"/>
                <w:color w:val="auto"/>
              </w:rPr>
              <w:t>2025 Summary Compensation Table</w:t>
            </w:r>
          </w:p>
        </w:tc>
        <w:tc>
          <w:tcPr>
            <w:tcW w:w="580" w:type="dxa"/>
            <w:vAlign w:val="bottom"/>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260"/>
              <w:spacing w:after="0"/>
              <w:rPr>
                <w:sz w:val="20"/>
                <w:szCs w:val="20"/>
                <w:color w:val="auto"/>
              </w:rPr>
            </w:pPr>
            <w:r>
              <w:rPr>
                <w:rFonts w:ascii="Arial" w:cs="Arial" w:eastAsia="Arial" w:hAnsi="Arial"/>
                <w:sz w:val="14"/>
                <w:szCs w:val="14"/>
                <w:color w:val="auto"/>
              </w:rPr>
              <w:t>Employment Arrangements With Our NEOs</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75"/>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260"/>
              <w:spacing w:after="0"/>
              <w:rPr>
                <w:sz w:val="20"/>
                <w:szCs w:val="20"/>
                <w:color w:val="auto"/>
              </w:rPr>
            </w:pPr>
            <w:r>
              <w:rPr>
                <w:rFonts w:ascii="Arial" w:cs="Arial" w:eastAsia="Arial" w:hAnsi="Arial"/>
                <w:sz w:val="14"/>
                <w:szCs w:val="14"/>
                <w:color w:val="auto"/>
              </w:rPr>
              <w:t>Grants of Plan-Based Awards For 2025</w:t>
            </w:r>
          </w:p>
        </w:tc>
        <w:tc>
          <w:tcPr>
            <w:tcW w:w="580" w:type="dxa"/>
            <w:vAlign w:val="bottom"/>
          </w:tcPr>
          <w:p>
            <w:pPr>
              <w:jc w:val="center"/>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260"/>
              <w:spacing w:after="0"/>
              <w:rPr>
                <w:sz w:val="20"/>
                <w:szCs w:val="20"/>
                <w:color w:val="auto"/>
              </w:rPr>
            </w:pPr>
            <w:r>
              <w:rPr>
                <w:rFonts w:ascii="Arial" w:cs="Arial" w:eastAsia="Arial" w:hAnsi="Arial"/>
                <w:sz w:val="14"/>
                <w:szCs w:val="14"/>
                <w:color w:val="auto"/>
              </w:rPr>
              <w:t>Outstanding Equity Awards at 2025 Fiscal Year-End</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76"/>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260"/>
              <w:spacing w:after="0"/>
              <w:rPr>
                <w:sz w:val="20"/>
                <w:szCs w:val="20"/>
                <w:color w:val="auto"/>
              </w:rPr>
            </w:pPr>
            <w:r>
              <w:rPr>
                <w:rFonts w:ascii="Arial" w:cs="Arial" w:eastAsia="Arial" w:hAnsi="Arial"/>
                <w:sz w:val="14"/>
                <w:szCs w:val="14"/>
                <w:color w:val="auto"/>
              </w:rPr>
              <w:t>Option Exercises and Stock Vested during Fiscal Year 2025</w:t>
            </w:r>
          </w:p>
        </w:tc>
        <w:tc>
          <w:tcPr>
            <w:tcW w:w="580" w:type="dxa"/>
            <w:vAlign w:val="bottom"/>
          </w:tcPr>
          <w:p>
            <w:pPr>
              <w:jc w:val="center"/>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F5F5F5"/>
          </w:tcPr>
          <w:p>
            <w:pPr>
              <w:ind w:left="260"/>
              <w:spacing w:after="0"/>
              <w:rPr>
                <w:sz w:val="20"/>
                <w:szCs w:val="20"/>
                <w:color w:val="auto"/>
              </w:rPr>
            </w:pPr>
            <w:r>
              <w:rPr>
                <w:rFonts w:ascii="Arial" w:cs="Arial" w:eastAsia="Arial" w:hAnsi="Arial"/>
                <w:sz w:val="14"/>
                <w:szCs w:val="14"/>
                <w:color w:val="auto"/>
              </w:rPr>
              <w:t>Potential Payments Upon Termination of Employment or Change in</w:t>
            </w:r>
          </w:p>
        </w:tc>
        <w:tc>
          <w:tcPr>
            <w:tcW w:w="580" w:type="dxa"/>
            <w:vAlign w:val="bottom"/>
            <w:vMerge w:val="restart"/>
            <w:shd w:val="clear" w:color="auto" w:fill="F6F5F7"/>
          </w:tcPr>
          <w:p>
            <w:pPr>
              <w:jc w:val="center"/>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9"/>
        </w:trPr>
        <w:tc>
          <w:tcPr>
            <w:tcW w:w="4840" w:type="dxa"/>
            <w:vAlign w:val="bottom"/>
            <w:vMerge w:val="restart"/>
            <w:shd w:val="clear" w:color="auto" w:fill="F5F5F5"/>
          </w:tcPr>
          <w:p>
            <w:pPr>
              <w:ind w:left="260"/>
              <w:spacing w:after="0"/>
              <w:rPr>
                <w:sz w:val="20"/>
                <w:szCs w:val="20"/>
                <w:color w:val="auto"/>
              </w:rPr>
            </w:pPr>
            <w:r>
              <w:rPr>
                <w:rFonts w:ascii="Arial" w:cs="Arial" w:eastAsia="Arial" w:hAnsi="Arial"/>
                <w:sz w:val="14"/>
                <w:szCs w:val="14"/>
                <w:color w:val="auto"/>
              </w:rPr>
              <w:t>Control</w:t>
            </w:r>
          </w:p>
        </w:tc>
        <w:tc>
          <w:tcPr>
            <w:tcW w:w="580" w:type="dxa"/>
            <w:vAlign w:val="bottom"/>
            <w:vMerge w:val="continue"/>
            <w:shd w:val="clear" w:color="auto" w:fill="F6F5F7"/>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840" w:type="dxa"/>
            <w:vAlign w:val="bottom"/>
            <w:vMerge w:val="continue"/>
            <w:shd w:val="clear" w:color="auto" w:fill="F5F5F5"/>
          </w:tcPr>
          <w:p>
            <w:pPr>
              <w:spacing w:after="0"/>
              <w:rPr>
                <w:sz w:val="7"/>
                <w:szCs w:val="7"/>
                <w:color w:val="auto"/>
              </w:rPr>
            </w:pPr>
          </w:p>
        </w:tc>
        <w:tc>
          <w:tcPr>
            <w:tcW w:w="580" w:type="dxa"/>
            <w:vAlign w:val="bottom"/>
            <w:shd w:val="clear" w:color="auto" w:fill="F6F5F7"/>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40" w:type="dxa"/>
            <w:vAlign w:val="bottom"/>
            <w:shd w:val="clear" w:color="auto" w:fill="F5F5F5"/>
          </w:tcPr>
          <w:p>
            <w:pPr>
              <w:spacing w:after="0"/>
              <w:rPr>
                <w:sz w:val="7"/>
                <w:szCs w:val="7"/>
                <w:color w:val="auto"/>
              </w:rPr>
            </w:pPr>
          </w:p>
        </w:tc>
        <w:tc>
          <w:tcPr>
            <w:tcW w:w="580" w:type="dxa"/>
            <w:vAlign w:val="bottom"/>
            <w:shd w:val="clear" w:color="auto" w:fill="F6F5F7"/>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CEO Pay Ratio</w:t>
            </w:r>
          </w:p>
        </w:tc>
        <w:tc>
          <w:tcPr>
            <w:tcW w:w="580" w:type="dxa"/>
            <w:vAlign w:val="bottom"/>
          </w:tcPr>
          <w:p>
            <w:pPr>
              <w:jc w:val="center"/>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260"/>
              <w:spacing w:after="0"/>
              <w:rPr>
                <w:sz w:val="20"/>
                <w:szCs w:val="20"/>
                <w:color w:val="auto"/>
              </w:rPr>
            </w:pPr>
            <w:r>
              <w:rPr>
                <w:rFonts w:ascii="Arial" w:cs="Arial" w:eastAsia="Arial" w:hAnsi="Arial"/>
                <w:sz w:val="14"/>
                <w:szCs w:val="14"/>
                <w:color w:val="auto"/>
              </w:rPr>
              <w:t>Pay Versus Performance Table</w:t>
            </w:r>
          </w:p>
        </w:tc>
        <w:tc>
          <w:tcPr>
            <w:tcW w:w="580" w:type="dxa"/>
            <w:vAlign w:val="bottom"/>
            <w:shd w:val="clear" w:color="auto" w:fill="F6F5F7"/>
          </w:tcPr>
          <w:p>
            <w:pPr>
              <w:jc w:val="center"/>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75"/>
        </w:trPr>
        <w:tc>
          <w:tcPr>
            <w:tcW w:w="4840" w:type="dxa"/>
            <w:vAlign w:val="bottom"/>
            <w:shd w:val="clear" w:color="auto" w:fill="F5F5F5"/>
          </w:tcPr>
          <w:p>
            <w:pPr>
              <w:spacing w:after="0"/>
              <w:rPr>
                <w:sz w:val="6"/>
                <w:szCs w:val="6"/>
                <w:color w:val="auto"/>
              </w:rPr>
            </w:pPr>
          </w:p>
        </w:tc>
        <w:tc>
          <w:tcPr>
            <w:tcW w:w="580" w:type="dxa"/>
            <w:vAlign w:val="bottom"/>
            <w:shd w:val="clear" w:color="auto" w:fill="F6F5F7"/>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40" w:type="dxa"/>
            <w:vAlign w:val="bottom"/>
          </w:tcPr>
          <w:p>
            <w:pPr>
              <w:ind w:left="420"/>
              <w:spacing w:after="0"/>
              <w:rPr>
                <w:sz w:val="20"/>
                <w:szCs w:val="20"/>
                <w:color w:val="auto"/>
              </w:rPr>
            </w:pPr>
            <w:r>
              <w:rPr>
                <w:rFonts w:ascii="Arial" w:cs="Arial" w:eastAsia="Arial" w:hAnsi="Arial"/>
                <w:sz w:val="14"/>
                <w:szCs w:val="14"/>
                <w:color w:val="auto"/>
              </w:rPr>
              <w:t>Relationship Between "Compensation Actually Paid"</w:t>
            </w:r>
          </w:p>
        </w:tc>
        <w:tc>
          <w:tcPr>
            <w:tcW w:w="580" w:type="dxa"/>
            <w:vAlign w:val="bottom"/>
            <w:vMerge w:val="restart"/>
          </w:tcPr>
          <w:p>
            <w:pPr>
              <w:jc w:val="center"/>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09"/>
        </w:trPr>
        <w:tc>
          <w:tcPr>
            <w:tcW w:w="4840" w:type="dxa"/>
            <w:vAlign w:val="bottom"/>
            <w:vMerge w:val="restart"/>
          </w:tcPr>
          <w:p>
            <w:pPr>
              <w:ind w:left="420"/>
              <w:spacing w:after="0"/>
              <w:rPr>
                <w:sz w:val="20"/>
                <w:szCs w:val="20"/>
                <w:color w:val="auto"/>
              </w:rPr>
            </w:pPr>
            <w:r>
              <w:rPr>
                <w:rFonts w:ascii="Arial" w:cs="Arial" w:eastAsia="Arial" w:hAnsi="Arial"/>
                <w:sz w:val="14"/>
                <w:szCs w:val="14"/>
                <w:color w:val="auto"/>
              </w:rPr>
              <w:t>and Performance</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84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4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082940"/>
          </w:tcPr>
          <w:p>
            <w:pPr>
              <w:ind w:left="100"/>
              <w:spacing w:after="0"/>
              <w:rPr>
                <w:sz w:val="20"/>
                <w:szCs w:val="20"/>
                <w:color w:val="auto"/>
              </w:rPr>
            </w:pPr>
            <w:r>
              <w:rPr>
                <w:rFonts w:ascii="Arial" w:cs="Arial" w:eastAsia="Arial" w:hAnsi="Arial"/>
                <w:sz w:val="14"/>
                <w:szCs w:val="14"/>
                <w:color w:val="FFFFFF"/>
              </w:rPr>
              <w:t>ITEM 2 — ADVISORY APPROVAL OF OUR EXECUTIVE</w:t>
            </w:r>
          </w:p>
        </w:tc>
        <w:tc>
          <w:tcPr>
            <w:tcW w:w="580" w:type="dxa"/>
            <w:vAlign w:val="bottom"/>
            <w:vMerge w:val="restart"/>
            <w:shd w:val="clear" w:color="auto" w:fill="082940"/>
          </w:tcPr>
          <w:p>
            <w:pPr>
              <w:jc w:val="center"/>
              <w:spacing w:after="0"/>
              <w:rPr>
                <w:sz w:val="20"/>
                <w:szCs w:val="20"/>
                <w:color w:val="auto"/>
              </w:rPr>
            </w:pPr>
            <w:r>
              <w:rPr>
                <w:rFonts w:ascii="Arial" w:cs="Arial" w:eastAsia="Arial" w:hAnsi="Arial"/>
                <w:sz w:val="14"/>
                <w:szCs w:val="14"/>
                <w:color w:val="FFFFFF"/>
              </w:rPr>
              <w:t>61</w:t>
            </w:r>
          </w:p>
        </w:tc>
        <w:tc>
          <w:tcPr>
            <w:tcW w:w="0" w:type="dxa"/>
            <w:vAlign w:val="bottom"/>
          </w:tcPr>
          <w:p>
            <w:pPr>
              <w:spacing w:after="0"/>
              <w:rPr>
                <w:sz w:val="1"/>
                <w:szCs w:val="1"/>
                <w:color w:val="auto"/>
              </w:rPr>
            </w:pPr>
          </w:p>
        </w:tc>
      </w:tr>
      <w:tr>
        <w:trPr>
          <w:trHeight w:val="109"/>
        </w:trPr>
        <w:tc>
          <w:tcPr>
            <w:tcW w:w="4840" w:type="dxa"/>
            <w:vAlign w:val="bottom"/>
            <w:vMerge w:val="restart"/>
            <w:shd w:val="clear" w:color="auto" w:fill="082940"/>
          </w:tcPr>
          <w:p>
            <w:pPr>
              <w:ind w:left="100"/>
              <w:spacing w:after="0"/>
              <w:rPr>
                <w:sz w:val="20"/>
                <w:szCs w:val="20"/>
                <w:color w:val="auto"/>
              </w:rPr>
            </w:pPr>
            <w:r>
              <w:rPr>
                <w:rFonts w:ascii="Arial" w:cs="Arial" w:eastAsia="Arial" w:hAnsi="Arial"/>
                <w:sz w:val="14"/>
                <w:szCs w:val="14"/>
                <w:color w:val="FFFFFF"/>
              </w:rPr>
              <w:t>COMPENSATION</w:t>
            </w:r>
          </w:p>
        </w:tc>
        <w:tc>
          <w:tcPr>
            <w:tcW w:w="580" w:type="dxa"/>
            <w:vAlign w:val="bottom"/>
            <w:vMerge w:val="continue"/>
            <w:shd w:val="clear" w:color="auto" w:fill="08294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840" w:type="dxa"/>
            <w:vAlign w:val="bottom"/>
            <w:tcBorders>
              <w:bottom w:val="single" w:sz="8" w:color="082940"/>
            </w:tcBorders>
            <w:vMerge w:val="continue"/>
            <w:shd w:val="clear" w:color="auto" w:fill="082940"/>
          </w:tcPr>
          <w:p>
            <w:pPr>
              <w:spacing w:after="0"/>
              <w:rPr>
                <w:sz w:val="8"/>
                <w:szCs w:val="8"/>
                <w:color w:val="auto"/>
              </w:rPr>
            </w:pPr>
          </w:p>
        </w:tc>
        <w:tc>
          <w:tcPr>
            <w:tcW w:w="580" w:type="dxa"/>
            <w:vAlign w:val="bottom"/>
            <w:tcBorders>
              <w:bottom w:val="single" w:sz="8" w:color="082940"/>
            </w:tcBorders>
            <w:shd w:val="clear" w:color="auto" w:fill="082940"/>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Stockholder Vote Required</w:t>
            </w:r>
          </w:p>
        </w:tc>
        <w:tc>
          <w:tcPr>
            <w:tcW w:w="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75"/>
        </w:trPr>
        <w:tc>
          <w:tcPr>
            <w:tcW w:w="4840" w:type="dxa"/>
            <w:vAlign w:val="bottom"/>
            <w:shd w:val="clear" w:color="auto" w:fill="F5F5F5"/>
          </w:tcPr>
          <w:p>
            <w:pPr>
              <w:spacing w:after="0"/>
              <w:rPr>
                <w:sz w:val="6"/>
                <w:szCs w:val="6"/>
                <w:color w:val="auto"/>
              </w:rPr>
            </w:pPr>
          </w:p>
        </w:tc>
        <w:tc>
          <w:tcPr>
            <w:tcW w:w="58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082940"/>
          </w:tcPr>
          <w:p>
            <w:pPr>
              <w:ind w:left="100"/>
              <w:spacing w:after="0"/>
              <w:rPr>
                <w:sz w:val="20"/>
                <w:szCs w:val="20"/>
                <w:color w:val="auto"/>
              </w:rPr>
            </w:pPr>
            <w:r>
              <w:rPr>
                <w:rFonts w:ascii="Arial" w:cs="Arial" w:eastAsia="Arial" w:hAnsi="Arial"/>
                <w:sz w:val="14"/>
                <w:szCs w:val="14"/>
                <w:color w:val="FFFFFF"/>
              </w:rPr>
              <w:t>ITEM 3 —RATIFICATION OF APPOINTMENT OF INDEPENDENT</w:t>
            </w:r>
          </w:p>
        </w:tc>
        <w:tc>
          <w:tcPr>
            <w:tcW w:w="580" w:type="dxa"/>
            <w:vAlign w:val="bottom"/>
            <w:vMerge w:val="restart"/>
            <w:shd w:val="clear" w:color="auto" w:fill="082940"/>
          </w:tcPr>
          <w:p>
            <w:pPr>
              <w:jc w:val="center"/>
              <w:spacing w:after="0"/>
              <w:rPr>
                <w:sz w:val="20"/>
                <w:szCs w:val="20"/>
                <w:color w:val="auto"/>
              </w:rPr>
            </w:pPr>
            <w:r>
              <w:rPr>
                <w:rFonts w:ascii="Arial" w:cs="Arial" w:eastAsia="Arial" w:hAnsi="Arial"/>
                <w:sz w:val="14"/>
                <w:szCs w:val="14"/>
                <w:color w:val="FFFFFF"/>
              </w:rPr>
              <w:t>62</w:t>
            </w:r>
          </w:p>
        </w:tc>
        <w:tc>
          <w:tcPr>
            <w:tcW w:w="0" w:type="dxa"/>
            <w:vAlign w:val="bottom"/>
          </w:tcPr>
          <w:p>
            <w:pPr>
              <w:spacing w:after="0"/>
              <w:rPr>
                <w:sz w:val="1"/>
                <w:szCs w:val="1"/>
                <w:color w:val="auto"/>
              </w:rPr>
            </w:pPr>
          </w:p>
        </w:tc>
      </w:tr>
      <w:tr>
        <w:trPr>
          <w:trHeight w:val="109"/>
        </w:trPr>
        <w:tc>
          <w:tcPr>
            <w:tcW w:w="4840" w:type="dxa"/>
            <w:vAlign w:val="bottom"/>
            <w:vMerge w:val="restart"/>
            <w:shd w:val="clear" w:color="auto" w:fill="082940"/>
          </w:tcPr>
          <w:p>
            <w:pPr>
              <w:ind w:left="100"/>
              <w:spacing w:after="0"/>
              <w:rPr>
                <w:sz w:val="20"/>
                <w:szCs w:val="20"/>
                <w:color w:val="auto"/>
              </w:rPr>
            </w:pPr>
            <w:r>
              <w:rPr>
                <w:rFonts w:ascii="Arial" w:cs="Arial" w:eastAsia="Arial" w:hAnsi="Arial"/>
                <w:sz w:val="14"/>
                <w:szCs w:val="14"/>
                <w:color w:val="FFFFFF"/>
              </w:rPr>
              <w:t>AUDITORS</w:t>
            </w:r>
          </w:p>
        </w:tc>
        <w:tc>
          <w:tcPr>
            <w:tcW w:w="580" w:type="dxa"/>
            <w:vAlign w:val="bottom"/>
            <w:vMerge w:val="continue"/>
            <w:shd w:val="clear" w:color="auto" w:fill="08294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840" w:type="dxa"/>
            <w:vAlign w:val="bottom"/>
            <w:tcBorders>
              <w:bottom w:val="single" w:sz="8" w:color="082940"/>
            </w:tcBorders>
            <w:vMerge w:val="continue"/>
            <w:shd w:val="clear" w:color="auto" w:fill="082940"/>
          </w:tcPr>
          <w:p>
            <w:pPr>
              <w:spacing w:after="0"/>
              <w:rPr>
                <w:sz w:val="8"/>
                <w:szCs w:val="8"/>
                <w:color w:val="auto"/>
              </w:rPr>
            </w:pPr>
          </w:p>
        </w:tc>
        <w:tc>
          <w:tcPr>
            <w:tcW w:w="580" w:type="dxa"/>
            <w:vAlign w:val="bottom"/>
            <w:tcBorders>
              <w:bottom w:val="single" w:sz="8" w:color="082940"/>
            </w:tcBorders>
            <w:shd w:val="clear" w:color="auto" w:fill="082940"/>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Audit and Other Fees</w:t>
            </w:r>
          </w:p>
        </w:tc>
        <w:tc>
          <w:tcPr>
            <w:tcW w:w="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5"/>
        </w:trPr>
        <w:tc>
          <w:tcPr>
            <w:tcW w:w="4840" w:type="dxa"/>
            <w:vAlign w:val="bottom"/>
            <w:shd w:val="clear" w:color="auto" w:fill="F5F5F5"/>
          </w:tcPr>
          <w:p>
            <w:pPr>
              <w:spacing w:after="0"/>
              <w:rPr>
                <w:sz w:val="6"/>
                <w:szCs w:val="6"/>
                <w:color w:val="auto"/>
              </w:rPr>
            </w:pPr>
          </w:p>
        </w:tc>
        <w:tc>
          <w:tcPr>
            <w:tcW w:w="58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40" w:type="dxa"/>
            <w:vAlign w:val="bottom"/>
          </w:tcPr>
          <w:p>
            <w:pPr>
              <w:ind w:left="100"/>
              <w:spacing w:after="0"/>
              <w:rPr>
                <w:sz w:val="20"/>
                <w:szCs w:val="20"/>
                <w:color w:val="auto"/>
              </w:rPr>
            </w:pPr>
            <w:r>
              <w:rPr>
                <w:rFonts w:ascii="Arial" w:cs="Arial" w:eastAsia="Arial" w:hAnsi="Arial"/>
                <w:sz w:val="14"/>
                <w:szCs w:val="14"/>
                <w:color w:val="auto"/>
              </w:rPr>
              <w:t>Stockholder Vote Required</w:t>
            </w:r>
          </w:p>
        </w:tc>
        <w:tc>
          <w:tcPr>
            <w:tcW w:w="580" w:type="dxa"/>
            <w:vAlign w:val="bottom"/>
          </w:tcPr>
          <w:p>
            <w:pPr>
              <w:jc w:val="center"/>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76"/>
        </w:trPr>
        <w:tc>
          <w:tcPr>
            <w:tcW w:w="48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4840" w:type="dxa"/>
            <w:vAlign w:val="bottom"/>
            <w:shd w:val="clear" w:color="auto" w:fill="082940"/>
          </w:tcPr>
          <w:p>
            <w:pPr>
              <w:ind w:left="100"/>
              <w:spacing w:after="0"/>
              <w:rPr>
                <w:sz w:val="20"/>
                <w:szCs w:val="20"/>
                <w:color w:val="auto"/>
              </w:rPr>
            </w:pPr>
            <w:r>
              <w:rPr>
                <w:rFonts w:ascii="Arial" w:cs="Arial" w:eastAsia="Arial" w:hAnsi="Arial"/>
                <w:sz w:val="14"/>
                <w:szCs w:val="14"/>
                <w:color w:val="FFFFFF"/>
              </w:rPr>
              <w:t>APPENDIX A — EXPLANATION AND RECONCILIATION OF OUR USE</w:t>
            </w:r>
          </w:p>
        </w:tc>
        <w:tc>
          <w:tcPr>
            <w:tcW w:w="580" w:type="dxa"/>
            <w:vAlign w:val="bottom"/>
            <w:vMerge w:val="restart"/>
            <w:shd w:val="clear" w:color="auto" w:fill="082940"/>
          </w:tcPr>
          <w:p>
            <w:pPr>
              <w:jc w:val="center"/>
              <w:spacing w:after="0"/>
              <w:rPr>
                <w:sz w:val="20"/>
                <w:szCs w:val="20"/>
                <w:color w:val="auto"/>
              </w:rPr>
            </w:pPr>
            <w:r>
              <w:rPr>
                <w:rFonts w:ascii="Arial" w:cs="Arial" w:eastAsia="Arial" w:hAnsi="Arial"/>
                <w:sz w:val="14"/>
                <w:szCs w:val="14"/>
                <w:color w:val="FFFFFF"/>
              </w:rPr>
              <w:t>A-1</w:t>
            </w:r>
          </w:p>
        </w:tc>
        <w:tc>
          <w:tcPr>
            <w:tcW w:w="0" w:type="dxa"/>
            <w:vAlign w:val="bottom"/>
          </w:tcPr>
          <w:p>
            <w:pPr>
              <w:spacing w:after="0"/>
              <w:rPr>
                <w:sz w:val="1"/>
                <w:szCs w:val="1"/>
                <w:color w:val="auto"/>
              </w:rPr>
            </w:pPr>
          </w:p>
        </w:tc>
      </w:tr>
      <w:tr>
        <w:trPr>
          <w:trHeight w:val="109"/>
        </w:trPr>
        <w:tc>
          <w:tcPr>
            <w:tcW w:w="4840" w:type="dxa"/>
            <w:vAlign w:val="bottom"/>
            <w:vMerge w:val="restart"/>
            <w:shd w:val="clear" w:color="auto" w:fill="082940"/>
          </w:tcPr>
          <w:p>
            <w:pPr>
              <w:ind w:left="100"/>
              <w:spacing w:after="0"/>
              <w:rPr>
                <w:sz w:val="20"/>
                <w:szCs w:val="20"/>
                <w:color w:val="auto"/>
              </w:rPr>
            </w:pPr>
            <w:r>
              <w:rPr>
                <w:rFonts w:ascii="Arial" w:cs="Arial" w:eastAsia="Arial" w:hAnsi="Arial"/>
                <w:sz w:val="14"/>
                <w:szCs w:val="14"/>
                <w:color w:val="FFFFFF"/>
              </w:rPr>
              <w:t>OF NON-GAAP FINANCIAL MEASURES</w:t>
            </w:r>
          </w:p>
        </w:tc>
        <w:tc>
          <w:tcPr>
            <w:tcW w:w="580" w:type="dxa"/>
            <w:vAlign w:val="bottom"/>
            <w:vMerge w:val="continue"/>
            <w:shd w:val="clear" w:color="auto" w:fill="08294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4840" w:type="dxa"/>
            <w:vAlign w:val="bottom"/>
            <w:tcBorders>
              <w:bottom w:val="single" w:sz="8" w:color="082940"/>
            </w:tcBorders>
            <w:vMerge w:val="continue"/>
            <w:shd w:val="clear" w:color="auto" w:fill="082940"/>
          </w:tcPr>
          <w:p>
            <w:pPr>
              <w:spacing w:after="0"/>
              <w:rPr>
                <w:sz w:val="8"/>
                <w:szCs w:val="8"/>
                <w:color w:val="auto"/>
              </w:rPr>
            </w:pPr>
          </w:p>
        </w:tc>
        <w:tc>
          <w:tcPr>
            <w:tcW w:w="580" w:type="dxa"/>
            <w:vAlign w:val="bottom"/>
            <w:tcBorders>
              <w:bottom w:val="single" w:sz="8" w:color="082940"/>
            </w:tcBorders>
            <w:shd w:val="clear" w:color="auto" w:fill="082940"/>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8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Non-GAAP Financial Measure Reconciliation</w:t>
            </w:r>
          </w:p>
        </w:tc>
        <w:tc>
          <w:tcPr>
            <w:tcW w:w="5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A-2</w:t>
            </w:r>
          </w:p>
        </w:tc>
        <w:tc>
          <w:tcPr>
            <w:tcW w:w="0" w:type="dxa"/>
            <w:vAlign w:val="bottom"/>
          </w:tcPr>
          <w:p>
            <w:pPr>
              <w:spacing w:after="0"/>
              <w:rPr>
                <w:sz w:val="1"/>
                <w:szCs w:val="1"/>
                <w:color w:val="auto"/>
              </w:rPr>
            </w:pPr>
          </w:p>
        </w:tc>
      </w:tr>
      <w:tr>
        <w:trPr>
          <w:trHeight w:val="76"/>
        </w:trPr>
        <w:tc>
          <w:tcPr>
            <w:tcW w:w="4840" w:type="dxa"/>
            <w:vAlign w:val="bottom"/>
            <w:tcBorders>
              <w:bottom w:val="single" w:sz="8" w:color="DE762B"/>
            </w:tcBorders>
            <w:shd w:val="clear" w:color="auto" w:fill="F5F5F5"/>
          </w:tcPr>
          <w:p>
            <w:pPr>
              <w:spacing w:after="0"/>
              <w:rPr>
                <w:sz w:val="6"/>
                <w:szCs w:val="6"/>
                <w:color w:val="auto"/>
              </w:rPr>
            </w:pPr>
          </w:p>
        </w:tc>
        <w:tc>
          <w:tcPr>
            <w:tcW w:w="580" w:type="dxa"/>
            <w:vAlign w:val="bottom"/>
            <w:tcBorders>
              <w:bottom w:val="single" w:sz="8" w:color="DE762B"/>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1136015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-3626485</wp:posOffset>
            </wp:positionH>
            <wp:positionV relativeFrom="paragraph">
              <wp:posOffset>-6857365</wp:posOffset>
            </wp:positionV>
            <wp:extent cx="7132320" cy="6861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861810"/>
                    </a:xfrm>
                    <a:prstGeom prst="rect">
                      <a:avLst/>
                    </a:prstGeom>
                    <a:noFill/>
                  </pic:spPr>
                </pic:pic>
              </a:graphicData>
            </a:graphic>
          </wp:anchor>
        </w:drawing>
      </w:r>
    </w:p>
    <w:p>
      <w:pPr>
        <w:sectPr>
          <w:pgSz w:w="11900" w:h="16838" w:orient="portrait"/>
          <w:cols w:equalWidth="0" w:num="2">
            <w:col w:w="5420" w:space="300"/>
            <w:col w:w="5420"/>
          </w:cols>
          <w:pgMar w:left="320" w:top="885" w:right="43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036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spacing w:after="0"/>
        <w:rPr>
          <w:sz w:val="20"/>
          <w:szCs w:val="20"/>
          <w:color w:val="auto"/>
        </w:rPr>
      </w:pPr>
      <w:r>
        <w:rPr>
          <w:rFonts w:ascii="Arial" w:cs="Arial" w:eastAsia="Arial" w:hAnsi="Arial"/>
          <w:sz w:val="43"/>
          <w:szCs w:val="43"/>
          <w:color w:val="A7A9AC"/>
        </w:rPr>
        <w:t>Notice of 2026 Annual</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DE762B"/>
        </w:rPr>
        <w:t>Meeting of Stockholders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0C2940"/>
        </w:rPr>
        <w:t>To the Stockholders of NMI Holdings,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2026 Annual Meeting of Stockholders (Annual Meeting) of NMI Holdings, Inc. (NMI or the Company) will be held as a virtual meeting.</w:t>
      </w:r>
    </w:p>
    <w:p>
      <w:pPr>
        <w:sectPr>
          <w:pgSz w:w="11900" w:h="16838" w:orient="portrait"/>
          <w:cols w:equalWidth="0" w:num="1">
            <w:col w:w="11240"/>
          </w:cols>
          <w:pgMar w:left="320" w:top="130" w:right="3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263525</wp:posOffset>
            </wp:positionV>
            <wp:extent cx="29972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720" cy="25717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900"/>
        <w:spacing w:after="0"/>
        <w:rPr>
          <w:sz w:val="20"/>
          <w:szCs w:val="20"/>
          <w:color w:val="auto"/>
        </w:rPr>
      </w:pPr>
      <w:r>
        <w:rPr>
          <w:rFonts w:ascii="Arial" w:cs="Arial" w:eastAsia="Arial" w:hAnsi="Arial"/>
          <w:sz w:val="16"/>
          <w:szCs w:val="16"/>
          <w:color w:val="0C2940"/>
        </w:rPr>
        <w:t>DATE</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Thursday, 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96520</wp:posOffset>
            </wp:positionV>
            <wp:extent cx="3261360" cy="3295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61360" cy="329565"/>
                    </a:xfrm>
                    <a:prstGeom prst="rect">
                      <a:avLst/>
                    </a:prstGeom>
                    <a:noFill/>
                  </pic:spPr>
                </pic:pic>
              </a:graphicData>
            </a:graphic>
          </wp:anchor>
        </w:drawing>
      </w:r>
    </w:p>
    <w:p>
      <w:pPr>
        <w:spacing w:after="0" w:line="341" w:lineRule="exact"/>
        <w:rPr>
          <w:sz w:val="20"/>
          <w:szCs w:val="20"/>
          <w:color w:val="auto"/>
        </w:rPr>
      </w:pPr>
    </w:p>
    <w:p>
      <w:pPr>
        <w:ind w:left="900"/>
        <w:spacing w:after="0"/>
        <w:rPr>
          <w:sz w:val="20"/>
          <w:szCs w:val="20"/>
          <w:color w:val="auto"/>
        </w:rPr>
      </w:pPr>
      <w:r>
        <w:rPr>
          <w:rFonts w:ascii="Arial" w:cs="Arial" w:eastAsia="Arial" w:hAnsi="Arial"/>
          <w:sz w:val="16"/>
          <w:szCs w:val="16"/>
          <w:color w:val="0C2940"/>
        </w:rPr>
        <w:t>TIME</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4"/>
          <w:szCs w:val="14"/>
          <w:color w:val="0C2940"/>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53975</wp:posOffset>
            </wp:positionV>
            <wp:extent cx="3270250" cy="35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70250" cy="355600"/>
                    </a:xfrm>
                    <a:prstGeom prst="rect">
                      <a:avLst/>
                    </a:prstGeom>
                    <a:noFill/>
                  </pic:spPr>
                </pic:pic>
              </a:graphicData>
            </a:graphic>
          </wp:anchor>
        </w:drawing>
      </w:r>
    </w:p>
    <w:p>
      <w:pPr>
        <w:spacing w:after="0" w:line="273" w:lineRule="exact"/>
        <w:rPr>
          <w:sz w:val="20"/>
          <w:szCs w:val="20"/>
          <w:color w:val="auto"/>
        </w:rPr>
      </w:pPr>
    </w:p>
    <w:p>
      <w:pPr>
        <w:ind w:left="900"/>
        <w:spacing w:after="0"/>
        <w:rPr>
          <w:sz w:val="20"/>
          <w:szCs w:val="20"/>
          <w:color w:val="auto"/>
        </w:rPr>
      </w:pPr>
      <w:r>
        <w:rPr>
          <w:rFonts w:ascii="Arial" w:cs="Arial" w:eastAsia="Arial" w:hAnsi="Arial"/>
          <w:sz w:val="16"/>
          <w:szCs w:val="16"/>
          <w:color w:val="0C2940"/>
        </w:rPr>
        <w:t>LOCATION</w:t>
      </w:r>
    </w:p>
    <w:p>
      <w:pPr>
        <w:spacing w:after="0" w:line="66" w:lineRule="exact"/>
        <w:rPr>
          <w:sz w:val="20"/>
          <w:szCs w:val="20"/>
          <w:color w:val="auto"/>
        </w:rPr>
      </w:pPr>
    </w:p>
    <w:p>
      <w:pPr>
        <w:jc w:val="right"/>
        <w:ind w:right="1180"/>
        <w:spacing w:after="0"/>
        <w:rPr>
          <w:sz w:val="20"/>
          <w:szCs w:val="20"/>
          <w:color w:val="auto"/>
        </w:rPr>
      </w:pPr>
      <w:r>
        <w:rPr>
          <w:rFonts w:ascii="Arial" w:cs="Arial" w:eastAsia="Arial" w:hAnsi="Arial"/>
          <w:sz w:val="14"/>
          <w:szCs w:val="14"/>
          <w:i w:val="1"/>
          <w:iCs w:val="1"/>
          <w:color w:val="0C2940"/>
        </w:rPr>
        <w:t>www.virtualshareholdermeeting.com/NMIH2026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52705</wp:posOffset>
            </wp:positionV>
            <wp:extent cx="3270250" cy="3473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70250" cy="347345"/>
                    </a:xfrm>
                    <a:prstGeom prst="rect">
                      <a:avLst/>
                    </a:prstGeom>
                    <a:noFill/>
                  </pic:spPr>
                </pic:pic>
              </a:graphicData>
            </a:graphic>
          </wp:anchor>
        </w:drawing>
      </w:r>
    </w:p>
    <w:p>
      <w:pPr>
        <w:spacing w:after="0" w:line="271" w:lineRule="exact"/>
        <w:rPr>
          <w:sz w:val="20"/>
          <w:szCs w:val="20"/>
          <w:color w:val="auto"/>
        </w:rPr>
      </w:pPr>
    </w:p>
    <w:p>
      <w:pPr>
        <w:ind w:left="900"/>
        <w:spacing w:after="0"/>
        <w:rPr>
          <w:sz w:val="20"/>
          <w:szCs w:val="20"/>
          <w:color w:val="auto"/>
        </w:rPr>
      </w:pPr>
      <w:r>
        <w:rPr>
          <w:rFonts w:ascii="Arial" w:cs="Arial" w:eastAsia="Arial" w:hAnsi="Arial"/>
          <w:sz w:val="16"/>
          <w:szCs w:val="16"/>
          <w:color w:val="0C2940"/>
        </w:rPr>
        <w:t>RECORD DATE</w:t>
      </w:r>
    </w:p>
    <w:p>
      <w:pPr>
        <w:spacing w:after="0" w:line="64" w:lineRule="exact"/>
        <w:rPr>
          <w:sz w:val="20"/>
          <w:szCs w:val="20"/>
          <w:color w:val="auto"/>
        </w:rPr>
      </w:pPr>
    </w:p>
    <w:p>
      <w:pPr>
        <w:ind w:left="900"/>
        <w:spacing w:after="0"/>
        <w:rPr>
          <w:sz w:val="20"/>
          <w:szCs w:val="20"/>
          <w:color w:val="auto"/>
        </w:rPr>
      </w:pPr>
      <w:r>
        <w:rPr>
          <w:rFonts w:ascii="Arial" w:cs="Arial" w:eastAsia="Arial" w:hAnsi="Arial"/>
          <w:sz w:val="14"/>
          <w:szCs w:val="14"/>
          <w:color w:val="auto"/>
        </w:rPr>
        <w:t>March 16,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FFFFFF"/>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-121285</wp:posOffset>
            </wp:positionV>
            <wp:extent cx="3514725" cy="14611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4725" cy="1461135"/>
                    </a:xfrm>
                    <a:prstGeom prst="rect">
                      <a:avLst/>
                    </a:prstGeom>
                    <a:noFill/>
                  </pic:spPr>
                </pic:pic>
              </a:graphicData>
            </a:graphic>
          </wp:anchor>
        </w:drawing>
      </w:r>
    </w:p>
    <w:p>
      <w:pPr>
        <w:spacing w:after="0" w:line="81" w:lineRule="exact"/>
        <w:rPr>
          <w:sz w:val="20"/>
          <w:szCs w:val="20"/>
          <w:color w:val="auto"/>
        </w:rPr>
      </w:pPr>
    </w:p>
    <w:p>
      <w:pPr>
        <w:ind w:left="900" w:hanging="670"/>
        <w:spacing w:after="0"/>
        <w:tabs>
          <w:tab w:leader="none" w:pos="900" w:val="left"/>
        </w:tabs>
        <w:numPr>
          <w:ilvl w:val="0"/>
          <w:numId w:val="6"/>
        </w:numPr>
        <w:rPr>
          <w:rFonts w:ascii="Arial" w:cs="Arial" w:eastAsia="Arial" w:hAnsi="Arial"/>
          <w:sz w:val="29"/>
          <w:szCs w:val="29"/>
          <w:b w:val="1"/>
          <w:bCs w:val="1"/>
          <w:color w:val="DE762B"/>
        </w:rPr>
      </w:pPr>
      <w:r>
        <w:rPr>
          <w:rFonts w:ascii="Arial" w:cs="Arial" w:eastAsia="Arial" w:hAnsi="Arial"/>
          <w:sz w:val="14"/>
          <w:szCs w:val="14"/>
          <w:color w:val="auto"/>
        </w:rPr>
        <w:t>Election of nine directors;</w:t>
      </w:r>
    </w:p>
    <w:p>
      <w:pPr>
        <w:spacing w:after="0" w:line="328" w:lineRule="exact"/>
        <w:rPr>
          <w:sz w:val="20"/>
          <w:szCs w:val="20"/>
          <w:color w:val="auto"/>
        </w:rPr>
      </w:pPr>
    </w:p>
    <w:p>
      <w:pPr>
        <w:ind w:left="1000" w:hanging="770"/>
        <w:spacing w:after="0"/>
        <w:tabs>
          <w:tab w:leader="none" w:pos="1000" w:val="left"/>
        </w:tabs>
        <w:numPr>
          <w:ilvl w:val="0"/>
          <w:numId w:val="7"/>
        </w:numPr>
        <w:rPr>
          <w:rFonts w:ascii="Arial" w:cs="Arial" w:eastAsia="Arial" w:hAnsi="Arial"/>
          <w:sz w:val="29"/>
          <w:szCs w:val="29"/>
          <w:b w:val="1"/>
          <w:bCs w:val="1"/>
          <w:color w:val="DE762B"/>
        </w:rPr>
      </w:pPr>
      <w:r>
        <w:rPr>
          <w:rFonts w:ascii="Arial" w:cs="Arial" w:eastAsia="Arial" w:hAnsi="Arial"/>
          <w:sz w:val="14"/>
          <w:szCs w:val="14"/>
          <w:color w:val="auto"/>
        </w:rPr>
        <w:t>Advisory approval of our executive compensation; and</w:t>
      </w:r>
    </w:p>
    <w:p>
      <w:pPr>
        <w:spacing w:after="0" w:line="200" w:lineRule="exact"/>
        <w:rPr>
          <w:sz w:val="20"/>
          <w:szCs w:val="20"/>
          <w:color w:val="auto"/>
        </w:rPr>
      </w:pPr>
    </w:p>
    <w:p>
      <w:pPr>
        <w:spacing w:after="0" w:line="231" w:lineRule="exact"/>
        <w:rPr>
          <w:sz w:val="20"/>
          <w:szCs w:val="20"/>
          <w:color w:val="auto"/>
        </w:rPr>
      </w:pPr>
    </w:p>
    <w:p>
      <w:pPr>
        <w:ind w:left="1000" w:right="660" w:hanging="770"/>
        <w:spacing w:after="0" w:line="181" w:lineRule="auto"/>
        <w:tabs>
          <w:tab w:leader="none" w:pos="1000" w:val="left"/>
        </w:tabs>
        <w:numPr>
          <w:ilvl w:val="0"/>
          <w:numId w:val="8"/>
        </w:numPr>
        <w:rPr>
          <w:rFonts w:ascii="Arial" w:cs="Arial" w:eastAsia="Arial" w:hAnsi="Arial"/>
          <w:sz w:val="30"/>
          <w:szCs w:val="30"/>
          <w:b w:val="1"/>
          <w:bCs w:val="1"/>
          <w:color w:val="DE762B"/>
          <w:vertAlign w:val="subscript"/>
        </w:rPr>
      </w:pPr>
      <w:r>
        <w:rPr>
          <w:rFonts w:ascii="Arial" w:cs="Arial" w:eastAsia="Arial" w:hAnsi="Arial"/>
          <w:sz w:val="12"/>
          <w:szCs w:val="12"/>
          <w:color w:val="auto"/>
        </w:rPr>
        <w:t>Ratification of the appointment of BDO USA, P.C. as NMI's independent auditor.</w:t>
      </w:r>
    </w:p>
    <w:p>
      <w:pPr>
        <w:spacing w:after="0" w:line="995" w:lineRule="exact"/>
        <w:rPr>
          <w:sz w:val="20"/>
          <w:szCs w:val="20"/>
          <w:color w:val="auto"/>
        </w:rPr>
      </w:pPr>
    </w:p>
    <w:p>
      <w:pPr>
        <w:sectPr>
          <w:pgSz w:w="11900" w:h="16838" w:orient="portrait"/>
          <w:cols w:equalWidth="0" w:num="2">
            <w:col w:w="5120" w:space="720"/>
            <w:col w:w="5400"/>
          </w:cols>
          <w:pgMar w:left="320" w:top="130" w:right="339" w:bottom="1440" w:gutter="0" w:footer="0" w:header="0"/>
          <w:type w:val="continuous"/>
        </w:sectPr>
      </w:pP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foregoing items are more fully described in this proxy statement accompanying this Notice. We also will transact any other business that may properly come before the Annual Meeting. At this time, we are not aware of any such additional matters.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Only stockholders of record at the close of business on March 16, 2026, and their proxies, are entitled to notice and to vote at the Annual Meeting as well as any and all adjournments, continuations or postponements thereof. Each stockholder of record and their proxies will be entitled to one vote for each share held on the record date.</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This Notice, the Notice of Internet Availability of Proxy Materials, the Proxy Statement and the 2025 Annual Report are first being sent or made available to our stockholders of record on or about March 26, 2026. The Notice of Internet Availability of Proxy Materials also contains instructions on how you can receive a paper copy of our proxy materials free of charge.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28587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0C2940"/>
        </w:rPr>
        <w:t>Bradley M. Shuster</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Executive Chairman and Chairman of the Board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March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line="304" w:lineRule="auto"/>
        <w:rPr>
          <w:sz w:val="20"/>
          <w:szCs w:val="20"/>
          <w:color w:val="auto"/>
        </w:rPr>
      </w:pPr>
      <w:r>
        <w:rPr>
          <w:rFonts w:ascii="Arial" w:cs="Arial" w:eastAsia="Arial" w:hAnsi="Arial"/>
          <w:sz w:val="16"/>
          <w:szCs w:val="16"/>
          <w:color w:val="auto"/>
        </w:rPr>
        <w:t>Whether or not you expect to participate in the virtual annual meeting, please vote as promptly as possible in order to ensure your representation at the annual meeting.</w:t>
      </w:r>
    </w:p>
    <w:p>
      <w:pPr>
        <w:spacing w:after="0" w:line="299" w:lineRule="exact"/>
        <w:rPr>
          <w:sz w:val="20"/>
          <w:szCs w:val="20"/>
          <w:color w:val="auto"/>
        </w:rPr>
      </w:pPr>
    </w:p>
    <w:p>
      <w:pPr>
        <w:ind w:left="20"/>
        <w:spacing w:after="0"/>
        <w:tabs>
          <w:tab w:leader="none" w:pos="55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sz w:val="1"/>
          <w:szCs w:val="1"/>
          <w:color w:val="auto"/>
        </w:rPr>
        <w:drawing>
          <wp:inline distT="0" distB="0" distL="0" distR="0">
            <wp:extent cx="539750" cy="70294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0" cy="702945"/>
                    </a:xfrm>
                    <a:prstGeom prst="rect">
                      <a:avLst/>
                    </a:prstGeom>
                    <a:noFill/>
                    <a:ln>
                      <a:noFill/>
                    </a:ln>
                  </pic:spPr>
                </pic:pic>
              </a:graphicData>
            </a:graphic>
          </wp:inline>
        </w:drawing>
      </w:r>
      <w:r>
        <w:rPr>
          <w:rFonts w:ascii="Arial" w:cs="Arial" w:eastAsia="Arial" w:hAnsi="Arial"/>
          <w:sz w:val="43"/>
          <w:szCs w:val="43"/>
          <w:color w:val="A7A9AC"/>
        </w:rPr>
        <w:t xml:space="preserve">Proxy Statement </w:t>
      </w:r>
      <w:r>
        <w:rPr>
          <w:rFonts w:ascii="Arial" w:cs="Arial" w:eastAsia="Arial" w:hAnsi="Arial"/>
          <w:sz w:val="43"/>
          <w:szCs w:val="43"/>
          <w:b w:val="1"/>
          <w:bCs w:val="1"/>
          <w:color w:val="DE762B"/>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-530860</wp:posOffset>
            </wp:positionV>
            <wp:extent cx="6591935"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91935" cy="531495"/>
                    </a:xfrm>
                    <a:prstGeom prst="rect">
                      <a:avLst/>
                    </a:prstGeom>
                    <a:noFill/>
                  </pic:spPr>
                </pic:pic>
              </a:graphicData>
            </a:graphic>
          </wp:anchor>
        </w:drawing>
      </w:r>
    </w:p>
    <w:p>
      <w:pPr>
        <w:spacing w:after="0" w:line="2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"proxy statement summary" highlights information contained elsewhere in this proxy statement. </w:t>
      </w:r>
      <w:r>
        <w:rPr>
          <w:rFonts w:ascii="Arial" w:cs="Arial" w:eastAsia="Arial" w:hAnsi="Arial"/>
          <w:sz w:val="16"/>
          <w:szCs w:val="16"/>
          <w:i w:val="1"/>
          <w:iCs w:val="1"/>
          <w:color w:val="auto"/>
        </w:rPr>
        <w:t>This summary does not contain all of the information</w:t>
      </w:r>
      <w:r>
        <w:rPr>
          <w:rFonts w:ascii="Arial" w:cs="Arial" w:eastAsia="Arial" w:hAnsi="Arial"/>
          <w:sz w:val="16"/>
          <w:szCs w:val="16"/>
          <w:color w:val="auto"/>
        </w:rPr>
        <w:t xml:space="preserve"> </w:t>
      </w:r>
      <w:r>
        <w:rPr>
          <w:rFonts w:ascii="Arial" w:cs="Arial" w:eastAsia="Arial" w:hAnsi="Arial"/>
          <w:sz w:val="16"/>
          <w:szCs w:val="16"/>
          <w:i w:val="1"/>
          <w:iCs w:val="1"/>
          <w:color w:val="auto"/>
        </w:rPr>
        <w:t>you should consider, so please read the entire proxy statement carefully before voting.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MATTERS TO BE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924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92405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spacing w:after="0"/>
        <w:rPr>
          <w:sz w:val="20"/>
          <w:szCs w:val="20"/>
          <w:color w:val="auto"/>
        </w:rPr>
      </w:pPr>
      <w:r>
        <w:rPr>
          <w:rFonts w:ascii="Arial" w:cs="Arial" w:eastAsia="Arial" w:hAnsi="Arial"/>
          <w:sz w:val="14"/>
          <w:szCs w:val="14"/>
          <w:color w:val="FFFFFF"/>
        </w:rPr>
        <w:t>PROPOSAL</w:t>
      </w:r>
    </w:p>
    <w:p>
      <w:pPr>
        <w:spacing w:after="0" w:line="141" w:lineRule="exact"/>
        <w:rPr>
          <w:sz w:val="20"/>
          <w:szCs w:val="20"/>
          <w:color w:val="auto"/>
        </w:rPr>
      </w:pPr>
    </w:p>
    <w:p>
      <w:pPr>
        <w:ind w:left="880" w:hanging="621"/>
        <w:spacing w:after="0"/>
        <w:tabs>
          <w:tab w:leader="none" w:pos="880" w:val="left"/>
        </w:tabs>
        <w:numPr>
          <w:ilvl w:val="0"/>
          <w:numId w:val="9"/>
        </w:numPr>
        <w:rPr>
          <w:rFonts w:ascii="Arial" w:cs="Arial" w:eastAsia="Arial" w:hAnsi="Arial"/>
          <w:sz w:val="29"/>
          <w:szCs w:val="29"/>
          <w:b w:val="1"/>
          <w:bCs w:val="1"/>
          <w:color w:val="DE762B"/>
        </w:rPr>
      </w:pPr>
      <w:r>
        <w:rPr>
          <w:rFonts w:ascii="Arial" w:cs="Arial" w:eastAsia="Arial" w:hAnsi="Arial"/>
          <w:sz w:val="14"/>
          <w:szCs w:val="14"/>
          <w:color w:val="auto"/>
        </w:rPr>
        <w:t>Election of directors</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Advisory, non-binding</w:t>
      </w:r>
    </w:p>
    <w:p>
      <w:pPr>
        <w:ind w:left="1020" w:hanging="761"/>
        <w:spacing w:after="0" w:line="181" w:lineRule="auto"/>
        <w:tabs>
          <w:tab w:leader="none" w:pos="1020" w:val="left"/>
        </w:tabs>
        <w:numPr>
          <w:ilvl w:val="0"/>
          <w:numId w:val="10"/>
        </w:numPr>
        <w:rPr>
          <w:rFonts w:ascii="Arial" w:cs="Arial" w:eastAsia="Arial" w:hAnsi="Arial"/>
          <w:sz w:val="29"/>
          <w:szCs w:val="29"/>
          <w:b w:val="1"/>
          <w:bCs w:val="1"/>
          <w:color w:val="DE762B"/>
        </w:rPr>
      </w:pPr>
      <w:r>
        <w:rPr>
          <w:rFonts w:ascii="Arial" w:cs="Arial" w:eastAsia="Arial" w:hAnsi="Arial"/>
          <w:sz w:val="14"/>
          <w:szCs w:val="14"/>
          <w:color w:val="auto"/>
        </w:rPr>
        <w:t>vote to approve</w:t>
      </w:r>
    </w:p>
    <w:p>
      <w:pPr>
        <w:ind w:left="740"/>
        <w:spacing w:after="0"/>
        <w:rPr>
          <w:rFonts w:ascii="Arial" w:cs="Arial" w:eastAsia="Arial" w:hAnsi="Arial"/>
          <w:sz w:val="29"/>
          <w:szCs w:val="29"/>
          <w:b w:val="1"/>
          <w:bCs w:val="1"/>
          <w:color w:val="DE762B"/>
        </w:rPr>
      </w:pPr>
      <w:r>
        <w:rPr>
          <w:rFonts w:ascii="Arial" w:cs="Arial" w:eastAsia="Arial" w:hAnsi="Arial"/>
          <w:sz w:val="14"/>
          <w:szCs w:val="14"/>
          <w:color w:val="auto"/>
        </w:rPr>
        <w:t>executive compensation</w:t>
      </w:r>
    </w:p>
    <w:p>
      <w:pPr>
        <w:spacing w:after="0" w:line="190" w:lineRule="exact"/>
        <w:rPr>
          <w:sz w:val="20"/>
          <w:szCs w:val="20"/>
          <w:color w:val="auto"/>
        </w:rPr>
      </w:pPr>
    </w:p>
    <w:p>
      <w:pPr>
        <w:jc w:val="center"/>
        <w:ind w:left="740"/>
        <w:spacing w:after="0"/>
        <w:rPr>
          <w:sz w:val="20"/>
          <w:szCs w:val="20"/>
          <w:color w:val="auto"/>
        </w:rPr>
      </w:pPr>
      <w:r>
        <w:rPr>
          <w:rFonts w:ascii="Arial" w:cs="Arial" w:eastAsia="Arial" w:hAnsi="Arial"/>
          <w:sz w:val="14"/>
          <w:szCs w:val="14"/>
          <w:color w:val="auto"/>
        </w:rPr>
        <w:t>Ratification of the</w:t>
      </w:r>
    </w:p>
    <w:p>
      <w:pPr>
        <w:jc w:val="center"/>
        <w:ind w:left="740"/>
        <w:spacing w:after="0" w:line="190" w:lineRule="auto"/>
        <w:rPr>
          <w:sz w:val="20"/>
          <w:szCs w:val="20"/>
          <w:color w:val="auto"/>
        </w:rPr>
      </w:pPr>
      <w:r>
        <w:rPr>
          <w:rFonts w:ascii="Arial" w:cs="Arial" w:eastAsia="Arial" w:hAnsi="Arial"/>
          <w:sz w:val="11"/>
          <w:szCs w:val="11"/>
          <w:color w:val="auto"/>
        </w:rPr>
        <w:t>appointment of BDO</w:t>
      </w:r>
    </w:p>
    <w:p>
      <w:pPr>
        <w:ind w:left="900" w:hanging="641"/>
        <w:spacing w:after="0" w:line="191" w:lineRule="auto"/>
        <w:tabs>
          <w:tab w:leader="none" w:pos="900" w:val="left"/>
        </w:tabs>
        <w:numPr>
          <w:ilvl w:val="0"/>
          <w:numId w:val="11"/>
        </w:numPr>
        <w:rPr>
          <w:rFonts w:ascii="Arial" w:cs="Arial" w:eastAsia="Arial" w:hAnsi="Arial"/>
          <w:sz w:val="29"/>
          <w:szCs w:val="29"/>
          <w:b w:val="1"/>
          <w:bCs w:val="1"/>
          <w:color w:val="DE762B"/>
        </w:rPr>
      </w:pPr>
      <w:r>
        <w:rPr>
          <w:rFonts w:ascii="Arial" w:cs="Arial" w:eastAsia="Arial" w:hAnsi="Arial"/>
          <w:sz w:val="14"/>
          <w:szCs w:val="14"/>
          <w:color w:val="auto"/>
        </w:rPr>
        <w:t>USA, LLP as NMI's</w:t>
      </w:r>
    </w:p>
    <w:p>
      <w:pPr>
        <w:jc w:val="both"/>
        <w:ind w:left="820" w:right="40" w:hanging="40"/>
        <w:spacing w:after="0" w:line="284" w:lineRule="auto"/>
        <w:rPr>
          <w:rFonts w:ascii="Arial" w:cs="Arial" w:eastAsia="Arial" w:hAnsi="Arial"/>
          <w:sz w:val="29"/>
          <w:szCs w:val="29"/>
          <w:b w:val="1"/>
          <w:bCs w:val="1"/>
          <w:color w:val="DE762B"/>
        </w:rPr>
      </w:pPr>
      <w:r>
        <w:rPr>
          <w:rFonts w:ascii="Arial" w:cs="Arial" w:eastAsia="Arial" w:hAnsi="Arial"/>
          <w:sz w:val="14"/>
          <w:szCs w:val="14"/>
          <w:color w:val="auto"/>
        </w:rPr>
        <w:t>independent registered public accounting firm</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158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VOTES REQUIRED</w:t>
            </w:r>
          </w:p>
        </w:tc>
        <w:tc>
          <w:tcPr>
            <w:tcW w:w="148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EFFECT OF</w:t>
            </w:r>
          </w:p>
        </w:tc>
        <w:tc>
          <w:tcPr>
            <w:tcW w:w="140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SHARES/EFFECT</w:t>
            </w:r>
          </w:p>
        </w:tc>
        <w:tc>
          <w:tcPr>
            <w:tcW w:w="1400" w:type="dxa"/>
            <w:vAlign w:val="bottom"/>
            <w:shd w:val="clear" w:color="auto" w:fill="0C2940"/>
          </w:tcPr>
          <w:p>
            <w:pPr>
              <w:jc w:val="center"/>
              <w:ind w:right="48"/>
              <w:spacing w:after="0"/>
              <w:rPr>
                <w:sz w:val="20"/>
                <w:szCs w:val="20"/>
                <w:color w:val="auto"/>
              </w:rPr>
            </w:pPr>
            <w:r>
              <w:rPr>
                <w:rFonts w:ascii="Arial" w:cs="Arial" w:eastAsia="Arial" w:hAnsi="Arial"/>
                <w:sz w:val="14"/>
                <w:szCs w:val="14"/>
                <w:color w:val="FFFFFF"/>
              </w:rPr>
              <w:t>SIGNED BUT</w:t>
            </w:r>
          </w:p>
        </w:tc>
        <w:tc>
          <w:tcPr>
            <w:tcW w:w="182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BOARD</w:t>
            </w:r>
          </w:p>
        </w:tc>
        <w:tc>
          <w:tcPr>
            <w:tcW w:w="1220" w:type="dxa"/>
            <w:vAlign w:val="bottom"/>
            <w:vMerge w:val="restart"/>
            <w:shd w:val="clear" w:color="auto" w:fill="0C2940"/>
          </w:tcPr>
          <w:p>
            <w:pPr>
              <w:jc w:val="center"/>
              <w:ind w:left="28"/>
              <w:spacing w:after="0"/>
              <w:rPr>
                <w:sz w:val="20"/>
                <w:szCs w:val="20"/>
                <w:color w:val="auto"/>
              </w:rPr>
            </w:pPr>
            <w:r>
              <w:rPr>
                <w:rFonts w:ascii="Arial" w:cs="Arial" w:eastAsia="Arial" w:hAnsi="Arial"/>
                <w:sz w:val="14"/>
                <w:szCs w:val="14"/>
                <w:color w:val="FFFFFF"/>
              </w:rPr>
              <w:t>PAGE</w:t>
            </w:r>
          </w:p>
        </w:tc>
        <w:tc>
          <w:tcPr>
            <w:tcW w:w="0" w:type="dxa"/>
            <w:vAlign w:val="bottom"/>
          </w:tcPr>
          <w:p>
            <w:pPr>
              <w:spacing w:after="0"/>
              <w:rPr>
                <w:sz w:val="1"/>
                <w:szCs w:val="1"/>
                <w:color w:val="auto"/>
              </w:rPr>
            </w:pPr>
          </w:p>
        </w:tc>
      </w:tr>
      <w:tr>
        <w:trPr>
          <w:trHeight w:val="160"/>
        </w:trPr>
        <w:tc>
          <w:tcPr>
            <w:tcW w:w="1580" w:type="dxa"/>
            <w:vAlign w:val="bottom"/>
            <w:vMerge w:val="continue"/>
            <w:shd w:val="clear" w:color="auto" w:fill="0C2940"/>
          </w:tcPr>
          <w:p>
            <w:pPr>
              <w:spacing w:after="0"/>
              <w:rPr>
                <w:sz w:val="13"/>
                <w:szCs w:val="13"/>
                <w:color w:val="auto"/>
              </w:rPr>
            </w:pPr>
          </w:p>
        </w:tc>
        <w:tc>
          <w:tcPr>
            <w:tcW w:w="1480" w:type="dxa"/>
            <w:vAlign w:val="bottom"/>
            <w:vMerge w:val="continue"/>
            <w:shd w:val="clear" w:color="auto" w:fill="0C2940"/>
          </w:tcPr>
          <w:p>
            <w:pPr>
              <w:spacing w:after="0"/>
              <w:rPr>
                <w:sz w:val="13"/>
                <w:szCs w:val="13"/>
                <w:color w:val="auto"/>
              </w:rPr>
            </w:pPr>
          </w:p>
        </w:tc>
        <w:tc>
          <w:tcPr>
            <w:tcW w:w="1400" w:type="dxa"/>
            <w:vAlign w:val="bottom"/>
            <w:shd w:val="clear" w:color="auto" w:fill="0C2940"/>
          </w:tcPr>
          <w:p>
            <w:pPr>
              <w:jc w:val="center"/>
              <w:spacing w:after="0" w:line="159" w:lineRule="exact"/>
              <w:rPr>
                <w:sz w:val="20"/>
                <w:szCs w:val="20"/>
                <w:color w:val="auto"/>
              </w:rPr>
            </w:pPr>
            <w:r>
              <w:rPr>
                <w:rFonts w:ascii="Arial" w:cs="Arial" w:eastAsia="Arial" w:hAnsi="Arial"/>
                <w:sz w:val="14"/>
                <w:szCs w:val="14"/>
                <w:color w:val="FFFFFF"/>
              </w:rPr>
              <w:t>OF BROKER NON-</w:t>
            </w:r>
          </w:p>
        </w:tc>
        <w:tc>
          <w:tcPr>
            <w:tcW w:w="1400" w:type="dxa"/>
            <w:vAlign w:val="bottom"/>
            <w:shd w:val="clear" w:color="auto" w:fill="0C2940"/>
          </w:tcPr>
          <w:p>
            <w:pPr>
              <w:jc w:val="center"/>
              <w:ind w:right="28"/>
              <w:spacing w:after="0" w:line="159" w:lineRule="exact"/>
              <w:rPr>
                <w:sz w:val="20"/>
                <w:szCs w:val="20"/>
                <w:color w:val="auto"/>
              </w:rPr>
            </w:pPr>
            <w:r>
              <w:rPr>
                <w:rFonts w:ascii="Arial" w:cs="Arial" w:eastAsia="Arial" w:hAnsi="Arial"/>
                <w:sz w:val="14"/>
                <w:szCs w:val="14"/>
                <w:color w:val="FFFFFF"/>
              </w:rPr>
              <w:t>UNMARKED</w:t>
            </w:r>
          </w:p>
        </w:tc>
        <w:tc>
          <w:tcPr>
            <w:tcW w:w="1820" w:type="dxa"/>
            <w:vAlign w:val="bottom"/>
            <w:vMerge w:val="continue"/>
            <w:shd w:val="clear" w:color="auto" w:fill="0C2940"/>
          </w:tcPr>
          <w:p>
            <w:pPr>
              <w:spacing w:after="0"/>
              <w:rPr>
                <w:sz w:val="13"/>
                <w:szCs w:val="13"/>
                <w:color w:val="auto"/>
              </w:rPr>
            </w:pPr>
          </w:p>
        </w:tc>
        <w:tc>
          <w:tcPr>
            <w:tcW w:w="1220" w:type="dxa"/>
            <w:vAlign w:val="bottom"/>
            <w:vMerge w:val="continue"/>
            <w:shd w:val="clear" w:color="auto" w:fill="0C2940"/>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58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FOR APPROVAL</w:t>
            </w:r>
          </w:p>
        </w:tc>
        <w:tc>
          <w:tcPr>
            <w:tcW w:w="148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ABSTENTION</w:t>
            </w:r>
            <w:r>
              <w:rPr>
                <w:rFonts w:ascii="Arial" w:cs="Arial" w:eastAsia="Arial" w:hAnsi="Arial"/>
                <w:sz w:val="18"/>
                <w:szCs w:val="18"/>
                <w:color w:val="FFFFFF"/>
                <w:vertAlign w:val="superscript"/>
              </w:rPr>
              <w:t>1</w:t>
            </w:r>
          </w:p>
        </w:tc>
        <w:tc>
          <w:tcPr>
            <w:tcW w:w="140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w w:val="99"/>
              </w:rPr>
              <w:t>VOTES</w:t>
            </w:r>
            <w:r>
              <w:rPr>
                <w:rFonts w:ascii="Arial" w:cs="Arial" w:eastAsia="Arial" w:hAnsi="Arial"/>
                <w:sz w:val="18"/>
                <w:szCs w:val="18"/>
                <w:color w:val="FFFFFF"/>
                <w:w w:val="99"/>
                <w:vertAlign w:val="superscript"/>
              </w:rPr>
              <w:t>2</w:t>
            </w:r>
          </w:p>
        </w:tc>
        <w:tc>
          <w:tcPr>
            <w:tcW w:w="1400" w:type="dxa"/>
            <w:vAlign w:val="bottom"/>
            <w:tcBorders>
              <w:bottom w:val="single" w:sz="8" w:color="0C2940"/>
            </w:tcBorders>
            <w:shd w:val="clear" w:color="auto" w:fill="0C2940"/>
          </w:tcPr>
          <w:p>
            <w:pPr>
              <w:jc w:val="center"/>
              <w:ind w:right="28"/>
              <w:spacing w:after="0"/>
              <w:rPr>
                <w:sz w:val="20"/>
                <w:szCs w:val="20"/>
                <w:color w:val="auto"/>
              </w:rPr>
            </w:pPr>
            <w:r>
              <w:rPr>
                <w:rFonts w:ascii="Arial" w:cs="Arial" w:eastAsia="Arial" w:hAnsi="Arial"/>
                <w:sz w:val="14"/>
                <w:szCs w:val="14"/>
                <w:color w:val="FFFFFF"/>
              </w:rPr>
              <w:t>PROXY CARDS</w:t>
            </w:r>
          </w:p>
        </w:tc>
        <w:tc>
          <w:tcPr>
            <w:tcW w:w="182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RECOMMENDATION</w:t>
            </w:r>
          </w:p>
        </w:tc>
        <w:tc>
          <w:tcPr>
            <w:tcW w:w="1220" w:type="dxa"/>
            <w:vAlign w:val="bottom"/>
            <w:tcBorders>
              <w:bottom w:val="single" w:sz="8" w:color="0C2940"/>
            </w:tcBorders>
            <w:shd w:val="clear" w:color="auto" w:fill="0C2940"/>
          </w:tcPr>
          <w:p>
            <w:pPr>
              <w:jc w:val="center"/>
              <w:ind w:left="28"/>
              <w:spacing w:after="0"/>
              <w:rPr>
                <w:sz w:val="20"/>
                <w:szCs w:val="20"/>
                <w:color w:val="auto"/>
              </w:rPr>
            </w:pPr>
            <w:r>
              <w:rPr>
                <w:rFonts w:ascii="Arial" w:cs="Arial" w:eastAsia="Arial" w:hAnsi="Arial"/>
                <w:sz w:val="14"/>
                <w:szCs w:val="14"/>
                <w:color w:val="FFFFFF"/>
              </w:rPr>
              <w:t>REFERENCE</w:t>
            </w:r>
          </w:p>
        </w:tc>
        <w:tc>
          <w:tcPr>
            <w:tcW w:w="0" w:type="dxa"/>
            <w:vAlign w:val="bottom"/>
          </w:tcPr>
          <w:p>
            <w:pPr>
              <w:spacing w:after="0"/>
              <w:rPr>
                <w:sz w:val="1"/>
                <w:szCs w:val="1"/>
                <w:color w:val="auto"/>
              </w:rPr>
            </w:pPr>
          </w:p>
        </w:tc>
      </w:tr>
      <w:tr>
        <w:trPr>
          <w:trHeight w:val="274"/>
        </w:trPr>
        <w:tc>
          <w:tcPr>
            <w:tcW w:w="1580" w:type="dxa"/>
            <w:vAlign w:val="bottom"/>
            <w:vMerge w:val="restart"/>
          </w:tcPr>
          <w:p>
            <w:pPr>
              <w:jc w:val="center"/>
              <w:spacing w:after="0"/>
              <w:rPr>
                <w:sz w:val="20"/>
                <w:szCs w:val="20"/>
                <w:color w:val="auto"/>
              </w:rPr>
            </w:pPr>
            <w:r>
              <w:rPr>
                <w:rFonts w:ascii="Arial" w:cs="Arial" w:eastAsia="Arial" w:hAnsi="Arial"/>
                <w:sz w:val="14"/>
                <w:szCs w:val="14"/>
                <w:color w:val="auto"/>
              </w:rPr>
              <w:t>Plurality of Votes Cast</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w w:val="99"/>
              </w:rPr>
              <w:t>No effect</w:t>
            </w: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Not voted/No effect</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Voted "For" each</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005388"/>
              </w:rPr>
              <w:t>FOR</w:t>
            </w:r>
          </w:p>
        </w:tc>
        <w:tc>
          <w:tcPr>
            <w:tcW w:w="1220" w:type="dxa"/>
            <w:vAlign w:val="bottom"/>
            <w:vMerge w:val="restart"/>
          </w:tcPr>
          <w:p>
            <w:pPr>
              <w:jc w:val="center"/>
              <w:ind w:left="48"/>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81"/>
        </w:trPr>
        <w:tc>
          <w:tcPr>
            <w:tcW w:w="158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400" w:type="dxa"/>
            <w:vAlign w:val="bottom"/>
            <w:vMerge w:val="restart"/>
          </w:tcPr>
          <w:p>
            <w:pPr>
              <w:jc w:val="center"/>
              <w:ind w:right="28"/>
              <w:spacing w:after="0"/>
              <w:rPr>
                <w:sz w:val="20"/>
                <w:szCs w:val="20"/>
                <w:color w:val="auto"/>
              </w:rPr>
            </w:pPr>
            <w:r>
              <w:rPr>
                <w:rFonts w:ascii="Arial" w:cs="Arial" w:eastAsia="Arial" w:hAnsi="Arial"/>
                <w:sz w:val="14"/>
                <w:szCs w:val="14"/>
                <w:color w:val="auto"/>
              </w:rPr>
              <w:t>nominee</w:t>
            </w:r>
          </w:p>
        </w:tc>
        <w:tc>
          <w:tcPr>
            <w:tcW w:w="182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0" w:type="dxa"/>
            <w:vAlign w:val="bottom"/>
            <w:vMerge w:val="continue"/>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color w:val="auto"/>
              </w:rPr>
              <w:t>each nominee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1580" w:type="dxa"/>
            <w:vAlign w:val="bottom"/>
          </w:tcPr>
          <w:p>
            <w:pPr>
              <w:jc w:val="center"/>
              <w:spacing w:after="0"/>
              <w:rPr>
                <w:sz w:val="20"/>
                <w:szCs w:val="20"/>
                <w:color w:val="auto"/>
              </w:rPr>
            </w:pPr>
            <w:r>
              <w:rPr>
                <w:rFonts w:ascii="Arial" w:cs="Arial" w:eastAsia="Arial" w:hAnsi="Arial"/>
                <w:sz w:val="14"/>
                <w:szCs w:val="14"/>
                <w:color w:val="auto"/>
              </w:rPr>
              <w:t>Majority of shares</w:t>
            </w:r>
          </w:p>
        </w:tc>
        <w:tc>
          <w:tcPr>
            <w:tcW w:w="1480" w:type="dxa"/>
            <w:vAlign w:val="bottom"/>
            <w:vMerge w:val="restart"/>
          </w:tcPr>
          <w:p>
            <w:pPr>
              <w:jc w:val="center"/>
              <w:spacing w:after="0"/>
              <w:rPr>
                <w:sz w:val="20"/>
                <w:szCs w:val="20"/>
                <w:color w:val="auto"/>
              </w:rPr>
            </w:pPr>
            <w:r>
              <w:rPr>
                <w:rFonts w:ascii="Arial" w:cs="Arial" w:eastAsia="Arial" w:hAnsi="Arial"/>
                <w:sz w:val="14"/>
                <w:szCs w:val="14"/>
                <w:color w:val="auto"/>
              </w:rPr>
              <w:t>Same effect as a vote</w:t>
            </w:r>
          </w:p>
        </w:tc>
        <w:tc>
          <w:tcPr>
            <w:tcW w:w="14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580" w:type="dxa"/>
            <w:vAlign w:val="bottom"/>
          </w:tcPr>
          <w:p>
            <w:pPr>
              <w:jc w:val="center"/>
              <w:spacing w:after="0"/>
              <w:rPr>
                <w:sz w:val="20"/>
                <w:szCs w:val="20"/>
                <w:color w:val="auto"/>
              </w:rPr>
            </w:pPr>
            <w:r>
              <w:rPr>
                <w:rFonts w:ascii="Arial" w:cs="Arial" w:eastAsia="Arial" w:hAnsi="Arial"/>
                <w:sz w:val="14"/>
                <w:szCs w:val="14"/>
                <w:color w:val="auto"/>
              </w:rPr>
              <w:t>present or represented</w:t>
            </w:r>
          </w:p>
        </w:tc>
        <w:tc>
          <w:tcPr>
            <w:tcW w:w="1480" w:type="dxa"/>
            <w:vAlign w:val="bottom"/>
            <w:vMerge w:val="continue"/>
          </w:tcPr>
          <w:p>
            <w:pPr>
              <w:spacing w:after="0"/>
              <w:rPr>
                <w:sz w:val="14"/>
                <w:szCs w:val="14"/>
                <w:color w:val="auto"/>
              </w:rPr>
            </w:pPr>
          </w:p>
        </w:tc>
        <w:tc>
          <w:tcPr>
            <w:tcW w:w="1400" w:type="dxa"/>
            <w:vAlign w:val="bottom"/>
            <w:vMerge w:val="restart"/>
          </w:tcPr>
          <w:p>
            <w:pPr>
              <w:jc w:val="center"/>
              <w:spacing w:after="0"/>
              <w:rPr>
                <w:sz w:val="20"/>
                <w:szCs w:val="20"/>
                <w:color w:val="auto"/>
              </w:rPr>
            </w:pPr>
            <w:r>
              <w:rPr>
                <w:rFonts w:ascii="Arial" w:cs="Arial" w:eastAsia="Arial" w:hAnsi="Arial"/>
                <w:sz w:val="14"/>
                <w:szCs w:val="14"/>
                <w:color w:val="auto"/>
              </w:rPr>
              <w:t>Not voted/No effect</w:t>
            </w:r>
          </w:p>
        </w:tc>
        <w:tc>
          <w:tcPr>
            <w:tcW w:w="1400" w:type="dxa"/>
            <w:vAlign w:val="bottom"/>
            <w:vMerge w:val="restart"/>
          </w:tcPr>
          <w:p>
            <w:pPr>
              <w:jc w:val="center"/>
              <w:ind w:right="8"/>
              <w:spacing w:after="0"/>
              <w:rPr>
                <w:sz w:val="20"/>
                <w:szCs w:val="20"/>
                <w:color w:val="auto"/>
              </w:rPr>
            </w:pPr>
            <w:r>
              <w:rPr>
                <w:rFonts w:ascii="Arial" w:cs="Arial" w:eastAsia="Arial" w:hAnsi="Arial"/>
                <w:sz w:val="14"/>
                <w:szCs w:val="14"/>
                <w:color w:val="auto"/>
              </w:rPr>
              <w:t>Voted "For"</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005388"/>
              </w:rPr>
              <w:t>FOR</w:t>
            </w:r>
          </w:p>
        </w:tc>
        <w:tc>
          <w:tcPr>
            <w:tcW w:w="1220" w:type="dxa"/>
            <w:vAlign w:val="bottom"/>
            <w:vMerge w:val="restart"/>
          </w:tcPr>
          <w:p>
            <w:pPr>
              <w:jc w:val="center"/>
              <w:ind w:lef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5"/>
        </w:trPr>
        <w:tc>
          <w:tcPr>
            <w:tcW w:w="1580" w:type="dxa"/>
            <w:vAlign w:val="bottom"/>
          </w:tcPr>
          <w:p>
            <w:pPr>
              <w:jc w:val="center"/>
              <w:spacing w:after="0"/>
              <w:rPr>
                <w:sz w:val="20"/>
                <w:szCs w:val="20"/>
                <w:color w:val="auto"/>
              </w:rPr>
            </w:pPr>
            <w:r>
              <w:rPr>
                <w:rFonts w:ascii="Arial" w:cs="Arial" w:eastAsia="Arial" w:hAnsi="Arial"/>
                <w:sz w:val="14"/>
                <w:szCs w:val="14"/>
                <w:color w:val="auto"/>
              </w:rPr>
              <w:t>by proxy and entitled to</w:t>
            </w:r>
          </w:p>
        </w:tc>
        <w:tc>
          <w:tcPr>
            <w:tcW w:w="1480" w:type="dxa"/>
            <w:vAlign w:val="bottom"/>
          </w:tcPr>
          <w:p>
            <w:pPr>
              <w:jc w:val="center"/>
              <w:spacing w:after="0"/>
              <w:rPr>
                <w:sz w:val="20"/>
                <w:szCs w:val="20"/>
                <w:color w:val="auto"/>
              </w:rPr>
            </w:pPr>
            <w:r>
              <w:rPr>
                <w:rFonts w:ascii="Arial" w:cs="Arial" w:eastAsia="Arial" w:hAnsi="Arial"/>
                <w:sz w:val="14"/>
                <w:szCs w:val="14"/>
                <w:color w:val="auto"/>
              </w:rPr>
              <w:t>"Against"</w:t>
            </w:r>
          </w:p>
        </w:tc>
        <w:tc>
          <w:tcPr>
            <w:tcW w:w="1400" w:type="dxa"/>
            <w:vAlign w:val="bottom"/>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tcPr>
          <w:p>
            <w:pPr>
              <w:jc w:val="center"/>
              <w:spacing w:after="0"/>
              <w:rPr>
                <w:sz w:val="20"/>
                <w:szCs w:val="20"/>
                <w:color w:val="auto"/>
              </w:rPr>
            </w:pPr>
            <w:r>
              <w:rPr>
                <w:rFonts w:ascii="Arial" w:cs="Arial" w:eastAsia="Arial" w:hAnsi="Arial"/>
                <w:sz w:val="14"/>
                <w:szCs w:val="14"/>
                <w:color w:val="auto"/>
              </w:rPr>
              <w:t>vote</w:t>
            </w:r>
          </w:p>
        </w:tc>
        <w:tc>
          <w:tcPr>
            <w:tcW w:w="1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580" w:type="dxa"/>
            <w:vAlign w:val="bottom"/>
          </w:tcPr>
          <w:p>
            <w:pPr>
              <w:jc w:val="center"/>
              <w:spacing w:after="0"/>
              <w:rPr>
                <w:sz w:val="20"/>
                <w:szCs w:val="20"/>
                <w:color w:val="auto"/>
              </w:rPr>
            </w:pPr>
            <w:r>
              <w:rPr>
                <w:rFonts w:ascii="Arial" w:cs="Arial" w:eastAsia="Arial" w:hAnsi="Arial"/>
                <w:sz w:val="14"/>
                <w:szCs w:val="14"/>
                <w:color w:val="auto"/>
              </w:rPr>
              <w:t>Majority of shares</w:t>
            </w:r>
          </w:p>
        </w:tc>
        <w:tc>
          <w:tcPr>
            <w:tcW w:w="1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580" w:type="dxa"/>
            <w:vAlign w:val="bottom"/>
          </w:tcPr>
          <w:p>
            <w:pPr>
              <w:jc w:val="center"/>
              <w:spacing w:after="0"/>
              <w:rPr>
                <w:sz w:val="20"/>
                <w:szCs w:val="20"/>
                <w:color w:val="auto"/>
              </w:rPr>
            </w:pPr>
            <w:r>
              <w:rPr>
                <w:rFonts w:ascii="Arial" w:cs="Arial" w:eastAsia="Arial" w:hAnsi="Arial"/>
                <w:sz w:val="14"/>
                <w:szCs w:val="14"/>
                <w:color w:val="auto"/>
              </w:rPr>
              <w:t>present or represented</w:t>
            </w:r>
          </w:p>
        </w:tc>
        <w:tc>
          <w:tcPr>
            <w:tcW w:w="1480" w:type="dxa"/>
            <w:vAlign w:val="bottom"/>
          </w:tcPr>
          <w:p>
            <w:pPr>
              <w:jc w:val="center"/>
              <w:spacing w:after="0"/>
              <w:rPr>
                <w:sz w:val="20"/>
                <w:szCs w:val="20"/>
                <w:color w:val="auto"/>
              </w:rPr>
            </w:pPr>
            <w:r>
              <w:rPr>
                <w:rFonts w:ascii="Arial" w:cs="Arial" w:eastAsia="Arial" w:hAnsi="Arial"/>
                <w:sz w:val="14"/>
                <w:szCs w:val="14"/>
                <w:color w:val="auto"/>
              </w:rPr>
              <w:t>Same effect as a vote</w:t>
            </w:r>
          </w:p>
        </w:tc>
        <w:tc>
          <w:tcPr>
            <w:tcW w:w="1400" w:type="dxa"/>
            <w:vAlign w:val="bottom"/>
          </w:tcPr>
          <w:p>
            <w:pPr>
              <w:jc w:val="center"/>
              <w:spacing w:after="0"/>
              <w:rPr>
                <w:sz w:val="20"/>
                <w:szCs w:val="20"/>
                <w:color w:val="auto"/>
              </w:rPr>
            </w:pPr>
            <w:r>
              <w:rPr>
                <w:rFonts w:ascii="Arial" w:cs="Arial" w:eastAsia="Arial" w:hAnsi="Arial"/>
                <w:sz w:val="14"/>
                <w:szCs w:val="14"/>
                <w:color w:val="auto"/>
              </w:rPr>
              <w:t>Discretionary Vote</w:t>
            </w:r>
            <w:r>
              <w:rPr>
                <w:rFonts w:ascii="Arial" w:cs="Arial" w:eastAsia="Arial" w:hAnsi="Arial"/>
                <w:sz w:val="18"/>
                <w:szCs w:val="18"/>
                <w:color w:val="auto"/>
                <w:vertAlign w:val="superscript"/>
              </w:rPr>
              <w:t>3</w:t>
            </w:r>
          </w:p>
        </w:tc>
        <w:tc>
          <w:tcPr>
            <w:tcW w:w="1400" w:type="dxa"/>
            <w:vAlign w:val="bottom"/>
          </w:tcPr>
          <w:p>
            <w:pPr>
              <w:jc w:val="center"/>
              <w:ind w:right="8"/>
              <w:spacing w:after="0"/>
              <w:rPr>
                <w:sz w:val="20"/>
                <w:szCs w:val="20"/>
                <w:color w:val="auto"/>
              </w:rPr>
            </w:pPr>
            <w:r>
              <w:rPr>
                <w:rFonts w:ascii="Arial" w:cs="Arial" w:eastAsia="Arial" w:hAnsi="Arial"/>
                <w:sz w:val="14"/>
                <w:szCs w:val="14"/>
                <w:color w:val="auto"/>
              </w:rPr>
              <w:t>Voted "For"</w:t>
            </w: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005388"/>
              </w:rPr>
              <w:t>FOR</w:t>
            </w:r>
          </w:p>
        </w:tc>
        <w:tc>
          <w:tcPr>
            <w:tcW w:w="1220" w:type="dxa"/>
            <w:vAlign w:val="bottom"/>
          </w:tcPr>
          <w:p>
            <w:pPr>
              <w:jc w:val="center"/>
              <w:ind w:left="28"/>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26"/>
        </w:trPr>
        <w:tc>
          <w:tcPr>
            <w:tcW w:w="1580" w:type="dxa"/>
            <w:vAlign w:val="bottom"/>
          </w:tcPr>
          <w:p>
            <w:pPr>
              <w:jc w:val="center"/>
              <w:spacing w:after="0" w:line="127" w:lineRule="exact"/>
              <w:rPr>
                <w:sz w:val="20"/>
                <w:szCs w:val="20"/>
                <w:color w:val="auto"/>
              </w:rPr>
            </w:pPr>
            <w:r>
              <w:rPr>
                <w:rFonts w:ascii="Arial" w:cs="Arial" w:eastAsia="Arial" w:hAnsi="Arial"/>
                <w:sz w:val="14"/>
                <w:szCs w:val="14"/>
                <w:color w:val="auto"/>
              </w:rPr>
              <w:t>by proxy and entitled to</w:t>
            </w:r>
          </w:p>
        </w:tc>
        <w:tc>
          <w:tcPr>
            <w:tcW w:w="1480" w:type="dxa"/>
            <w:vAlign w:val="bottom"/>
          </w:tcPr>
          <w:p>
            <w:pPr>
              <w:jc w:val="center"/>
              <w:spacing w:after="0" w:line="127" w:lineRule="exact"/>
              <w:rPr>
                <w:sz w:val="20"/>
                <w:szCs w:val="20"/>
                <w:color w:val="auto"/>
              </w:rPr>
            </w:pPr>
            <w:r>
              <w:rPr>
                <w:rFonts w:ascii="Arial" w:cs="Arial" w:eastAsia="Arial" w:hAnsi="Arial"/>
                <w:sz w:val="14"/>
                <w:szCs w:val="14"/>
                <w:color w:val="auto"/>
              </w:rPr>
              <w:t>"Against"</w:t>
            </w:r>
          </w:p>
        </w:tc>
        <w:tc>
          <w:tcPr>
            <w:tcW w:w="1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82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4"/>
          <w:szCs w:val="14"/>
          <w:color w:val="auto"/>
        </w:rPr>
        <w:t>vote</w:t>
      </w:r>
    </w:p>
    <w:p>
      <w:pPr>
        <w:spacing w:after="0" w:line="339" w:lineRule="exact"/>
        <w:rPr>
          <w:sz w:val="20"/>
          <w:szCs w:val="20"/>
          <w:color w:val="auto"/>
        </w:rPr>
      </w:pPr>
    </w:p>
    <w:p>
      <w:pPr>
        <w:sectPr>
          <w:pgSz w:w="11900" w:h="16838" w:orient="portrait"/>
          <w:cols w:equalWidth="0" w:num="2">
            <w:col w:w="2280" w:space="60"/>
            <w:col w:w="8900"/>
          </w:cols>
          <w:pgMar w:left="320" w:top="130"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6D6D6D"/>
        </w:rPr>
        <w:t>Abstentions and broker non-votes are included for purposes of determining whether a quorum is present; however, abstentions are considered "entitled to vote" whereas broker non-votes are not.</w:t>
      </w:r>
    </w:p>
    <w:p>
      <w:pPr>
        <w:spacing w:after="0" w:line="53" w:lineRule="exact"/>
        <w:rPr>
          <w:sz w:val="20"/>
          <w:szCs w:val="20"/>
          <w:color w:val="auto"/>
        </w:rPr>
      </w:pPr>
    </w:p>
    <w:p>
      <w:pPr>
        <w:ind w:left="260" w:right="20" w:hanging="252"/>
        <w:spacing w:after="0" w:line="264" w:lineRule="auto"/>
        <w:tabs>
          <w:tab w:leader="none" w:pos="257" w:val="left"/>
        </w:tabs>
        <w:numPr>
          <w:ilvl w:val="0"/>
          <w:numId w:val="12"/>
        </w:numPr>
        <w:rPr>
          <w:rFonts w:ascii="Arial" w:cs="Arial" w:eastAsia="Arial" w:hAnsi="Arial"/>
          <w:sz w:val="13"/>
          <w:szCs w:val="13"/>
          <w:color w:val="6D6D6D"/>
        </w:rPr>
      </w:pPr>
      <w:r>
        <w:rPr>
          <w:rFonts w:ascii="Arial" w:cs="Arial" w:eastAsia="Arial" w:hAnsi="Arial"/>
          <w:sz w:val="13"/>
          <w:szCs w:val="13"/>
          <w:color w:val="6D6D6D"/>
        </w:rPr>
        <w:t>If you complete and return your proxy card properly, but do not provide instructions on your proxy card as to how to vote your shares, your shares will be voted in accordance with the judgment of the individuals named as proxies on the proxy card as to any other matter properly brought before the Annual Meeting.</w:t>
      </w:r>
    </w:p>
    <w:p>
      <w:pPr>
        <w:spacing w:after="0" w:line="22" w:lineRule="exact"/>
        <w:rPr>
          <w:rFonts w:ascii="Arial" w:cs="Arial" w:eastAsia="Arial" w:hAnsi="Arial"/>
          <w:sz w:val="13"/>
          <w:szCs w:val="13"/>
          <w:color w:val="6D6D6D"/>
        </w:rPr>
      </w:pPr>
    </w:p>
    <w:p>
      <w:pPr>
        <w:ind w:left="240" w:hanging="232"/>
        <w:spacing w:after="0"/>
        <w:tabs>
          <w:tab w:leader="none" w:pos="240" w:val="left"/>
        </w:tabs>
        <w:numPr>
          <w:ilvl w:val="0"/>
          <w:numId w:val="12"/>
        </w:numPr>
        <w:rPr>
          <w:rFonts w:ascii="Arial" w:cs="Arial" w:eastAsia="Arial" w:hAnsi="Arial"/>
          <w:sz w:val="13"/>
          <w:szCs w:val="13"/>
          <w:color w:val="6D6D6D"/>
        </w:rPr>
      </w:pPr>
      <w:r>
        <w:rPr>
          <w:rFonts w:ascii="Arial" w:cs="Arial" w:eastAsia="Arial" w:hAnsi="Arial"/>
          <w:sz w:val="13"/>
          <w:szCs w:val="13"/>
          <w:color w:val="6D6D6D"/>
        </w:rPr>
        <w:t>The bank, broker or other holder of record is permitted to vote in its discretion with respect to Proposal 3 despite not having received instructions from the beneficial owner.</w:t>
      </w:r>
    </w:p>
    <w:p>
      <w:pPr>
        <w:spacing w:after="0" w:line="3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 quorum is necessary for us to conduct the business of our Annual Meeting. A quorum means that holders of at least a majority of the shares entitled to vote must be present at the meeting, either in person or represented by proxy. Your shares are counted as present at the Annual Meeting if (i) you attend our Annual Meeting, or (ii) if you properly complete and return a proxy card or follow the voting instructions provided by your bank, broker or other holder of record, as applicable.</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table above summarizes the required vote for each proposal at the Annual Meeting. The table also shows the effect on the outcome of the vote in the following cases: (i) abstentions; (ii) uninstructed shares held by brokers (which result in broker non-votes when a beneficial owner of shares held in “street name” does not provide voting instructions and, as a result, the bank, broker or other holder of record is prohibited from voting those shares on certain proposals); and (iii) signed but unmarked proxy cards.</w:t>
      </w:r>
    </w:p>
    <w:p>
      <w:pPr>
        <w:spacing w:after="0" w:line="331"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VIRTUAL ANNUAL MEETING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5161280</wp:posOffset>
            </wp:positionH>
            <wp:positionV relativeFrom="paragraph">
              <wp:posOffset>96520</wp:posOffset>
            </wp:positionV>
            <wp:extent cx="33655" cy="814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81407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96520</wp:posOffset>
            </wp:positionV>
            <wp:extent cx="34290" cy="814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1407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52"/>
        </w:trPr>
        <w:tc>
          <w:tcPr>
            <w:tcW w:w="1120" w:type="dxa"/>
            <w:vAlign w:val="bottom"/>
            <w:shd w:val="clear" w:color="auto" w:fill="F6F5F7"/>
          </w:tcPr>
          <w:p>
            <w:pPr>
              <w:spacing w:after="0"/>
              <w:rPr>
                <w:sz w:val="24"/>
                <w:szCs w:val="24"/>
                <w:color w:val="auto"/>
              </w:rPr>
            </w:pPr>
          </w:p>
        </w:tc>
        <w:tc>
          <w:tcPr>
            <w:tcW w:w="2540" w:type="dxa"/>
            <w:vAlign w:val="bottom"/>
            <w:shd w:val="clear" w:color="auto" w:fill="F6F5F7"/>
          </w:tcPr>
          <w:p>
            <w:pPr>
              <w:ind w:left="20"/>
              <w:spacing w:after="0"/>
              <w:rPr>
                <w:sz w:val="20"/>
                <w:szCs w:val="20"/>
                <w:color w:val="auto"/>
              </w:rPr>
            </w:pPr>
            <w:r>
              <w:rPr>
                <w:rFonts w:ascii="Arial" w:cs="Arial" w:eastAsia="Arial" w:hAnsi="Arial"/>
                <w:sz w:val="16"/>
                <w:szCs w:val="16"/>
                <w:color w:val="0C2940"/>
              </w:rPr>
              <w:t>DATE AND TIME:</w:t>
            </w:r>
          </w:p>
        </w:tc>
        <w:tc>
          <w:tcPr>
            <w:tcW w:w="4840" w:type="dxa"/>
            <w:vAlign w:val="bottom"/>
            <w:vMerge w:val="restart"/>
            <w:shd w:val="clear" w:color="auto" w:fill="F6F5F7"/>
          </w:tcPr>
          <w:p>
            <w:pPr>
              <w:ind w:left="960"/>
              <w:spacing w:after="0"/>
              <w:rPr>
                <w:sz w:val="20"/>
                <w:szCs w:val="20"/>
                <w:color w:val="auto"/>
              </w:rPr>
            </w:pPr>
            <w:r>
              <w:rPr>
                <w:rFonts w:ascii="Arial" w:cs="Arial" w:eastAsia="Arial" w:hAnsi="Arial"/>
                <w:sz w:val="16"/>
                <w:szCs w:val="16"/>
                <w:color w:val="0C2940"/>
              </w:rPr>
              <w:t>LOCATION:</w:t>
            </w:r>
          </w:p>
        </w:tc>
        <w:tc>
          <w:tcPr>
            <w:tcW w:w="2740" w:type="dxa"/>
            <w:vAlign w:val="bottom"/>
            <w:vMerge w:val="restart"/>
            <w:shd w:val="clear" w:color="auto" w:fill="F6F5F7"/>
          </w:tcPr>
          <w:p>
            <w:pPr>
              <w:ind w:left="820"/>
              <w:spacing w:after="0"/>
              <w:rPr>
                <w:sz w:val="20"/>
                <w:szCs w:val="20"/>
                <w:color w:val="auto"/>
              </w:rPr>
            </w:pPr>
            <w:r>
              <w:rPr>
                <w:rFonts w:ascii="Arial" w:cs="Arial" w:eastAsia="Arial" w:hAnsi="Arial"/>
                <w:sz w:val="16"/>
                <w:szCs w:val="16"/>
                <w:color w:val="0C2940"/>
              </w:rPr>
              <w:t>RECORD DATE:</w:t>
            </w:r>
          </w:p>
        </w:tc>
        <w:tc>
          <w:tcPr>
            <w:tcW w:w="0" w:type="dxa"/>
            <w:vAlign w:val="bottom"/>
          </w:tcPr>
          <w:p>
            <w:pPr>
              <w:spacing w:after="0"/>
              <w:rPr>
                <w:sz w:val="1"/>
                <w:szCs w:val="1"/>
                <w:color w:val="auto"/>
              </w:rPr>
            </w:pPr>
          </w:p>
        </w:tc>
      </w:tr>
      <w:tr>
        <w:trPr>
          <w:trHeight w:val="135"/>
        </w:trPr>
        <w:tc>
          <w:tcPr>
            <w:tcW w:w="1120" w:type="dxa"/>
            <w:vAlign w:val="bottom"/>
            <w:shd w:val="clear" w:color="auto" w:fill="F6F5F7"/>
          </w:tcPr>
          <w:p>
            <w:pPr>
              <w:spacing w:after="0"/>
              <w:rPr>
                <w:sz w:val="11"/>
                <w:szCs w:val="11"/>
                <w:color w:val="auto"/>
              </w:rPr>
            </w:pPr>
          </w:p>
        </w:tc>
        <w:tc>
          <w:tcPr>
            <w:tcW w:w="2540" w:type="dxa"/>
            <w:vAlign w:val="bottom"/>
            <w:vMerge w:val="restart"/>
            <w:shd w:val="clear" w:color="auto" w:fill="F6F5F7"/>
          </w:tcPr>
          <w:p>
            <w:pPr>
              <w:ind w:left="20"/>
              <w:spacing w:after="0"/>
              <w:rPr>
                <w:sz w:val="20"/>
                <w:szCs w:val="20"/>
                <w:color w:val="auto"/>
              </w:rPr>
            </w:pPr>
            <w:r>
              <w:rPr>
                <w:rFonts w:ascii="Arial" w:cs="Arial" w:eastAsia="Arial" w:hAnsi="Arial"/>
                <w:sz w:val="14"/>
                <w:szCs w:val="14"/>
                <w:color w:val="auto"/>
              </w:rPr>
              <w:t>Thursday, May 14, 2026</w:t>
            </w:r>
          </w:p>
        </w:tc>
        <w:tc>
          <w:tcPr>
            <w:tcW w:w="4840" w:type="dxa"/>
            <w:vAlign w:val="bottom"/>
            <w:vMerge w:val="continue"/>
            <w:shd w:val="clear" w:color="auto" w:fill="F6F5F7"/>
          </w:tcPr>
          <w:p>
            <w:pPr>
              <w:spacing w:after="0"/>
              <w:rPr>
                <w:sz w:val="11"/>
                <w:szCs w:val="11"/>
                <w:color w:val="auto"/>
              </w:rPr>
            </w:pPr>
          </w:p>
        </w:tc>
        <w:tc>
          <w:tcPr>
            <w:tcW w:w="2740" w:type="dxa"/>
            <w:vAlign w:val="bottom"/>
            <w:vMerge w:val="continue"/>
            <w:shd w:val="clear" w:color="auto" w:fill="F6F5F7"/>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120" w:type="dxa"/>
            <w:vAlign w:val="bottom"/>
            <w:shd w:val="clear" w:color="auto" w:fill="F6F5F7"/>
          </w:tcPr>
          <w:p>
            <w:pPr>
              <w:spacing w:after="0"/>
              <w:rPr>
                <w:sz w:val="7"/>
                <w:szCs w:val="7"/>
                <w:color w:val="auto"/>
              </w:rPr>
            </w:pPr>
          </w:p>
        </w:tc>
        <w:tc>
          <w:tcPr>
            <w:tcW w:w="2540" w:type="dxa"/>
            <w:vAlign w:val="bottom"/>
            <w:vMerge w:val="continue"/>
            <w:shd w:val="clear" w:color="auto" w:fill="F6F5F7"/>
          </w:tcPr>
          <w:p>
            <w:pPr>
              <w:spacing w:after="0"/>
              <w:rPr>
                <w:sz w:val="7"/>
                <w:szCs w:val="7"/>
                <w:color w:val="auto"/>
              </w:rPr>
            </w:pPr>
          </w:p>
        </w:tc>
        <w:tc>
          <w:tcPr>
            <w:tcW w:w="4840" w:type="dxa"/>
            <w:vAlign w:val="bottom"/>
            <w:vMerge w:val="restart"/>
            <w:shd w:val="clear" w:color="auto" w:fill="F6F5F7"/>
          </w:tcPr>
          <w:p>
            <w:pPr>
              <w:ind w:left="960"/>
              <w:spacing w:after="0"/>
              <w:rPr>
                <w:sz w:val="20"/>
                <w:szCs w:val="20"/>
                <w:color w:val="auto"/>
              </w:rPr>
            </w:pPr>
            <w:r>
              <w:rPr>
                <w:rFonts w:ascii="Arial" w:cs="Arial" w:eastAsia="Arial" w:hAnsi="Arial"/>
                <w:sz w:val="14"/>
                <w:szCs w:val="14"/>
                <w:color w:val="auto"/>
              </w:rPr>
              <w:t>www.virtualshareholdermeeting.com/NMIH2026</w:t>
            </w:r>
          </w:p>
        </w:tc>
        <w:tc>
          <w:tcPr>
            <w:tcW w:w="2740" w:type="dxa"/>
            <w:vAlign w:val="bottom"/>
            <w:vMerge w:val="restart"/>
            <w:shd w:val="clear" w:color="auto" w:fill="F6F5F7"/>
          </w:tcPr>
          <w:p>
            <w:pPr>
              <w:ind w:left="820"/>
              <w:spacing w:after="0"/>
              <w:rPr>
                <w:sz w:val="20"/>
                <w:szCs w:val="20"/>
                <w:color w:val="auto"/>
              </w:rPr>
            </w:pPr>
            <w:r>
              <w:rPr>
                <w:rFonts w:ascii="Arial" w:cs="Arial" w:eastAsia="Arial" w:hAnsi="Arial"/>
                <w:sz w:val="14"/>
                <w:szCs w:val="14"/>
                <w:color w:val="auto"/>
              </w:rPr>
              <w:t>March 16, 2026</w:t>
            </w:r>
          </w:p>
        </w:tc>
        <w:tc>
          <w:tcPr>
            <w:tcW w:w="0" w:type="dxa"/>
            <w:vAlign w:val="bottom"/>
          </w:tcPr>
          <w:p>
            <w:pPr>
              <w:spacing w:after="0"/>
              <w:rPr>
                <w:sz w:val="1"/>
                <w:szCs w:val="1"/>
                <w:color w:val="auto"/>
              </w:rPr>
            </w:pPr>
          </w:p>
        </w:tc>
      </w:tr>
      <w:tr>
        <w:trPr>
          <w:trHeight w:val="135"/>
        </w:trPr>
        <w:tc>
          <w:tcPr>
            <w:tcW w:w="1120" w:type="dxa"/>
            <w:vAlign w:val="bottom"/>
            <w:shd w:val="clear" w:color="auto" w:fill="F6F5F7"/>
          </w:tcPr>
          <w:p>
            <w:pPr>
              <w:spacing w:after="0"/>
              <w:rPr>
                <w:sz w:val="11"/>
                <w:szCs w:val="11"/>
                <w:color w:val="auto"/>
              </w:rPr>
            </w:pPr>
          </w:p>
        </w:tc>
        <w:tc>
          <w:tcPr>
            <w:tcW w:w="2540" w:type="dxa"/>
            <w:vAlign w:val="bottom"/>
            <w:vMerge w:val="restart"/>
            <w:shd w:val="clear" w:color="auto" w:fill="F6F5F7"/>
          </w:tcPr>
          <w:p>
            <w:pPr>
              <w:ind w:left="20"/>
              <w:spacing w:after="0"/>
              <w:rPr>
                <w:sz w:val="20"/>
                <w:szCs w:val="20"/>
                <w:color w:val="auto"/>
              </w:rPr>
            </w:pPr>
            <w:r>
              <w:rPr>
                <w:rFonts w:ascii="Arial" w:cs="Arial" w:eastAsia="Arial" w:hAnsi="Arial"/>
                <w:sz w:val="14"/>
                <w:szCs w:val="14"/>
                <w:color w:val="auto"/>
              </w:rPr>
              <w:t>8:30 a.m. Pacific Time</w:t>
            </w:r>
          </w:p>
        </w:tc>
        <w:tc>
          <w:tcPr>
            <w:tcW w:w="4840" w:type="dxa"/>
            <w:vAlign w:val="bottom"/>
            <w:vMerge w:val="continue"/>
            <w:shd w:val="clear" w:color="auto" w:fill="F6F5F7"/>
          </w:tcPr>
          <w:p>
            <w:pPr>
              <w:spacing w:after="0"/>
              <w:rPr>
                <w:sz w:val="11"/>
                <w:szCs w:val="11"/>
                <w:color w:val="auto"/>
              </w:rPr>
            </w:pPr>
          </w:p>
        </w:tc>
        <w:tc>
          <w:tcPr>
            <w:tcW w:w="2740" w:type="dxa"/>
            <w:vAlign w:val="bottom"/>
            <w:vMerge w:val="continue"/>
            <w:shd w:val="clear" w:color="auto" w:fill="F6F5F7"/>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120" w:type="dxa"/>
            <w:vAlign w:val="bottom"/>
            <w:shd w:val="clear" w:color="auto" w:fill="F6F5F7"/>
          </w:tcPr>
          <w:p>
            <w:pPr>
              <w:spacing w:after="0"/>
              <w:rPr>
                <w:sz w:val="8"/>
                <w:szCs w:val="8"/>
                <w:color w:val="auto"/>
              </w:rPr>
            </w:pPr>
          </w:p>
        </w:tc>
        <w:tc>
          <w:tcPr>
            <w:tcW w:w="2540" w:type="dxa"/>
            <w:vAlign w:val="bottom"/>
            <w:vMerge w:val="continue"/>
            <w:shd w:val="clear" w:color="auto" w:fill="F6F5F7"/>
          </w:tcPr>
          <w:p>
            <w:pPr>
              <w:spacing w:after="0"/>
              <w:rPr>
                <w:sz w:val="8"/>
                <w:szCs w:val="8"/>
                <w:color w:val="auto"/>
              </w:rPr>
            </w:pPr>
          </w:p>
        </w:tc>
        <w:tc>
          <w:tcPr>
            <w:tcW w:w="4840" w:type="dxa"/>
            <w:vAlign w:val="bottom"/>
            <w:shd w:val="clear" w:color="auto" w:fill="F6F5F7"/>
          </w:tcPr>
          <w:p>
            <w:pPr>
              <w:spacing w:after="0"/>
              <w:rPr>
                <w:sz w:val="8"/>
                <w:szCs w:val="8"/>
                <w:color w:val="auto"/>
              </w:rPr>
            </w:pPr>
          </w:p>
        </w:tc>
        <w:tc>
          <w:tcPr>
            <w:tcW w:w="2740" w:type="dxa"/>
            <w:vAlign w:val="bottom"/>
            <w:shd w:val="clear" w:color="auto" w:fill="F6F5F7"/>
          </w:tcPr>
          <w:p>
            <w:pPr>
              <w:spacing w:after="0"/>
              <w:rPr>
                <w:sz w:val="8"/>
                <w:szCs w:val="8"/>
                <w:color w:val="auto"/>
              </w:rPr>
            </w:pPr>
          </w:p>
        </w:tc>
        <w:tc>
          <w:tcPr>
            <w:tcW w:w="0" w:type="dxa"/>
            <w:vAlign w:val="bottom"/>
          </w:tcPr>
          <w:p>
            <w:pPr>
              <w:spacing w:after="0"/>
              <w:rPr>
                <w:sz w:val="1"/>
                <w:szCs w:val="1"/>
                <w:color w:val="auto"/>
              </w:rPr>
            </w:pPr>
          </w:p>
        </w:tc>
      </w:tr>
      <w:tr>
        <w:trPr>
          <w:trHeight w:val="238"/>
        </w:trPr>
        <w:tc>
          <w:tcPr>
            <w:tcW w:w="1120" w:type="dxa"/>
            <w:vAlign w:val="bottom"/>
            <w:shd w:val="clear" w:color="auto" w:fill="F6F5F7"/>
          </w:tcPr>
          <w:p>
            <w:pPr>
              <w:spacing w:after="0"/>
              <w:rPr>
                <w:sz w:val="20"/>
                <w:szCs w:val="20"/>
                <w:color w:val="auto"/>
              </w:rPr>
            </w:pPr>
          </w:p>
        </w:tc>
        <w:tc>
          <w:tcPr>
            <w:tcW w:w="2540" w:type="dxa"/>
            <w:vAlign w:val="bottom"/>
            <w:shd w:val="clear" w:color="auto" w:fill="F6F5F7"/>
          </w:tcPr>
          <w:p>
            <w:pPr>
              <w:spacing w:after="0"/>
              <w:rPr>
                <w:sz w:val="20"/>
                <w:szCs w:val="20"/>
                <w:color w:val="auto"/>
              </w:rPr>
            </w:pPr>
          </w:p>
        </w:tc>
        <w:tc>
          <w:tcPr>
            <w:tcW w:w="4840" w:type="dxa"/>
            <w:vAlign w:val="bottom"/>
            <w:shd w:val="clear" w:color="auto" w:fill="F6F5F7"/>
          </w:tcPr>
          <w:p>
            <w:pPr>
              <w:spacing w:after="0"/>
              <w:rPr>
                <w:sz w:val="20"/>
                <w:szCs w:val="20"/>
                <w:color w:val="auto"/>
              </w:rPr>
            </w:pPr>
          </w:p>
        </w:tc>
        <w:tc>
          <w:tcPr>
            <w:tcW w:w="2740" w:type="dxa"/>
            <w:vAlign w:val="bottom"/>
            <w:shd w:val="clear" w:color="auto" w:fill="F6F5F7"/>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-591185</wp:posOffset>
            </wp:positionV>
            <wp:extent cx="2997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-574040</wp:posOffset>
            </wp:positionV>
            <wp:extent cx="300355" cy="3003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0355" cy="3003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-574040</wp:posOffset>
            </wp:positionV>
            <wp:extent cx="299720"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9720" cy="3003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HOW TO VOTE IN ADVANCE OF THE ANNUAL MEETING</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If you are a stockholder of record, you may cast your vote in advance of the meeting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4775835</wp:posOffset>
            </wp:positionH>
            <wp:positionV relativeFrom="paragraph">
              <wp:posOffset>85090</wp:posOffset>
            </wp:positionV>
            <wp:extent cx="33655" cy="1019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101981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85090</wp:posOffset>
            </wp:positionV>
            <wp:extent cx="34290" cy="1019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101981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183515</wp:posOffset>
            </wp:positionV>
            <wp:extent cx="2997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183515</wp:posOffset>
            </wp:positionV>
            <wp:extent cx="299720"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234950</wp:posOffset>
            </wp:positionV>
            <wp:extent cx="342900" cy="248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0" cy="24892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6"/>
          <w:szCs w:val="16"/>
          <w:color w:val="0C2940"/>
        </w:rPr>
        <w:t>ONLINE:</w:t>
      </w:r>
    </w:p>
    <w:p>
      <w:pPr>
        <w:spacing w:after="0" w:line="77" w:lineRule="exact"/>
        <w:rPr>
          <w:sz w:val="20"/>
          <w:szCs w:val="20"/>
          <w:color w:val="auto"/>
        </w:rPr>
      </w:pPr>
    </w:p>
    <w:p>
      <w:pPr>
        <w:ind w:left="20"/>
        <w:spacing w:after="0" w:line="285" w:lineRule="auto"/>
        <w:rPr>
          <w:sz w:val="20"/>
          <w:szCs w:val="20"/>
          <w:color w:val="auto"/>
        </w:rPr>
      </w:pPr>
      <w:r>
        <w:rPr>
          <w:rFonts w:ascii="Arial" w:cs="Arial" w:eastAsia="Arial" w:hAnsi="Arial"/>
          <w:sz w:val="14"/>
          <w:szCs w:val="14"/>
          <w:color w:val="auto"/>
        </w:rPr>
        <w:t xml:space="preserve">Visit </w:t>
      </w:r>
      <w:r>
        <w:rPr>
          <w:rFonts w:ascii="Arial" w:cs="Arial" w:eastAsia="Arial" w:hAnsi="Arial"/>
          <w:sz w:val="14"/>
          <w:szCs w:val="14"/>
          <w:b w:val="1"/>
          <w:bCs w:val="1"/>
          <w:i w:val="1"/>
          <w:iCs w:val="1"/>
          <w:color w:val="auto"/>
        </w:rPr>
        <w:t>www.proxyvote.com</w:t>
      </w:r>
      <w:r>
        <w:rPr>
          <w:rFonts w:ascii="Arial" w:cs="Arial" w:eastAsia="Arial" w:hAnsi="Arial"/>
          <w:sz w:val="14"/>
          <w:szCs w:val="14"/>
          <w:color w:val="auto"/>
        </w:rPr>
        <w:t xml:space="preserve"> and follow the voting instructions on the website.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0C2940"/>
        </w:rPr>
        <w:t>PHONE:</w:t>
      </w:r>
    </w:p>
    <w:p>
      <w:pPr>
        <w:spacing w:after="0" w:line="77"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 xml:space="preserve">Call </w:t>
      </w:r>
      <w:r>
        <w:rPr>
          <w:rFonts w:ascii="Arial" w:cs="Arial" w:eastAsia="Arial" w:hAnsi="Arial"/>
          <w:sz w:val="14"/>
          <w:szCs w:val="14"/>
          <w:b w:val="1"/>
          <w:bCs w:val="1"/>
          <w:color w:val="auto"/>
        </w:rPr>
        <w:t>1-800-690-6903</w:t>
      </w:r>
      <w:r>
        <w:rPr>
          <w:rFonts w:ascii="Arial" w:cs="Arial" w:eastAsia="Arial" w:hAnsi="Arial"/>
          <w:sz w:val="14"/>
          <w:szCs w:val="14"/>
          <w:color w:val="auto"/>
        </w:rPr>
        <w:t xml:space="preserve"> and follow the voting instructions provided in the recorded message.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0C2940"/>
        </w:rPr>
        <w:t>MAIL</w:t>
      </w:r>
    </w:p>
    <w:p>
      <w:pPr>
        <w:spacing w:after="0" w:line="77" w:lineRule="exact"/>
        <w:rPr>
          <w:sz w:val="20"/>
          <w:szCs w:val="20"/>
          <w:color w:val="auto"/>
        </w:rPr>
      </w:pPr>
    </w:p>
    <w:p>
      <w:pPr>
        <w:ind w:right="60"/>
        <w:spacing w:after="0" w:line="285" w:lineRule="auto"/>
        <w:rPr>
          <w:sz w:val="20"/>
          <w:szCs w:val="20"/>
          <w:color w:val="auto"/>
        </w:rPr>
      </w:pPr>
      <w:r>
        <w:rPr>
          <w:rFonts w:ascii="Arial" w:cs="Arial" w:eastAsia="Arial" w:hAnsi="Arial"/>
          <w:sz w:val="14"/>
          <w:szCs w:val="14"/>
          <w:color w:val="auto"/>
        </w:rPr>
        <w:t>Return your completed and signed proxy card if you request a printed set of the proxy materials.</w:t>
      </w:r>
    </w:p>
    <w:p>
      <w:pPr>
        <w:spacing w:after="0" w:line="200" w:lineRule="exact"/>
        <w:rPr>
          <w:sz w:val="20"/>
          <w:szCs w:val="20"/>
          <w:color w:val="auto"/>
        </w:rPr>
      </w:pPr>
    </w:p>
    <w:p>
      <w:pPr>
        <w:sectPr>
          <w:pgSz w:w="11900" w:h="16838" w:orient="portrait"/>
          <w:cols w:equalWidth="0" w:num="3">
            <w:col w:w="3400" w:space="520"/>
            <w:col w:w="3360" w:space="520"/>
            <w:col w:w="3440"/>
          </w:cols>
          <w:pgMar w:left="320" w:top="130" w:right="339" w:bottom="1440" w:gutter="0" w:footer="0" w:header="0"/>
          <w:type w:val="continuous"/>
        </w:sectPr>
      </w:pP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If you were a stockholder on the record date, you may vote your shares by visiting the online voting website at </w:t>
      </w:r>
      <w:r>
        <w:rPr>
          <w:rFonts w:ascii="Arial" w:cs="Arial" w:eastAsia="Arial" w:hAnsi="Arial"/>
          <w:sz w:val="16"/>
          <w:szCs w:val="16"/>
          <w:b w:val="1"/>
          <w:bCs w:val="1"/>
          <w:i w:val="1"/>
          <w:iCs w:val="1"/>
          <w:color w:val="0C2940"/>
        </w:rPr>
        <w:t>www.proxyvote.com</w:t>
      </w:r>
      <w:r>
        <w:rPr>
          <w:rFonts w:ascii="Arial" w:cs="Arial" w:eastAsia="Arial" w:hAnsi="Arial"/>
          <w:sz w:val="16"/>
          <w:szCs w:val="16"/>
          <w:color w:val="auto"/>
        </w:rPr>
        <w:t xml:space="preserve"> and following the voting instructions there. You may also vote your shares by calling </w:t>
      </w:r>
      <w:r>
        <w:rPr>
          <w:rFonts w:ascii="Arial" w:cs="Arial" w:eastAsia="Arial" w:hAnsi="Arial"/>
          <w:sz w:val="16"/>
          <w:szCs w:val="16"/>
          <w:b w:val="1"/>
          <w:bCs w:val="1"/>
          <w:i w:val="1"/>
          <w:iCs w:val="1"/>
          <w:color w:val="0C2940"/>
        </w:rPr>
        <w:t>1-800-690-690</w:t>
      </w:r>
      <w:r>
        <w:rPr>
          <w:rFonts w:ascii="Arial" w:cs="Arial" w:eastAsia="Arial" w:hAnsi="Arial"/>
          <w:sz w:val="16"/>
          <w:szCs w:val="16"/>
          <w:b w:val="1"/>
          <w:bCs w:val="1"/>
          <w:i w:val="1"/>
          <w:iCs w:val="1"/>
          <w:color w:val="auto"/>
        </w:rPr>
        <w:t>3</w:t>
      </w:r>
      <w:r>
        <w:rPr>
          <w:rFonts w:ascii="Arial" w:cs="Arial" w:eastAsia="Arial" w:hAnsi="Arial"/>
          <w:sz w:val="16"/>
          <w:szCs w:val="16"/>
          <w:color w:val="auto"/>
        </w:rPr>
        <w:t xml:space="preserve"> and following the voting instructions read to you by the automated operator. Upon visiting the meeting website or calling the call-in telephone line, you will be prompted to enter your 16-digit Control Number provided to you on your Notice of Internet Availability of Proxy Materials (Availability Notice) or on your proxy card if you requested to receive materials by mail. Your unique Control Number allows us to identify you as a stockholder and will enable you to securely cast votes. Internet and telephone voting facilities for stockholders of record will be available 24 hours a day beginning at 12:01 a.m. Eastern Time on March 26, 2026. Internet and telephone voting will close promptly at 11:59 p.m. Eastern Time, on Wednesday, May 13, 2026. After this, you will only be able to vote by attending the Annual Meeting via live audio webcast, as described in "</w:t>
      </w:r>
      <w:r>
        <w:rPr>
          <w:rFonts w:ascii="Arial" w:cs="Arial" w:eastAsia="Arial" w:hAnsi="Arial"/>
          <w:sz w:val="16"/>
          <w:szCs w:val="16"/>
          <w:i w:val="1"/>
          <w:iCs w:val="1"/>
          <w:color w:val="auto"/>
        </w:rPr>
        <w:t>How to Participate and Vote in the Annual Meeting</w:t>
      </w:r>
      <w:r>
        <w:rPr>
          <w:rFonts w:ascii="Arial" w:cs="Arial" w:eastAsia="Arial" w:hAnsi="Arial"/>
          <w:sz w:val="16"/>
          <w:szCs w:val="16"/>
          <w:color w:val="auto"/>
        </w:rPr>
        <w:t>" below. After voting is closed during the Annual Meeting, you will no longer have the ability to vote your shares.</w:t>
      </w:r>
    </w:p>
    <w:p>
      <w:pPr>
        <w:spacing w:after="0" w:line="2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You will not receive a printed copy of the proxy materials in the mail unless you request a copy. All stockholders of record will have the ability to access the proxy materials on a website referred to in the Availability Notice and may request a printed set of the proxy materials free of charge by mail or electronically from such website. If you would like to receive a printed or electronic copy of our proxy materials, you should follow the instructions for requesting such materials included in the Availability Notice. If you received your proxy materials by mail or if you request paper copies of the proxy materials, you can vote by mail by marking, dating, signing and returning the proxy card in the postage-paid envelope. Further instructions on how to vote by mail are included on the proxy card.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HOW TO PARTICIPATE AND VOTE IN THE ANNUAL MEETING</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were a stockholder on the record date or hold a valid proxy for the Annual Meeting, in addition to being able to cast your vote in advance of the Annual Meeting (as described above in "</w:t>
      </w:r>
      <w:r>
        <w:rPr>
          <w:rFonts w:ascii="Arial" w:cs="Arial" w:eastAsia="Arial" w:hAnsi="Arial"/>
          <w:sz w:val="16"/>
          <w:szCs w:val="16"/>
          <w:i w:val="1"/>
          <w:iCs w:val="1"/>
          <w:color w:val="auto"/>
        </w:rPr>
        <w:t>How to Vote in Advance of the Annual Meeting</w:t>
      </w:r>
      <w:r>
        <w:rPr>
          <w:rFonts w:ascii="Arial" w:cs="Arial" w:eastAsia="Arial" w:hAnsi="Arial"/>
          <w:sz w:val="16"/>
          <w:szCs w:val="16"/>
          <w:color w:val="auto"/>
        </w:rPr>
        <w:t>"), you may also attend the Annual Meeting via live audio webcast and vote your shares in person.</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As permitted by Delaware law and our Fifth Amended and Restated Bylaws (the Bylaws), our Annual Meeting will be held solely as a virtual meeting live via the internet, and not at any physical location. You will be able to attend the Annual Meeting via live audio webcast by visiting the Company's virtual meeting website at </w:t>
      </w:r>
      <w:r>
        <w:rPr>
          <w:rFonts w:ascii="Arial" w:cs="Arial" w:eastAsia="Arial" w:hAnsi="Arial"/>
          <w:sz w:val="16"/>
          <w:szCs w:val="16"/>
          <w:b w:val="1"/>
          <w:bCs w:val="1"/>
          <w:i w:val="1"/>
          <w:iCs w:val="1"/>
          <w:color w:val="auto"/>
        </w:rPr>
        <w:t>www.virtualshareholdermeeting.com/NMIH2026</w:t>
      </w:r>
      <w:r>
        <w:rPr>
          <w:rFonts w:ascii="Arial" w:cs="Arial" w:eastAsia="Arial" w:hAnsi="Arial"/>
          <w:sz w:val="16"/>
          <w:szCs w:val="16"/>
          <w:color w:val="auto"/>
        </w:rPr>
        <w:t xml:space="preserve"> on Thursday, May 14, 2026, at 8:30 a.m. Pacific Time, with online check-in beginning approximately 15 minutes before then. Upon visiting the meeting website, you will be prompted to enter your 16-digit Control Number provided to you on your Availability Notice or on your proxy card if you receive proxy materials by mail. Your unique Control Number allows us to identify you as a stockholder and will enable you to securely log on, vote and submit questions during the Annual Meeting on the meeting website. If your shares are held in street name and your voting instruction form or Availability Notice indicates that you may vote those shares through </w:t>
      </w:r>
      <w:r>
        <w:rPr>
          <w:rFonts w:ascii="Arial" w:cs="Arial" w:eastAsia="Arial" w:hAnsi="Arial"/>
          <w:sz w:val="16"/>
          <w:szCs w:val="16"/>
          <w:b w:val="1"/>
          <w:bCs w:val="1"/>
          <w:i w:val="1"/>
          <w:iCs w:val="1"/>
          <w:color w:val="auto"/>
        </w:rPr>
        <w:t>www.proxyvote.com</w:t>
      </w:r>
      <w:r>
        <w:rPr>
          <w:rFonts w:ascii="Arial" w:cs="Arial" w:eastAsia="Arial" w:hAnsi="Arial"/>
          <w:sz w:val="16"/>
          <w:szCs w:val="16"/>
          <w:color w:val="auto"/>
        </w:rPr>
        <w:t>, then you may access, participate in and vote at the Annual Meeting with the 16-digit access code indicated on that voting instruction form or Availability Notice. Otherwise, stockholders who hold their shares in street name should contact their bank, broker or other nominee (preferably at least five days before the Annual Meeting) and obtain a “legal proxy” in order to be able to attend, participate in or vote at the Annual Meeting.</w:t>
      </w:r>
    </w:p>
    <w:p>
      <w:pPr>
        <w:spacing w:after="0" w:line="76"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color w:val="auto"/>
        </w:rPr>
        <w:t xml:space="preserve">Additional information regarding the rules and procedures for participating in the Annual Meeting will be set forth in our Annual Meeting rules of conduct, which stockholders can view during the meeting at </w:t>
      </w:r>
      <w:r>
        <w:rPr>
          <w:rFonts w:ascii="Arial" w:cs="Arial" w:eastAsia="Arial" w:hAnsi="Arial"/>
          <w:sz w:val="16"/>
          <w:szCs w:val="16"/>
          <w:b w:val="1"/>
          <w:bCs w:val="1"/>
          <w:i w:val="1"/>
          <w:iCs w:val="1"/>
          <w:color w:val="auto"/>
        </w:rPr>
        <w:t>www.virtualshareholdermeeting.com/NMIH2026</w:t>
      </w:r>
      <w:r>
        <w:rPr>
          <w:rFonts w:ascii="Arial" w:cs="Arial" w:eastAsia="Arial" w:hAnsi="Arial"/>
          <w:sz w:val="16"/>
          <w:szCs w:val="16"/>
          <w:i w:val="1"/>
          <w:iCs w:val="1"/>
          <w:color w:val="0C2940"/>
        </w:rPr>
        <w:t>.</w:t>
      </w:r>
    </w:p>
    <w:p>
      <w:pPr>
        <w:spacing w:after="0" w:line="284" w:lineRule="exact"/>
        <w:rPr>
          <w:sz w:val="20"/>
          <w:szCs w:val="20"/>
          <w:color w:val="auto"/>
        </w:rPr>
      </w:pPr>
    </w:p>
    <w:p>
      <w:pPr>
        <w:ind w:left="20"/>
        <w:spacing w:after="0"/>
        <w:tabs>
          <w:tab w:leader="none" w:pos="55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DIRECTOR NOMINEES</w:t>
      </w:r>
    </w:p>
    <w:p>
      <w:pPr>
        <w:spacing w:after="0" w:line="1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Please see below an overview of our director nominees. You can also find more information about each of our nine director nominees and their experiences beginning on page </w:t>
      </w:r>
      <w:r>
        <w:rPr>
          <w:rFonts w:ascii="Arial" w:cs="Arial" w:eastAsia="Arial" w:hAnsi="Arial"/>
          <w:sz w:val="16"/>
          <w:szCs w:val="16"/>
          <w:u w:val="single" w:color="auto"/>
          <w:color w:val="0000FF"/>
        </w:rPr>
        <w:t>14</w:t>
      </w:r>
      <w:r>
        <w:rPr>
          <w:rFonts w:ascii="Arial" w:cs="Arial" w:eastAsia="Arial" w:hAnsi="Arial"/>
          <w:sz w:val="16"/>
          <w:szCs w:val="16"/>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700" w:type="dxa"/>
            <w:vAlign w:val="bottom"/>
            <w:shd w:val="clear" w:color="auto" w:fill="0C2940"/>
          </w:tcPr>
          <w:p>
            <w:pPr>
              <w:spacing w:after="0"/>
              <w:rPr>
                <w:sz w:val="16"/>
                <w:szCs w:val="16"/>
                <w:color w:val="auto"/>
              </w:rPr>
            </w:pPr>
          </w:p>
        </w:tc>
        <w:tc>
          <w:tcPr>
            <w:tcW w:w="600" w:type="dxa"/>
            <w:vAlign w:val="bottom"/>
            <w:shd w:val="clear" w:color="auto" w:fill="0C2940"/>
          </w:tcPr>
          <w:p>
            <w:pPr>
              <w:spacing w:after="0"/>
              <w:rPr>
                <w:sz w:val="16"/>
                <w:szCs w:val="16"/>
                <w:color w:val="auto"/>
              </w:rPr>
            </w:pPr>
          </w:p>
        </w:tc>
        <w:tc>
          <w:tcPr>
            <w:tcW w:w="1500" w:type="dxa"/>
            <w:vAlign w:val="bottom"/>
            <w:shd w:val="clear" w:color="auto" w:fill="0C2940"/>
          </w:tcPr>
          <w:p>
            <w:pPr>
              <w:spacing w:after="0"/>
              <w:rPr>
                <w:sz w:val="16"/>
                <w:szCs w:val="16"/>
                <w:color w:val="auto"/>
              </w:rPr>
            </w:pPr>
          </w:p>
        </w:tc>
        <w:tc>
          <w:tcPr>
            <w:tcW w:w="1500" w:type="dxa"/>
            <w:vAlign w:val="bottom"/>
            <w:shd w:val="clear" w:color="auto" w:fill="0C2940"/>
          </w:tcPr>
          <w:p>
            <w:pPr>
              <w:spacing w:after="0"/>
              <w:rPr>
                <w:sz w:val="16"/>
                <w:szCs w:val="16"/>
                <w:color w:val="auto"/>
              </w:rPr>
            </w:pPr>
          </w:p>
        </w:tc>
        <w:tc>
          <w:tcPr>
            <w:tcW w:w="720" w:type="dxa"/>
            <w:vAlign w:val="bottom"/>
            <w:shd w:val="clear" w:color="auto" w:fill="0C2940"/>
          </w:tcPr>
          <w:p>
            <w:pPr>
              <w:spacing w:after="0"/>
              <w:rPr>
                <w:sz w:val="16"/>
                <w:szCs w:val="16"/>
                <w:color w:val="auto"/>
              </w:rPr>
            </w:pPr>
          </w:p>
        </w:tc>
        <w:tc>
          <w:tcPr>
            <w:tcW w:w="820" w:type="dxa"/>
            <w:vAlign w:val="bottom"/>
            <w:shd w:val="clear" w:color="auto" w:fill="0C2940"/>
          </w:tcPr>
          <w:p>
            <w:pPr>
              <w:spacing w:after="0"/>
              <w:rPr>
                <w:sz w:val="16"/>
                <w:szCs w:val="16"/>
                <w:color w:val="auto"/>
              </w:rPr>
            </w:pPr>
          </w:p>
        </w:tc>
        <w:tc>
          <w:tcPr>
            <w:tcW w:w="720" w:type="dxa"/>
            <w:vAlign w:val="bottom"/>
            <w:shd w:val="clear" w:color="auto" w:fill="0C2940"/>
          </w:tcPr>
          <w:p>
            <w:pPr>
              <w:spacing w:after="0"/>
              <w:rPr>
                <w:sz w:val="16"/>
                <w:szCs w:val="16"/>
                <w:color w:val="auto"/>
              </w:rPr>
            </w:pPr>
          </w:p>
        </w:tc>
        <w:tc>
          <w:tcPr>
            <w:tcW w:w="340" w:type="dxa"/>
            <w:vAlign w:val="bottom"/>
            <w:shd w:val="clear" w:color="auto" w:fill="0C2940"/>
          </w:tcPr>
          <w:p>
            <w:pPr>
              <w:spacing w:after="0"/>
              <w:rPr>
                <w:sz w:val="16"/>
                <w:szCs w:val="16"/>
                <w:color w:val="auto"/>
              </w:rPr>
            </w:pPr>
          </w:p>
        </w:tc>
        <w:tc>
          <w:tcPr>
            <w:tcW w:w="120" w:type="dxa"/>
            <w:vAlign w:val="bottom"/>
            <w:shd w:val="clear" w:color="auto" w:fill="0C2940"/>
          </w:tcPr>
          <w:p>
            <w:pPr>
              <w:spacing w:after="0"/>
              <w:rPr>
                <w:sz w:val="16"/>
                <w:szCs w:val="16"/>
                <w:color w:val="auto"/>
              </w:rPr>
            </w:pPr>
          </w:p>
        </w:tc>
        <w:tc>
          <w:tcPr>
            <w:tcW w:w="180" w:type="dxa"/>
            <w:vAlign w:val="bottom"/>
            <w:shd w:val="clear" w:color="auto" w:fill="0C2940"/>
          </w:tcPr>
          <w:p>
            <w:pPr>
              <w:spacing w:after="0"/>
              <w:rPr>
                <w:sz w:val="16"/>
                <w:szCs w:val="16"/>
                <w:color w:val="auto"/>
              </w:rPr>
            </w:pPr>
          </w:p>
        </w:tc>
        <w:tc>
          <w:tcPr>
            <w:tcW w:w="2020" w:type="dxa"/>
            <w:vAlign w:val="bottom"/>
            <w:shd w:val="clear" w:color="auto" w:fill="0C2940"/>
          </w:tcPr>
          <w:p>
            <w:pPr>
              <w:jc w:val="center"/>
              <w:ind w:left="48"/>
              <w:spacing w:after="0"/>
              <w:rPr>
                <w:sz w:val="20"/>
                <w:szCs w:val="20"/>
                <w:color w:val="auto"/>
              </w:rPr>
            </w:pPr>
            <w:r>
              <w:rPr>
                <w:rFonts w:ascii="Arial" w:cs="Arial" w:eastAsia="Arial" w:hAnsi="Arial"/>
                <w:sz w:val="14"/>
                <w:szCs w:val="14"/>
                <w:color w:val="FFFFFF"/>
              </w:rPr>
              <w:t>OTHER PUBLIC COMPANY</w:t>
            </w:r>
          </w:p>
        </w:tc>
        <w:tc>
          <w:tcPr>
            <w:tcW w:w="0" w:type="dxa"/>
            <w:vAlign w:val="bottom"/>
          </w:tcPr>
          <w:p>
            <w:pPr>
              <w:spacing w:after="0"/>
              <w:rPr>
                <w:sz w:val="1"/>
                <w:szCs w:val="1"/>
                <w:color w:val="auto"/>
              </w:rPr>
            </w:pPr>
          </w:p>
        </w:tc>
      </w:tr>
      <w:tr>
        <w:trPr>
          <w:trHeight w:val="192"/>
        </w:trPr>
        <w:tc>
          <w:tcPr>
            <w:tcW w:w="2700" w:type="dxa"/>
            <w:vAlign w:val="bottom"/>
            <w:tcBorders>
              <w:bottom w:val="single" w:sz="8" w:color="0C2940"/>
            </w:tcBorders>
            <w:shd w:val="clear" w:color="auto" w:fill="0C2940"/>
          </w:tcPr>
          <w:p>
            <w:pPr>
              <w:ind w:left="100"/>
              <w:spacing w:after="0"/>
              <w:rPr>
                <w:sz w:val="20"/>
                <w:szCs w:val="20"/>
                <w:color w:val="auto"/>
              </w:rPr>
            </w:pPr>
            <w:r>
              <w:rPr>
                <w:rFonts w:ascii="Arial" w:cs="Arial" w:eastAsia="Arial" w:hAnsi="Arial"/>
                <w:sz w:val="14"/>
                <w:szCs w:val="14"/>
                <w:color w:val="FFFFFF"/>
              </w:rPr>
              <w:t>NAME &amp; EXPERIENCE</w:t>
            </w:r>
          </w:p>
        </w:tc>
        <w:tc>
          <w:tcPr>
            <w:tcW w:w="60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AGE</w:t>
            </w:r>
          </w:p>
        </w:tc>
        <w:tc>
          <w:tcPr>
            <w:tcW w:w="150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DIRECTOR SINCE</w:t>
            </w:r>
          </w:p>
        </w:tc>
        <w:tc>
          <w:tcPr>
            <w:tcW w:w="1500" w:type="dxa"/>
            <w:vAlign w:val="bottom"/>
            <w:tcBorders>
              <w:bottom w:val="single" w:sz="8" w:color="0C2940"/>
            </w:tcBorders>
            <w:shd w:val="clear" w:color="auto" w:fill="0C2940"/>
          </w:tcPr>
          <w:p>
            <w:pPr>
              <w:jc w:val="center"/>
              <w:ind w:right="48"/>
              <w:spacing w:after="0"/>
              <w:rPr>
                <w:sz w:val="20"/>
                <w:szCs w:val="20"/>
                <w:color w:val="auto"/>
              </w:rPr>
            </w:pPr>
            <w:r>
              <w:rPr>
                <w:rFonts w:ascii="Arial" w:cs="Arial" w:eastAsia="Arial" w:hAnsi="Arial"/>
                <w:sz w:val="14"/>
                <w:szCs w:val="14"/>
                <w:color w:val="FFFFFF"/>
              </w:rPr>
              <w:t>INDEPENDENT</w:t>
            </w:r>
          </w:p>
        </w:tc>
        <w:tc>
          <w:tcPr>
            <w:tcW w:w="720" w:type="dxa"/>
            <w:vAlign w:val="bottom"/>
            <w:tcBorders>
              <w:bottom w:val="single" w:sz="8" w:color="0C2940"/>
            </w:tcBorders>
            <w:shd w:val="clear" w:color="auto" w:fill="0C2940"/>
          </w:tcPr>
          <w:p>
            <w:pPr>
              <w:ind w:left="280"/>
              <w:spacing w:after="0"/>
              <w:rPr>
                <w:sz w:val="20"/>
                <w:szCs w:val="20"/>
                <w:color w:val="auto"/>
              </w:rPr>
            </w:pPr>
            <w:r>
              <w:rPr>
                <w:rFonts w:ascii="Arial" w:cs="Arial" w:eastAsia="Arial" w:hAnsi="Arial"/>
                <w:sz w:val="14"/>
                <w:szCs w:val="14"/>
                <w:color w:val="FFFFFF"/>
              </w:rPr>
              <w:t>AC</w:t>
            </w:r>
          </w:p>
        </w:tc>
        <w:tc>
          <w:tcPr>
            <w:tcW w:w="82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GNC</w:t>
            </w:r>
          </w:p>
        </w:tc>
        <w:tc>
          <w:tcPr>
            <w:tcW w:w="720" w:type="dxa"/>
            <w:vAlign w:val="bottom"/>
            <w:tcBorders>
              <w:bottom w:val="single" w:sz="8" w:color="0C2940"/>
            </w:tcBorders>
            <w:shd w:val="clear" w:color="auto" w:fill="0C2940"/>
          </w:tcPr>
          <w:p>
            <w:pPr>
              <w:ind w:left="240"/>
              <w:spacing w:after="0"/>
              <w:rPr>
                <w:sz w:val="20"/>
                <w:szCs w:val="20"/>
                <w:color w:val="auto"/>
              </w:rPr>
            </w:pPr>
            <w:r>
              <w:rPr>
                <w:rFonts w:ascii="Arial" w:cs="Arial" w:eastAsia="Arial" w:hAnsi="Arial"/>
                <w:sz w:val="14"/>
                <w:szCs w:val="14"/>
                <w:color w:val="FFFFFF"/>
              </w:rPr>
              <w:t>RC</w:t>
            </w:r>
          </w:p>
        </w:tc>
        <w:tc>
          <w:tcPr>
            <w:tcW w:w="640" w:type="dxa"/>
            <w:vAlign w:val="bottom"/>
            <w:tcBorders>
              <w:bottom w:val="single" w:sz="8" w:color="0C2940"/>
            </w:tcBorders>
            <w:gridSpan w:val="3"/>
            <w:shd w:val="clear" w:color="auto" w:fill="0C2940"/>
          </w:tcPr>
          <w:p>
            <w:pPr>
              <w:jc w:val="center"/>
              <w:ind w:left="48"/>
              <w:spacing w:after="0"/>
              <w:rPr>
                <w:sz w:val="20"/>
                <w:szCs w:val="20"/>
                <w:color w:val="auto"/>
              </w:rPr>
            </w:pPr>
            <w:r>
              <w:rPr>
                <w:rFonts w:ascii="Arial" w:cs="Arial" w:eastAsia="Arial" w:hAnsi="Arial"/>
                <w:sz w:val="14"/>
                <w:szCs w:val="14"/>
                <w:color w:val="FFFFFF"/>
                <w:w w:val="98"/>
              </w:rPr>
              <w:t>CC</w:t>
            </w:r>
          </w:p>
        </w:tc>
        <w:tc>
          <w:tcPr>
            <w:tcW w:w="2020" w:type="dxa"/>
            <w:vAlign w:val="bottom"/>
            <w:tcBorders>
              <w:bottom w:val="single" w:sz="8" w:color="0C2940"/>
            </w:tcBorders>
            <w:shd w:val="clear" w:color="auto" w:fill="0C2940"/>
          </w:tcPr>
          <w:p>
            <w:pPr>
              <w:jc w:val="center"/>
              <w:ind w:left="48"/>
              <w:spacing w:after="0"/>
              <w:rPr>
                <w:sz w:val="20"/>
                <w:szCs w:val="20"/>
                <w:color w:val="auto"/>
              </w:rPr>
            </w:pPr>
            <w:r>
              <w:rPr>
                <w:rFonts w:ascii="Arial" w:cs="Arial" w:eastAsia="Arial" w:hAnsi="Arial"/>
                <w:sz w:val="14"/>
                <w:szCs w:val="14"/>
                <w:color w:val="FFFFFF"/>
              </w:rPr>
              <w:t>BOARDS</w:t>
            </w:r>
          </w:p>
        </w:tc>
        <w:tc>
          <w:tcPr>
            <w:tcW w:w="0" w:type="dxa"/>
            <w:vAlign w:val="bottom"/>
          </w:tcPr>
          <w:p>
            <w:pPr>
              <w:spacing w:after="0"/>
              <w:rPr>
                <w:sz w:val="1"/>
                <w:szCs w:val="1"/>
                <w:color w:val="auto"/>
              </w:rPr>
            </w:pPr>
          </w:p>
        </w:tc>
      </w:tr>
      <w:tr>
        <w:trPr>
          <w:trHeight w:val="301"/>
        </w:trPr>
        <w:tc>
          <w:tcPr>
            <w:tcW w:w="2700" w:type="dxa"/>
            <w:vAlign w:val="bottom"/>
            <w:shd w:val="clear" w:color="auto" w:fill="F5F5F5"/>
          </w:tcPr>
          <w:p>
            <w:pPr>
              <w:ind w:left="100"/>
              <w:spacing w:after="0"/>
              <w:rPr>
                <w:sz w:val="20"/>
                <w:szCs w:val="20"/>
                <w:color w:val="auto"/>
              </w:rPr>
            </w:pPr>
            <w:r>
              <w:rPr>
                <w:rFonts w:ascii="Arial" w:cs="Arial" w:eastAsia="Arial" w:hAnsi="Arial"/>
                <w:sz w:val="14"/>
                <w:szCs w:val="14"/>
                <w:b w:val="1"/>
                <w:bCs w:val="1"/>
                <w:color w:val="005388"/>
              </w:rPr>
              <w:t>Bradley M. Shuster</w:t>
            </w:r>
          </w:p>
        </w:tc>
        <w:tc>
          <w:tcPr>
            <w:tcW w:w="600" w:type="dxa"/>
            <w:vAlign w:val="bottom"/>
            <w:vMerge w:val="restart"/>
            <w:shd w:val="clear" w:color="auto" w:fill="F5F5F5"/>
          </w:tcPr>
          <w:p>
            <w:pPr>
              <w:jc w:val="center"/>
              <w:ind w:left="8"/>
              <w:spacing w:after="0"/>
              <w:rPr>
                <w:sz w:val="20"/>
                <w:szCs w:val="20"/>
                <w:color w:val="auto"/>
              </w:rPr>
            </w:pPr>
            <w:r>
              <w:rPr>
                <w:rFonts w:ascii="Arial" w:cs="Arial" w:eastAsia="Arial" w:hAnsi="Arial"/>
                <w:sz w:val="14"/>
                <w:szCs w:val="14"/>
                <w:color w:val="auto"/>
              </w:rPr>
              <w:t>71</w:t>
            </w:r>
          </w:p>
        </w:tc>
        <w:tc>
          <w:tcPr>
            <w:tcW w:w="1500" w:type="dxa"/>
            <w:vAlign w:val="bottom"/>
            <w:vMerge w:val="restart"/>
            <w:shd w:val="clear" w:color="auto" w:fill="F5F5F5"/>
          </w:tcPr>
          <w:p>
            <w:pPr>
              <w:jc w:val="center"/>
              <w:spacing w:after="0"/>
              <w:rPr>
                <w:sz w:val="20"/>
                <w:szCs w:val="20"/>
                <w:color w:val="auto"/>
              </w:rPr>
            </w:pPr>
            <w:r>
              <w:rPr>
                <w:rFonts w:ascii="Arial" w:cs="Arial" w:eastAsia="Arial" w:hAnsi="Arial"/>
                <w:sz w:val="14"/>
                <w:szCs w:val="14"/>
                <w:color w:val="auto"/>
              </w:rPr>
              <w:t>2012</w:t>
            </w:r>
          </w:p>
        </w:tc>
        <w:tc>
          <w:tcPr>
            <w:tcW w:w="1500" w:type="dxa"/>
            <w:vAlign w:val="bottom"/>
            <w:vMerge w:val="restart"/>
            <w:shd w:val="clear" w:color="auto" w:fill="F5F5F5"/>
          </w:tcPr>
          <w:p>
            <w:pPr>
              <w:jc w:val="center"/>
              <w:ind w:right="48"/>
              <w:spacing w:after="0"/>
              <w:rPr>
                <w:sz w:val="20"/>
                <w:szCs w:val="20"/>
                <w:color w:val="auto"/>
              </w:rPr>
            </w:pPr>
            <w:r>
              <w:rPr>
                <w:rFonts w:ascii="Arial" w:cs="Arial" w:eastAsia="Arial" w:hAnsi="Arial"/>
                <w:sz w:val="14"/>
                <w:szCs w:val="14"/>
                <w:color w:val="auto"/>
              </w:rPr>
              <w:t>No</w:t>
            </w:r>
          </w:p>
        </w:tc>
        <w:tc>
          <w:tcPr>
            <w:tcW w:w="720" w:type="dxa"/>
            <w:vAlign w:val="bottom"/>
            <w:shd w:val="clear" w:color="auto" w:fill="F5F5F5"/>
          </w:tcPr>
          <w:p>
            <w:pPr>
              <w:spacing w:after="0"/>
              <w:rPr>
                <w:sz w:val="24"/>
                <w:szCs w:val="24"/>
                <w:color w:val="auto"/>
              </w:rPr>
            </w:pPr>
          </w:p>
        </w:tc>
        <w:tc>
          <w:tcPr>
            <w:tcW w:w="820" w:type="dxa"/>
            <w:vAlign w:val="bottom"/>
            <w:shd w:val="clear" w:color="auto" w:fill="F5F5F5"/>
          </w:tcPr>
          <w:p>
            <w:pPr>
              <w:spacing w:after="0"/>
              <w:rPr>
                <w:sz w:val="24"/>
                <w:szCs w:val="24"/>
                <w:color w:val="auto"/>
              </w:rPr>
            </w:pPr>
          </w:p>
        </w:tc>
        <w:tc>
          <w:tcPr>
            <w:tcW w:w="720" w:type="dxa"/>
            <w:vAlign w:val="bottom"/>
            <w:shd w:val="clear" w:color="auto" w:fill="F5F5F5"/>
          </w:tcPr>
          <w:p>
            <w:pPr>
              <w:spacing w:after="0"/>
              <w:rPr>
                <w:sz w:val="24"/>
                <w:szCs w:val="24"/>
                <w:color w:val="auto"/>
              </w:rPr>
            </w:pPr>
          </w:p>
        </w:tc>
        <w:tc>
          <w:tcPr>
            <w:tcW w:w="34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180" w:type="dxa"/>
            <w:vAlign w:val="bottom"/>
            <w:shd w:val="clear" w:color="auto" w:fill="F5F5F5"/>
          </w:tcPr>
          <w:p>
            <w:pPr>
              <w:spacing w:after="0"/>
              <w:rPr>
                <w:sz w:val="24"/>
                <w:szCs w:val="24"/>
                <w:color w:val="auto"/>
              </w:rPr>
            </w:pPr>
          </w:p>
        </w:tc>
        <w:tc>
          <w:tcPr>
            <w:tcW w:w="2020" w:type="dxa"/>
            <w:vAlign w:val="bottom"/>
            <w:vMerge w:val="restart"/>
            <w:shd w:val="clear" w:color="auto" w:fill="F5F5F5"/>
          </w:tcPr>
          <w:p>
            <w:pPr>
              <w:jc w:val="center"/>
              <w:ind w:left="6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3"/>
        </w:trPr>
        <w:tc>
          <w:tcPr>
            <w:tcW w:w="270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Executive Chairman and Chairman of</w:t>
            </w:r>
          </w:p>
        </w:tc>
        <w:tc>
          <w:tcPr>
            <w:tcW w:w="600" w:type="dxa"/>
            <w:vAlign w:val="bottom"/>
            <w:vMerge w:val="continue"/>
            <w:shd w:val="clear" w:color="auto" w:fill="F5F5F5"/>
          </w:tcPr>
          <w:p>
            <w:pPr>
              <w:spacing w:after="0"/>
              <w:rPr>
                <w:sz w:val="10"/>
                <w:szCs w:val="10"/>
                <w:color w:val="auto"/>
              </w:rPr>
            </w:pPr>
          </w:p>
        </w:tc>
        <w:tc>
          <w:tcPr>
            <w:tcW w:w="1500" w:type="dxa"/>
            <w:vAlign w:val="bottom"/>
            <w:vMerge w:val="continue"/>
            <w:shd w:val="clear" w:color="auto" w:fill="F5F5F5"/>
          </w:tcPr>
          <w:p>
            <w:pPr>
              <w:spacing w:after="0"/>
              <w:rPr>
                <w:sz w:val="10"/>
                <w:szCs w:val="10"/>
                <w:color w:val="auto"/>
              </w:rPr>
            </w:pPr>
          </w:p>
        </w:tc>
        <w:tc>
          <w:tcPr>
            <w:tcW w:w="1500" w:type="dxa"/>
            <w:vAlign w:val="bottom"/>
            <w:vMerge w:val="continue"/>
            <w:shd w:val="clear" w:color="auto" w:fill="F5F5F5"/>
          </w:tcPr>
          <w:p>
            <w:pPr>
              <w:spacing w:after="0"/>
              <w:rPr>
                <w:sz w:val="10"/>
                <w:szCs w:val="10"/>
                <w:color w:val="auto"/>
              </w:rPr>
            </w:pPr>
          </w:p>
        </w:tc>
        <w:tc>
          <w:tcPr>
            <w:tcW w:w="720" w:type="dxa"/>
            <w:vAlign w:val="bottom"/>
            <w:shd w:val="clear" w:color="auto" w:fill="F5F5F5"/>
          </w:tcPr>
          <w:p>
            <w:pPr>
              <w:spacing w:after="0"/>
              <w:rPr>
                <w:sz w:val="10"/>
                <w:szCs w:val="10"/>
                <w:color w:val="auto"/>
              </w:rPr>
            </w:pPr>
          </w:p>
        </w:tc>
        <w:tc>
          <w:tcPr>
            <w:tcW w:w="820" w:type="dxa"/>
            <w:vAlign w:val="bottom"/>
            <w:shd w:val="clear" w:color="auto" w:fill="F5F5F5"/>
          </w:tcPr>
          <w:p>
            <w:pPr>
              <w:spacing w:after="0"/>
              <w:rPr>
                <w:sz w:val="10"/>
                <w:szCs w:val="10"/>
                <w:color w:val="auto"/>
              </w:rPr>
            </w:pPr>
          </w:p>
        </w:tc>
        <w:tc>
          <w:tcPr>
            <w:tcW w:w="720" w:type="dxa"/>
            <w:vAlign w:val="bottom"/>
            <w:shd w:val="clear" w:color="auto" w:fill="F5F5F5"/>
          </w:tcPr>
          <w:p>
            <w:pPr>
              <w:spacing w:after="0"/>
              <w:rPr>
                <w:sz w:val="10"/>
                <w:szCs w:val="10"/>
                <w:color w:val="auto"/>
              </w:rPr>
            </w:pPr>
          </w:p>
        </w:tc>
        <w:tc>
          <w:tcPr>
            <w:tcW w:w="34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180" w:type="dxa"/>
            <w:vAlign w:val="bottom"/>
            <w:shd w:val="clear" w:color="auto" w:fill="F5F5F5"/>
          </w:tcPr>
          <w:p>
            <w:pPr>
              <w:spacing w:after="0"/>
              <w:rPr>
                <w:sz w:val="10"/>
                <w:szCs w:val="10"/>
                <w:color w:val="auto"/>
              </w:rPr>
            </w:pPr>
          </w:p>
        </w:tc>
        <w:tc>
          <w:tcPr>
            <w:tcW w:w="2020" w:type="dxa"/>
            <w:vAlign w:val="bottom"/>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700" w:type="dxa"/>
            <w:vAlign w:val="bottom"/>
            <w:vMerge w:val="continue"/>
            <w:shd w:val="clear" w:color="auto" w:fill="F5F5F5"/>
          </w:tcPr>
          <w:p>
            <w:pPr>
              <w:spacing w:after="0"/>
              <w:rPr>
                <w:sz w:val="4"/>
                <w:szCs w:val="4"/>
                <w:color w:val="auto"/>
              </w:rPr>
            </w:pPr>
          </w:p>
        </w:tc>
        <w:tc>
          <w:tcPr>
            <w:tcW w:w="600" w:type="dxa"/>
            <w:vAlign w:val="bottom"/>
            <w:shd w:val="clear" w:color="auto" w:fill="F5F5F5"/>
          </w:tcPr>
          <w:p>
            <w:pPr>
              <w:spacing w:after="0"/>
              <w:rPr>
                <w:sz w:val="4"/>
                <w:szCs w:val="4"/>
                <w:color w:val="auto"/>
              </w:rPr>
            </w:pPr>
          </w:p>
        </w:tc>
        <w:tc>
          <w:tcPr>
            <w:tcW w:w="1500" w:type="dxa"/>
            <w:vAlign w:val="bottom"/>
            <w:shd w:val="clear" w:color="auto" w:fill="F5F5F5"/>
          </w:tcPr>
          <w:p>
            <w:pPr>
              <w:spacing w:after="0"/>
              <w:rPr>
                <w:sz w:val="4"/>
                <w:szCs w:val="4"/>
                <w:color w:val="auto"/>
              </w:rPr>
            </w:pPr>
          </w:p>
        </w:tc>
        <w:tc>
          <w:tcPr>
            <w:tcW w:w="1500" w:type="dxa"/>
            <w:vAlign w:val="bottom"/>
            <w:shd w:val="clear" w:color="auto" w:fill="F5F5F5"/>
          </w:tcPr>
          <w:p>
            <w:pPr>
              <w:spacing w:after="0"/>
              <w:rPr>
                <w:sz w:val="4"/>
                <w:szCs w:val="4"/>
                <w:color w:val="auto"/>
              </w:rPr>
            </w:pPr>
          </w:p>
        </w:tc>
        <w:tc>
          <w:tcPr>
            <w:tcW w:w="720" w:type="dxa"/>
            <w:vAlign w:val="bottom"/>
            <w:shd w:val="clear" w:color="auto" w:fill="F5F5F5"/>
          </w:tcPr>
          <w:p>
            <w:pPr>
              <w:spacing w:after="0"/>
              <w:rPr>
                <w:sz w:val="4"/>
                <w:szCs w:val="4"/>
                <w:color w:val="auto"/>
              </w:rPr>
            </w:pPr>
          </w:p>
        </w:tc>
        <w:tc>
          <w:tcPr>
            <w:tcW w:w="820" w:type="dxa"/>
            <w:vAlign w:val="bottom"/>
            <w:shd w:val="clear" w:color="auto" w:fill="F5F5F5"/>
          </w:tcPr>
          <w:p>
            <w:pPr>
              <w:spacing w:after="0"/>
              <w:rPr>
                <w:sz w:val="4"/>
                <w:szCs w:val="4"/>
                <w:color w:val="auto"/>
              </w:rPr>
            </w:pPr>
          </w:p>
        </w:tc>
        <w:tc>
          <w:tcPr>
            <w:tcW w:w="720" w:type="dxa"/>
            <w:vAlign w:val="bottom"/>
            <w:shd w:val="clear" w:color="auto" w:fill="F5F5F5"/>
          </w:tcPr>
          <w:p>
            <w:pPr>
              <w:spacing w:after="0"/>
              <w:rPr>
                <w:sz w:val="4"/>
                <w:szCs w:val="4"/>
                <w:color w:val="auto"/>
              </w:rPr>
            </w:pPr>
          </w:p>
        </w:tc>
        <w:tc>
          <w:tcPr>
            <w:tcW w:w="340" w:type="dxa"/>
            <w:vAlign w:val="bottom"/>
            <w:shd w:val="clear" w:color="auto" w:fill="F5F5F5"/>
          </w:tcPr>
          <w:p>
            <w:pPr>
              <w:spacing w:after="0"/>
              <w:rPr>
                <w:sz w:val="4"/>
                <w:szCs w:val="4"/>
                <w:color w:val="auto"/>
              </w:rPr>
            </w:pPr>
          </w:p>
        </w:tc>
        <w:tc>
          <w:tcPr>
            <w:tcW w:w="120" w:type="dxa"/>
            <w:vAlign w:val="bottom"/>
            <w:shd w:val="clear" w:color="auto" w:fill="F5F5F5"/>
          </w:tcPr>
          <w:p>
            <w:pPr>
              <w:spacing w:after="0"/>
              <w:rPr>
                <w:sz w:val="4"/>
                <w:szCs w:val="4"/>
                <w:color w:val="auto"/>
              </w:rPr>
            </w:pPr>
          </w:p>
        </w:tc>
        <w:tc>
          <w:tcPr>
            <w:tcW w:w="180" w:type="dxa"/>
            <w:vAlign w:val="bottom"/>
            <w:shd w:val="clear" w:color="auto" w:fill="F5F5F5"/>
          </w:tcPr>
          <w:p>
            <w:pPr>
              <w:spacing w:after="0"/>
              <w:rPr>
                <w:sz w:val="4"/>
                <w:szCs w:val="4"/>
                <w:color w:val="auto"/>
              </w:rPr>
            </w:pPr>
          </w:p>
        </w:tc>
        <w:tc>
          <w:tcPr>
            <w:tcW w:w="2020" w:type="dxa"/>
            <w:vAlign w:val="bottom"/>
            <w:shd w:val="clear" w:color="auto" w:fill="F5F5F5"/>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700" w:type="dxa"/>
            <w:vAlign w:val="bottom"/>
            <w:shd w:val="clear" w:color="auto" w:fill="F5F5F5"/>
          </w:tcPr>
          <w:p>
            <w:pPr>
              <w:ind w:left="100"/>
              <w:spacing w:after="0"/>
              <w:rPr>
                <w:sz w:val="20"/>
                <w:szCs w:val="20"/>
                <w:color w:val="auto"/>
              </w:rPr>
            </w:pPr>
            <w:r>
              <w:rPr>
                <w:rFonts w:ascii="Arial" w:cs="Arial" w:eastAsia="Arial" w:hAnsi="Arial"/>
                <w:sz w:val="14"/>
                <w:szCs w:val="14"/>
                <w:color w:val="auto"/>
              </w:rPr>
              <w:t>the Board, NMI Holdings, Inc.</w:t>
            </w:r>
          </w:p>
        </w:tc>
        <w:tc>
          <w:tcPr>
            <w:tcW w:w="600" w:type="dxa"/>
            <w:vAlign w:val="bottom"/>
            <w:shd w:val="clear" w:color="auto" w:fill="F5F5F5"/>
          </w:tcPr>
          <w:p>
            <w:pPr>
              <w:spacing w:after="0"/>
              <w:rPr>
                <w:sz w:val="16"/>
                <w:szCs w:val="16"/>
                <w:color w:val="auto"/>
              </w:rPr>
            </w:pPr>
          </w:p>
        </w:tc>
        <w:tc>
          <w:tcPr>
            <w:tcW w:w="1500" w:type="dxa"/>
            <w:vAlign w:val="bottom"/>
            <w:shd w:val="clear" w:color="auto" w:fill="F5F5F5"/>
          </w:tcPr>
          <w:p>
            <w:pPr>
              <w:spacing w:after="0"/>
              <w:rPr>
                <w:sz w:val="16"/>
                <w:szCs w:val="16"/>
                <w:color w:val="auto"/>
              </w:rPr>
            </w:pPr>
          </w:p>
        </w:tc>
        <w:tc>
          <w:tcPr>
            <w:tcW w:w="1500" w:type="dxa"/>
            <w:vAlign w:val="bottom"/>
            <w:shd w:val="clear" w:color="auto" w:fill="F5F5F5"/>
          </w:tcPr>
          <w:p>
            <w:pPr>
              <w:spacing w:after="0"/>
              <w:rPr>
                <w:sz w:val="16"/>
                <w:szCs w:val="16"/>
                <w:color w:val="auto"/>
              </w:rPr>
            </w:pPr>
          </w:p>
        </w:tc>
        <w:tc>
          <w:tcPr>
            <w:tcW w:w="720" w:type="dxa"/>
            <w:vAlign w:val="bottom"/>
            <w:shd w:val="clear" w:color="auto" w:fill="F5F5F5"/>
          </w:tcPr>
          <w:p>
            <w:pPr>
              <w:spacing w:after="0"/>
              <w:rPr>
                <w:sz w:val="16"/>
                <w:szCs w:val="16"/>
                <w:color w:val="auto"/>
              </w:rPr>
            </w:pPr>
          </w:p>
        </w:tc>
        <w:tc>
          <w:tcPr>
            <w:tcW w:w="820" w:type="dxa"/>
            <w:vAlign w:val="bottom"/>
            <w:shd w:val="clear" w:color="auto" w:fill="F5F5F5"/>
          </w:tcPr>
          <w:p>
            <w:pPr>
              <w:spacing w:after="0"/>
              <w:rPr>
                <w:sz w:val="16"/>
                <w:szCs w:val="16"/>
                <w:color w:val="auto"/>
              </w:rPr>
            </w:pPr>
          </w:p>
        </w:tc>
        <w:tc>
          <w:tcPr>
            <w:tcW w:w="720" w:type="dxa"/>
            <w:vAlign w:val="bottom"/>
            <w:shd w:val="clear" w:color="auto" w:fill="F5F5F5"/>
          </w:tcPr>
          <w:p>
            <w:pPr>
              <w:spacing w:after="0"/>
              <w:rPr>
                <w:sz w:val="16"/>
                <w:szCs w:val="16"/>
                <w:color w:val="auto"/>
              </w:rPr>
            </w:pPr>
          </w:p>
        </w:tc>
        <w:tc>
          <w:tcPr>
            <w:tcW w:w="340" w:type="dxa"/>
            <w:vAlign w:val="bottom"/>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180" w:type="dxa"/>
            <w:vAlign w:val="bottom"/>
            <w:shd w:val="clear" w:color="auto" w:fill="F5F5F5"/>
          </w:tcPr>
          <w:p>
            <w:pPr>
              <w:spacing w:after="0"/>
              <w:rPr>
                <w:sz w:val="16"/>
                <w:szCs w:val="16"/>
                <w:color w:val="auto"/>
              </w:rPr>
            </w:pPr>
          </w:p>
        </w:tc>
        <w:tc>
          <w:tcPr>
            <w:tcW w:w="202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700" w:type="dxa"/>
            <w:vAlign w:val="bottom"/>
            <w:shd w:val="clear" w:color="auto" w:fill="F5F5F5"/>
          </w:tcPr>
          <w:p>
            <w:pPr>
              <w:spacing w:after="0"/>
              <w:rPr>
                <w:sz w:val="5"/>
                <w:szCs w:val="5"/>
                <w:color w:val="auto"/>
              </w:rPr>
            </w:pPr>
          </w:p>
        </w:tc>
        <w:tc>
          <w:tcPr>
            <w:tcW w:w="600" w:type="dxa"/>
            <w:vAlign w:val="bottom"/>
            <w:shd w:val="clear" w:color="auto" w:fill="F5F5F5"/>
          </w:tcPr>
          <w:p>
            <w:pPr>
              <w:spacing w:after="0"/>
              <w:rPr>
                <w:sz w:val="5"/>
                <w:szCs w:val="5"/>
                <w:color w:val="auto"/>
              </w:rPr>
            </w:pPr>
          </w:p>
        </w:tc>
        <w:tc>
          <w:tcPr>
            <w:tcW w:w="1500" w:type="dxa"/>
            <w:vAlign w:val="bottom"/>
            <w:shd w:val="clear" w:color="auto" w:fill="F5F5F5"/>
          </w:tcPr>
          <w:p>
            <w:pPr>
              <w:spacing w:after="0"/>
              <w:rPr>
                <w:sz w:val="5"/>
                <w:szCs w:val="5"/>
                <w:color w:val="auto"/>
              </w:rPr>
            </w:pPr>
          </w:p>
        </w:tc>
        <w:tc>
          <w:tcPr>
            <w:tcW w:w="1500" w:type="dxa"/>
            <w:vAlign w:val="bottom"/>
            <w:shd w:val="clear" w:color="auto" w:fill="F5F5F5"/>
          </w:tcPr>
          <w:p>
            <w:pPr>
              <w:spacing w:after="0"/>
              <w:rPr>
                <w:sz w:val="5"/>
                <w:szCs w:val="5"/>
                <w:color w:val="auto"/>
              </w:rPr>
            </w:pPr>
          </w:p>
        </w:tc>
        <w:tc>
          <w:tcPr>
            <w:tcW w:w="720" w:type="dxa"/>
            <w:vAlign w:val="bottom"/>
            <w:shd w:val="clear" w:color="auto" w:fill="F5F5F5"/>
          </w:tcPr>
          <w:p>
            <w:pPr>
              <w:spacing w:after="0"/>
              <w:rPr>
                <w:sz w:val="5"/>
                <w:szCs w:val="5"/>
                <w:color w:val="auto"/>
              </w:rPr>
            </w:pPr>
          </w:p>
        </w:tc>
        <w:tc>
          <w:tcPr>
            <w:tcW w:w="820" w:type="dxa"/>
            <w:vAlign w:val="bottom"/>
            <w:shd w:val="clear" w:color="auto" w:fill="F5F5F5"/>
          </w:tcPr>
          <w:p>
            <w:pPr>
              <w:spacing w:after="0"/>
              <w:rPr>
                <w:sz w:val="5"/>
                <w:szCs w:val="5"/>
                <w:color w:val="auto"/>
              </w:rPr>
            </w:pPr>
          </w:p>
        </w:tc>
        <w:tc>
          <w:tcPr>
            <w:tcW w:w="720" w:type="dxa"/>
            <w:vAlign w:val="bottom"/>
            <w:shd w:val="clear" w:color="auto" w:fill="F5F5F5"/>
          </w:tcPr>
          <w:p>
            <w:pPr>
              <w:spacing w:after="0"/>
              <w:rPr>
                <w:sz w:val="5"/>
                <w:szCs w:val="5"/>
                <w:color w:val="auto"/>
              </w:rPr>
            </w:pPr>
          </w:p>
        </w:tc>
        <w:tc>
          <w:tcPr>
            <w:tcW w:w="340" w:type="dxa"/>
            <w:vAlign w:val="bottom"/>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180" w:type="dxa"/>
            <w:vAlign w:val="bottom"/>
            <w:shd w:val="clear" w:color="auto" w:fill="F5F5F5"/>
          </w:tcPr>
          <w:p>
            <w:pPr>
              <w:spacing w:after="0"/>
              <w:rPr>
                <w:sz w:val="5"/>
                <w:szCs w:val="5"/>
                <w:color w:val="auto"/>
              </w:rPr>
            </w:pPr>
          </w:p>
        </w:tc>
        <w:tc>
          <w:tcPr>
            <w:tcW w:w="202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301"/>
        </w:trPr>
        <w:tc>
          <w:tcPr>
            <w:tcW w:w="2700" w:type="dxa"/>
            <w:vAlign w:val="bottom"/>
          </w:tcPr>
          <w:p>
            <w:pPr>
              <w:ind w:left="100"/>
              <w:spacing w:after="0"/>
              <w:rPr>
                <w:sz w:val="20"/>
                <w:szCs w:val="20"/>
                <w:color w:val="auto"/>
              </w:rPr>
            </w:pPr>
            <w:r>
              <w:rPr>
                <w:rFonts w:ascii="Arial" w:cs="Arial" w:eastAsia="Arial" w:hAnsi="Arial"/>
                <w:sz w:val="14"/>
                <w:szCs w:val="14"/>
                <w:b w:val="1"/>
                <w:bCs w:val="1"/>
                <w:color w:val="005388"/>
              </w:rPr>
              <w:t>Adam S. Pollitzer</w:t>
            </w:r>
          </w:p>
        </w:tc>
        <w:tc>
          <w:tcPr>
            <w:tcW w:w="600" w:type="dxa"/>
            <w:vAlign w:val="bottom"/>
            <w:vMerge w:val="restart"/>
          </w:tcPr>
          <w:p>
            <w:pPr>
              <w:jc w:val="center"/>
              <w:ind w:left="8"/>
              <w:spacing w:after="0"/>
              <w:rPr>
                <w:sz w:val="20"/>
                <w:szCs w:val="20"/>
                <w:color w:val="auto"/>
              </w:rPr>
            </w:pPr>
            <w:r>
              <w:rPr>
                <w:rFonts w:ascii="Arial" w:cs="Arial" w:eastAsia="Arial" w:hAnsi="Arial"/>
                <w:sz w:val="14"/>
                <w:szCs w:val="14"/>
                <w:color w:val="auto"/>
              </w:rPr>
              <w:t>47</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2022</w:t>
            </w:r>
          </w:p>
        </w:tc>
        <w:tc>
          <w:tcPr>
            <w:tcW w:w="1500" w:type="dxa"/>
            <w:vAlign w:val="bottom"/>
            <w:vMerge w:val="restart"/>
          </w:tcPr>
          <w:p>
            <w:pPr>
              <w:jc w:val="center"/>
              <w:ind w:right="48"/>
              <w:spacing w:after="0"/>
              <w:rPr>
                <w:sz w:val="20"/>
                <w:szCs w:val="20"/>
                <w:color w:val="auto"/>
              </w:rPr>
            </w:pPr>
            <w:r>
              <w:rPr>
                <w:rFonts w:ascii="Arial" w:cs="Arial" w:eastAsia="Arial" w:hAnsi="Arial"/>
                <w:sz w:val="14"/>
                <w:szCs w:val="14"/>
                <w:color w:val="auto"/>
              </w:rPr>
              <w:t>No</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President and Chief Executive Officer,</w:t>
            </w:r>
          </w:p>
        </w:tc>
        <w:tc>
          <w:tcPr>
            <w:tcW w:w="6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7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00"/>
              <w:spacing w:after="0"/>
              <w:rPr>
                <w:sz w:val="20"/>
                <w:szCs w:val="20"/>
                <w:color w:val="auto"/>
              </w:rPr>
            </w:pPr>
            <w:r>
              <w:rPr>
                <w:rFonts w:ascii="Arial" w:cs="Arial" w:eastAsia="Arial" w:hAnsi="Arial"/>
                <w:sz w:val="14"/>
                <w:szCs w:val="14"/>
                <w:color w:val="auto"/>
              </w:rPr>
              <w:t>NMI Holdings, Inc.</w:t>
            </w:r>
          </w:p>
        </w:tc>
        <w:tc>
          <w:tcPr>
            <w:tcW w:w="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4"/>
        </w:trPr>
        <w:tc>
          <w:tcPr>
            <w:tcW w:w="2700" w:type="dxa"/>
            <w:vAlign w:val="bottom"/>
          </w:tcPr>
          <w:p>
            <w:pPr>
              <w:ind w:left="100"/>
              <w:spacing w:after="0"/>
              <w:rPr>
                <w:sz w:val="20"/>
                <w:szCs w:val="20"/>
                <w:color w:val="auto"/>
              </w:rPr>
            </w:pPr>
            <w:r>
              <w:rPr>
                <w:rFonts w:ascii="Arial" w:cs="Arial" w:eastAsia="Arial" w:hAnsi="Arial"/>
                <w:sz w:val="14"/>
                <w:szCs w:val="14"/>
                <w:b w:val="1"/>
                <w:bCs w:val="1"/>
                <w:color w:val="005388"/>
              </w:rPr>
              <w:t xml:space="preserve">Steven L. Scheid </w:t>
            </w:r>
            <w:r>
              <w:rPr>
                <w:rFonts w:ascii="Wingdings" w:cs="Wingdings" w:eastAsia="Wingdings" w:hAnsi="Wingdings"/>
                <w:sz w:val="17"/>
                <w:szCs w:val="17"/>
                <w:b w:val="1"/>
                <w:bCs w:val="1"/>
                <w:color w:val="000000"/>
              </w:rPr>
              <w:t>t</w:t>
            </w:r>
          </w:p>
        </w:tc>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700" w:type="dxa"/>
            <w:vAlign w:val="bottom"/>
          </w:tcPr>
          <w:p>
            <w:pPr>
              <w:ind w:left="100"/>
              <w:spacing w:after="0"/>
              <w:rPr>
                <w:sz w:val="20"/>
                <w:szCs w:val="20"/>
                <w:color w:val="auto"/>
              </w:rPr>
            </w:pPr>
            <w:r>
              <w:rPr>
                <w:rFonts w:ascii="Arial" w:cs="Arial" w:eastAsia="Arial" w:hAnsi="Arial"/>
                <w:sz w:val="14"/>
                <w:szCs w:val="14"/>
                <w:color w:val="auto"/>
              </w:rPr>
              <w:t>Former Partner, Strategic Execution</w:t>
            </w:r>
          </w:p>
        </w:tc>
        <w:tc>
          <w:tcPr>
            <w:tcW w:w="600" w:type="dxa"/>
            <w:vAlign w:val="bottom"/>
            <w:vMerge w:val="restart"/>
          </w:tcPr>
          <w:p>
            <w:pPr>
              <w:jc w:val="center"/>
              <w:ind w:left="8"/>
              <w:spacing w:after="0"/>
              <w:rPr>
                <w:sz w:val="20"/>
                <w:szCs w:val="20"/>
                <w:color w:val="auto"/>
              </w:rPr>
            </w:pPr>
            <w:r>
              <w:rPr>
                <w:rFonts w:ascii="Arial" w:cs="Arial" w:eastAsia="Arial" w:hAnsi="Arial"/>
                <w:sz w:val="14"/>
                <w:szCs w:val="14"/>
                <w:color w:val="auto"/>
              </w:rPr>
              <w:t>72</w:t>
            </w:r>
          </w:p>
        </w:tc>
        <w:tc>
          <w:tcPr>
            <w:tcW w:w="1500" w:type="dxa"/>
            <w:vAlign w:val="bottom"/>
            <w:vMerge w:val="restart"/>
          </w:tcPr>
          <w:p>
            <w:pPr>
              <w:jc w:val="center"/>
              <w:spacing w:after="0"/>
              <w:rPr>
                <w:sz w:val="20"/>
                <w:szCs w:val="20"/>
                <w:color w:val="auto"/>
              </w:rPr>
            </w:pPr>
            <w:r>
              <w:rPr>
                <w:rFonts w:ascii="Arial" w:cs="Arial" w:eastAsia="Arial" w:hAnsi="Arial"/>
                <w:sz w:val="14"/>
                <w:szCs w:val="14"/>
                <w:color w:val="auto"/>
              </w:rPr>
              <w:t>2012</w:t>
            </w:r>
          </w:p>
        </w:tc>
        <w:tc>
          <w:tcPr>
            <w:tcW w:w="1500" w:type="dxa"/>
            <w:vAlign w:val="bottom"/>
            <w:vMerge w:val="restart"/>
          </w:tcPr>
          <w:p>
            <w:pPr>
              <w:jc w:val="center"/>
              <w:ind w:right="28"/>
              <w:spacing w:after="0"/>
              <w:rPr>
                <w:sz w:val="20"/>
                <w:szCs w:val="20"/>
                <w:color w:val="auto"/>
              </w:rPr>
            </w:pPr>
            <w:r>
              <w:rPr>
                <w:rFonts w:ascii="Arial" w:cs="Arial" w:eastAsia="Arial" w:hAnsi="Arial"/>
                <w:sz w:val="14"/>
                <w:szCs w:val="14"/>
                <w:color w:val="auto"/>
                <w:w w:val="99"/>
              </w:rPr>
              <w:t>Yes</w:t>
            </w:r>
          </w:p>
        </w:tc>
        <w:tc>
          <w:tcPr>
            <w:tcW w:w="72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20" w:type="dxa"/>
            <w:vAlign w:val="bottom"/>
            <w:vMerge w:val="restart"/>
          </w:tcPr>
          <w:p>
            <w:pPr>
              <w:jc w:val="center"/>
              <w:ind w:left="4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23"/>
        </w:trPr>
        <w:tc>
          <w:tcPr>
            <w:tcW w:w="2700" w:type="dxa"/>
            <w:vAlign w:val="bottom"/>
            <w:vMerge w:val="restart"/>
          </w:tcPr>
          <w:p>
            <w:pPr>
              <w:ind w:left="100"/>
              <w:spacing w:after="0"/>
              <w:rPr>
                <w:sz w:val="20"/>
                <w:szCs w:val="20"/>
                <w:color w:val="auto"/>
              </w:rPr>
            </w:pPr>
            <w:r>
              <w:rPr>
                <w:rFonts w:ascii="Arial" w:cs="Arial" w:eastAsia="Arial" w:hAnsi="Arial"/>
                <w:sz w:val="14"/>
                <w:szCs w:val="14"/>
                <w:color w:val="auto"/>
              </w:rPr>
              <w:t>Group</w:t>
            </w:r>
          </w:p>
        </w:tc>
        <w:tc>
          <w:tcPr>
            <w:tcW w:w="6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vMerge w:val="restart"/>
          </w:tcPr>
          <w:p>
            <w:pPr>
              <w:spacing w:after="0"/>
              <w:rPr>
                <w:sz w:val="10"/>
                <w:szCs w:val="10"/>
                <w:color w:val="auto"/>
              </w:rPr>
            </w:pPr>
          </w:p>
        </w:tc>
        <w:tc>
          <w:tcPr>
            <w:tcW w:w="120" w:type="dxa"/>
            <w:vAlign w:val="bottom"/>
            <w:shd w:val="clear" w:color="auto" w:fill="00B8FC"/>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180" w:type="dxa"/>
            <w:vAlign w:val="bottom"/>
            <w:vMerge w:val="restart"/>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7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-1391920</wp:posOffset>
            </wp:positionV>
            <wp:extent cx="7115175" cy="4877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4877435"/>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Former Chairman and Chief Executive</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Officer, Janus Capital Group Inc.</w:t>
      </w:r>
    </w:p>
    <w:p>
      <w:pPr>
        <w:sectPr>
          <w:pgSz w:w="11900" w:h="16838" w:orient="portrait"/>
          <w:cols w:equalWidth="0" w:num="1">
            <w:col w:w="11240"/>
          </w:cols>
          <w:pgMar w:left="320" w:top="130" w:right="339" w:bottom="1440" w:gutter="0" w:footer="0" w:header="0"/>
        </w:sectPr>
      </w:pPr>
    </w:p>
    <w:p>
      <w:pPr>
        <w:spacing w:after="0" w:line="25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388"/>
        </w:rPr>
        <w:t>Renu Agrawal</w:t>
      </w:r>
    </w:p>
    <w:p>
      <w:pPr>
        <w:spacing w:after="0" w:line="29" w:lineRule="exact"/>
        <w:rPr>
          <w:sz w:val="20"/>
          <w:szCs w:val="20"/>
          <w:color w:val="auto"/>
        </w:rPr>
      </w:pPr>
    </w:p>
    <w:p>
      <w:pPr>
        <w:ind w:left="100" w:right="120"/>
        <w:spacing w:after="0" w:line="284" w:lineRule="auto"/>
        <w:rPr>
          <w:sz w:val="20"/>
          <w:szCs w:val="20"/>
          <w:color w:val="auto"/>
        </w:rPr>
      </w:pPr>
      <w:r>
        <w:rPr>
          <w:rFonts w:ascii="Arial" w:cs="Arial" w:eastAsia="Arial" w:hAnsi="Arial"/>
          <w:sz w:val="14"/>
          <w:szCs w:val="14"/>
          <w:color w:val="auto"/>
        </w:rPr>
        <w:t>Former Chief Operating Officer, Wells Fargo Group</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388"/>
        </w:rPr>
        <w:t>Michael Embler</w:t>
      </w:r>
    </w:p>
    <w:p>
      <w:pPr>
        <w:spacing w:after="0" w:line="29" w:lineRule="exact"/>
        <w:rPr>
          <w:sz w:val="20"/>
          <w:szCs w:val="20"/>
          <w:color w:val="auto"/>
        </w:rPr>
      </w:pPr>
    </w:p>
    <w:p>
      <w:pPr>
        <w:ind w:left="100" w:right="440"/>
        <w:spacing w:after="0" w:line="284" w:lineRule="auto"/>
        <w:rPr>
          <w:sz w:val="20"/>
          <w:szCs w:val="20"/>
          <w:color w:val="auto"/>
        </w:rPr>
      </w:pPr>
      <w:r>
        <w:rPr>
          <w:rFonts w:ascii="Arial" w:cs="Arial" w:eastAsia="Arial" w:hAnsi="Arial"/>
          <w:sz w:val="14"/>
          <w:szCs w:val="14"/>
          <w:color w:val="auto"/>
        </w:rPr>
        <w:t>Former Chief Investment Officer, Franklin Mutual Advisers LLC</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005388"/>
        </w:rPr>
        <w:t>John C. Erickson</w:t>
      </w:r>
    </w:p>
    <w:p>
      <w:pPr>
        <w:spacing w:after="0" w:line="29" w:lineRule="exact"/>
        <w:rPr>
          <w:sz w:val="20"/>
          <w:szCs w:val="20"/>
          <w:color w:val="auto"/>
        </w:rPr>
      </w:pPr>
    </w:p>
    <w:p>
      <w:pPr>
        <w:ind w:left="100"/>
        <w:spacing w:after="0" w:line="272" w:lineRule="auto"/>
        <w:rPr>
          <w:sz w:val="20"/>
          <w:szCs w:val="20"/>
          <w:color w:val="auto"/>
        </w:rPr>
      </w:pPr>
      <w:r>
        <w:rPr>
          <w:rFonts w:ascii="Arial" w:cs="Arial" w:eastAsia="Arial" w:hAnsi="Arial"/>
          <w:sz w:val="14"/>
          <w:szCs w:val="14"/>
          <w:color w:val="auto"/>
        </w:rPr>
        <w:t>Former Chief Risk Officer and Chief Corporate Banking Officer, Union Bank, N.A.</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540" w:type="dxa"/>
            <w:vAlign w:val="bottom"/>
          </w:tcPr>
          <w:p>
            <w:pPr>
              <w:jc w:val="right"/>
              <w:ind w:right="308"/>
              <w:spacing w:after="0"/>
              <w:rPr>
                <w:sz w:val="20"/>
                <w:szCs w:val="20"/>
                <w:color w:val="auto"/>
              </w:rPr>
            </w:pPr>
            <w:r>
              <w:rPr>
                <w:rFonts w:ascii="Arial" w:cs="Arial" w:eastAsia="Arial" w:hAnsi="Arial"/>
                <w:sz w:val="14"/>
                <w:szCs w:val="14"/>
                <w:color w:val="auto"/>
                <w:w w:val="89"/>
              </w:rPr>
              <w:t>62</w:t>
            </w:r>
          </w:p>
        </w:tc>
        <w:tc>
          <w:tcPr>
            <w:tcW w:w="1280" w:type="dxa"/>
            <w:vAlign w:val="bottom"/>
          </w:tcPr>
          <w:p>
            <w:pPr>
              <w:jc w:val="right"/>
              <w:ind w:right="508"/>
              <w:spacing w:after="0"/>
              <w:rPr>
                <w:sz w:val="20"/>
                <w:szCs w:val="20"/>
                <w:color w:val="auto"/>
              </w:rPr>
            </w:pPr>
            <w:r>
              <w:rPr>
                <w:rFonts w:ascii="Arial" w:cs="Arial" w:eastAsia="Arial" w:hAnsi="Arial"/>
                <w:sz w:val="14"/>
                <w:szCs w:val="14"/>
                <w:color w:val="auto"/>
              </w:rPr>
              <w:t>2026</w:t>
            </w:r>
          </w:p>
        </w:tc>
        <w:tc>
          <w:tcPr>
            <w:tcW w:w="1340" w:type="dxa"/>
            <w:vAlign w:val="bottom"/>
          </w:tcPr>
          <w:p>
            <w:pPr>
              <w:ind w:left="600"/>
              <w:spacing w:after="0"/>
              <w:rPr>
                <w:sz w:val="20"/>
                <w:szCs w:val="20"/>
                <w:color w:val="auto"/>
              </w:rPr>
            </w:pPr>
            <w:r>
              <w:rPr>
                <w:rFonts w:ascii="Arial" w:cs="Arial" w:eastAsia="Arial" w:hAnsi="Arial"/>
                <w:sz w:val="14"/>
                <w:szCs w:val="14"/>
                <w:color w:val="auto"/>
              </w:rPr>
              <w:t>Yes</w:t>
            </w:r>
          </w:p>
        </w:tc>
        <w:tc>
          <w:tcPr>
            <w:tcW w:w="1320" w:type="dxa"/>
            <w:vAlign w:val="bottom"/>
            <w:gridSpan w:val="3"/>
          </w:tcPr>
          <w:p>
            <w:pPr>
              <w:ind w:left="5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140" w:type="dxa"/>
            <w:vAlign w:val="bottom"/>
          </w:tcPr>
          <w:p>
            <w:pPr>
              <w:ind w:left="68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52"/>
        </w:trPr>
        <w:tc>
          <w:tcPr>
            <w:tcW w:w="540" w:type="dxa"/>
            <w:vAlign w:val="bottom"/>
            <w:vMerge w:val="restart"/>
          </w:tcPr>
          <w:p>
            <w:pPr>
              <w:jc w:val="right"/>
              <w:ind w:right="308"/>
              <w:spacing w:after="0"/>
              <w:rPr>
                <w:sz w:val="20"/>
                <w:szCs w:val="20"/>
                <w:color w:val="auto"/>
              </w:rPr>
            </w:pPr>
            <w:r>
              <w:rPr>
                <w:rFonts w:ascii="Arial" w:cs="Arial" w:eastAsia="Arial" w:hAnsi="Arial"/>
                <w:sz w:val="14"/>
                <w:szCs w:val="14"/>
                <w:color w:val="auto"/>
                <w:w w:val="89"/>
              </w:rPr>
              <w:t>61</w:t>
            </w: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color w:val="auto"/>
              </w:rPr>
              <w:t>2012</w:t>
            </w:r>
          </w:p>
        </w:tc>
        <w:tc>
          <w:tcPr>
            <w:tcW w:w="1340" w:type="dxa"/>
            <w:vAlign w:val="bottom"/>
            <w:vMerge w:val="restart"/>
          </w:tcPr>
          <w:p>
            <w:pPr>
              <w:ind w:left="600"/>
              <w:spacing w:after="0"/>
              <w:rPr>
                <w:sz w:val="20"/>
                <w:szCs w:val="20"/>
                <w:color w:val="auto"/>
              </w:rPr>
            </w:pPr>
            <w:r>
              <w:rPr>
                <w:rFonts w:ascii="Arial" w:cs="Arial" w:eastAsia="Arial" w:hAnsi="Arial"/>
                <w:sz w:val="14"/>
                <w:szCs w:val="14"/>
                <w:color w:val="auto"/>
              </w:rPr>
              <w:t>Yes</w:t>
            </w:r>
          </w:p>
        </w:tc>
        <w:tc>
          <w:tcPr>
            <w:tcW w:w="50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vMerge w:val="restart"/>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vMerge w:val="restart"/>
          </w:tcPr>
          <w:p>
            <w:pPr>
              <w:ind w:left="3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3"/>
        </w:trPr>
        <w:tc>
          <w:tcPr>
            <w:tcW w:w="54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0" w:type="dxa"/>
            <w:vAlign w:val="bottom"/>
            <w:shd w:val="clear" w:color="auto" w:fill="00B8FC"/>
          </w:tcPr>
          <w:p>
            <w:pP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7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54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1320" w:type="dxa"/>
            <w:vAlign w:val="bottom"/>
            <w:gridSpan w:val="3"/>
            <w:vMerge w:val="restart"/>
          </w:tcPr>
          <w:p>
            <w:pPr>
              <w:ind w:left="5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140" w:type="dxa"/>
            <w:vAlign w:val="bottom"/>
            <w:vMerge w:val="restart"/>
          </w:tcPr>
          <w:p>
            <w:pPr>
              <w:ind w:left="68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0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0"/>
        </w:trPr>
        <w:tc>
          <w:tcPr>
            <w:tcW w:w="540" w:type="dxa"/>
            <w:vAlign w:val="bottom"/>
          </w:tcPr>
          <w:p>
            <w:pPr>
              <w:jc w:val="right"/>
              <w:ind w:right="308"/>
              <w:spacing w:after="0"/>
              <w:rPr>
                <w:sz w:val="20"/>
                <w:szCs w:val="20"/>
                <w:color w:val="auto"/>
              </w:rPr>
            </w:pPr>
            <w:r>
              <w:rPr>
                <w:rFonts w:ascii="Arial" w:cs="Arial" w:eastAsia="Arial" w:hAnsi="Arial"/>
                <w:sz w:val="14"/>
                <w:szCs w:val="14"/>
                <w:color w:val="auto"/>
                <w:w w:val="89"/>
              </w:rPr>
              <w:t>64</w:t>
            </w:r>
          </w:p>
        </w:tc>
        <w:tc>
          <w:tcPr>
            <w:tcW w:w="1280" w:type="dxa"/>
            <w:vAlign w:val="bottom"/>
          </w:tcPr>
          <w:p>
            <w:pPr>
              <w:jc w:val="right"/>
              <w:ind w:right="508"/>
              <w:spacing w:after="0"/>
              <w:rPr>
                <w:sz w:val="20"/>
                <w:szCs w:val="20"/>
                <w:color w:val="auto"/>
              </w:rPr>
            </w:pPr>
            <w:r>
              <w:rPr>
                <w:rFonts w:ascii="Arial" w:cs="Arial" w:eastAsia="Arial" w:hAnsi="Arial"/>
                <w:sz w:val="14"/>
                <w:szCs w:val="14"/>
                <w:color w:val="auto"/>
              </w:rPr>
              <w:t>2023</w:t>
            </w:r>
          </w:p>
        </w:tc>
        <w:tc>
          <w:tcPr>
            <w:tcW w:w="1340" w:type="dxa"/>
            <w:vAlign w:val="bottom"/>
          </w:tcPr>
          <w:p>
            <w:pPr>
              <w:ind w:left="600"/>
              <w:spacing w:after="0"/>
              <w:rPr>
                <w:sz w:val="20"/>
                <w:szCs w:val="20"/>
                <w:color w:val="auto"/>
              </w:rPr>
            </w:pPr>
            <w:r>
              <w:rPr>
                <w:rFonts w:ascii="Arial" w:cs="Arial" w:eastAsia="Arial" w:hAnsi="Arial"/>
                <w:sz w:val="14"/>
                <w:szCs w:val="14"/>
                <w:color w:val="auto"/>
              </w:rPr>
              <w:t>Yes</w:t>
            </w:r>
          </w:p>
        </w:tc>
        <w:tc>
          <w:tcPr>
            <w:tcW w:w="1320" w:type="dxa"/>
            <w:vAlign w:val="bottom"/>
            <w:gridSpan w:val="3"/>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bl>
    <w:p>
      <w:pPr>
        <w:spacing w:after="0" w:line="365" w:lineRule="exact"/>
        <w:rPr>
          <w:sz w:val="20"/>
          <w:szCs w:val="20"/>
          <w:color w:val="auto"/>
        </w:rPr>
      </w:pPr>
    </w:p>
    <w:p>
      <w:pPr>
        <w:sectPr>
          <w:pgSz w:w="11900" w:h="16838" w:orient="portrait"/>
          <w:cols w:equalWidth="0" w:num="2">
            <w:col w:w="2620" w:space="340"/>
            <w:col w:w="828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301"/>
        </w:trPr>
        <w:tc>
          <w:tcPr>
            <w:tcW w:w="2640" w:type="dxa"/>
            <w:vAlign w:val="bottom"/>
            <w:shd w:val="clear" w:color="auto" w:fill="F5F5F5"/>
          </w:tcPr>
          <w:p>
            <w:pPr>
              <w:ind w:left="100"/>
              <w:spacing w:after="0"/>
              <w:rPr>
                <w:sz w:val="20"/>
                <w:szCs w:val="20"/>
                <w:color w:val="auto"/>
              </w:rPr>
            </w:pPr>
            <w:r>
              <w:rPr>
                <w:rFonts w:ascii="Arial" w:cs="Arial" w:eastAsia="Arial" w:hAnsi="Arial"/>
                <w:sz w:val="14"/>
                <w:szCs w:val="14"/>
                <w:b w:val="1"/>
                <w:bCs w:val="1"/>
                <w:color w:val="005388"/>
              </w:rPr>
              <w:t>Priya Huskins</w:t>
            </w:r>
          </w:p>
        </w:tc>
        <w:tc>
          <w:tcPr>
            <w:tcW w:w="860" w:type="dxa"/>
            <w:vAlign w:val="bottom"/>
            <w:vMerge w:val="restart"/>
            <w:shd w:val="clear" w:color="auto" w:fill="F5F5F5"/>
          </w:tcPr>
          <w:p>
            <w:pPr>
              <w:jc w:val="right"/>
              <w:ind w:right="308"/>
              <w:spacing w:after="0"/>
              <w:rPr>
                <w:sz w:val="20"/>
                <w:szCs w:val="20"/>
                <w:color w:val="auto"/>
              </w:rPr>
            </w:pPr>
            <w:r>
              <w:rPr>
                <w:rFonts w:ascii="Arial" w:cs="Arial" w:eastAsia="Arial" w:hAnsi="Arial"/>
                <w:sz w:val="14"/>
                <w:szCs w:val="14"/>
                <w:color w:val="auto"/>
              </w:rPr>
              <w:t>54</w:t>
            </w:r>
          </w:p>
        </w:tc>
        <w:tc>
          <w:tcPr>
            <w:tcW w:w="1280" w:type="dxa"/>
            <w:vAlign w:val="bottom"/>
            <w:vMerge w:val="restart"/>
            <w:shd w:val="clear" w:color="auto" w:fill="F5F5F5"/>
          </w:tcPr>
          <w:p>
            <w:pPr>
              <w:jc w:val="right"/>
              <w:ind w:right="508"/>
              <w:spacing w:after="0"/>
              <w:rPr>
                <w:sz w:val="20"/>
                <w:szCs w:val="20"/>
                <w:color w:val="auto"/>
              </w:rPr>
            </w:pPr>
            <w:r>
              <w:rPr>
                <w:rFonts w:ascii="Arial" w:cs="Arial" w:eastAsia="Arial" w:hAnsi="Arial"/>
                <w:sz w:val="14"/>
                <w:szCs w:val="14"/>
                <w:color w:val="auto"/>
              </w:rPr>
              <w:t>2021</w:t>
            </w:r>
          </w:p>
        </w:tc>
        <w:tc>
          <w:tcPr>
            <w:tcW w:w="1340" w:type="dxa"/>
            <w:vAlign w:val="bottom"/>
            <w:vMerge w:val="restart"/>
            <w:shd w:val="clear" w:color="auto" w:fill="F5F5F5"/>
          </w:tcPr>
          <w:p>
            <w:pPr>
              <w:ind w:left="600"/>
              <w:spacing w:after="0"/>
              <w:rPr>
                <w:sz w:val="20"/>
                <w:szCs w:val="20"/>
                <w:color w:val="auto"/>
              </w:rPr>
            </w:pPr>
            <w:r>
              <w:rPr>
                <w:rFonts w:ascii="Arial" w:cs="Arial" w:eastAsia="Arial" w:hAnsi="Arial"/>
                <w:sz w:val="14"/>
                <w:szCs w:val="14"/>
                <w:color w:val="auto"/>
              </w:rPr>
              <w:t>Yes</w:t>
            </w:r>
          </w:p>
        </w:tc>
        <w:tc>
          <w:tcPr>
            <w:tcW w:w="940" w:type="dxa"/>
            <w:vAlign w:val="bottom"/>
            <w:shd w:val="clear" w:color="auto" w:fill="F5F5F5"/>
          </w:tcPr>
          <w:p>
            <w:pPr>
              <w:spacing w:after="0"/>
              <w:rPr>
                <w:sz w:val="24"/>
                <w:szCs w:val="24"/>
                <w:color w:val="auto"/>
              </w:rPr>
            </w:pPr>
          </w:p>
        </w:tc>
        <w:tc>
          <w:tcPr>
            <w:tcW w:w="760" w:type="dxa"/>
            <w:vAlign w:val="bottom"/>
            <w:gridSpan w:val="3"/>
            <w:vMerge w:val="restart"/>
            <w:shd w:val="clear" w:color="auto" w:fill="F5F5F5"/>
          </w:tcPr>
          <w:p>
            <w:pPr>
              <w:ind w:left="3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800" w:type="dxa"/>
            <w:vAlign w:val="bottom"/>
            <w:vMerge w:val="restart"/>
            <w:shd w:val="clear" w:color="auto" w:fill="F5F5F5"/>
          </w:tcPr>
          <w:p>
            <w:pPr>
              <w:ind w:left="106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600" w:type="dxa"/>
            <w:vAlign w:val="bottom"/>
            <w:vMerge w:val="restart"/>
            <w:shd w:val="clear" w:color="auto" w:fill="F5F5F5"/>
          </w:tcPr>
          <w:p>
            <w:pPr>
              <w:jc w:val="center"/>
              <w:ind w:right="208"/>
              <w:spacing w:after="0"/>
              <w:rPr>
                <w:sz w:val="20"/>
                <w:szCs w:val="20"/>
                <w:color w:val="auto"/>
              </w:rPr>
            </w:pPr>
            <w:r>
              <w:rPr>
                <w:rFonts w:ascii="Arial" w:cs="Arial" w:eastAsia="Arial" w:hAnsi="Arial"/>
                <w:sz w:val="14"/>
                <w:szCs w:val="14"/>
                <w:color w:val="auto"/>
              </w:rPr>
              <w:t>__</w:t>
            </w:r>
          </w:p>
        </w:tc>
        <w:tc>
          <w:tcPr>
            <w:tcW w:w="0" w:type="dxa"/>
            <w:vAlign w:val="bottom"/>
          </w:tcPr>
          <w:p>
            <w:pPr>
              <w:spacing w:after="0"/>
              <w:rPr>
                <w:sz w:val="1"/>
                <w:szCs w:val="1"/>
                <w:color w:val="auto"/>
              </w:rPr>
            </w:pPr>
          </w:p>
        </w:tc>
      </w:tr>
      <w:tr>
        <w:trPr>
          <w:trHeight w:val="175"/>
        </w:trPr>
        <w:tc>
          <w:tcPr>
            <w:tcW w:w="26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Partner, Senior Vice President and</w:t>
            </w:r>
          </w:p>
        </w:tc>
        <w:tc>
          <w:tcPr>
            <w:tcW w:w="860" w:type="dxa"/>
            <w:vAlign w:val="bottom"/>
            <w:vMerge w:val="continue"/>
            <w:shd w:val="clear" w:color="auto" w:fill="F5F5F5"/>
          </w:tcPr>
          <w:p>
            <w:pPr>
              <w:spacing w:after="0"/>
              <w:rPr>
                <w:sz w:val="15"/>
                <w:szCs w:val="15"/>
                <w:color w:val="auto"/>
              </w:rPr>
            </w:pPr>
          </w:p>
        </w:tc>
        <w:tc>
          <w:tcPr>
            <w:tcW w:w="1280" w:type="dxa"/>
            <w:vAlign w:val="bottom"/>
            <w:vMerge w:val="continue"/>
            <w:shd w:val="clear" w:color="auto" w:fill="F5F5F5"/>
          </w:tcPr>
          <w:p>
            <w:pPr>
              <w:spacing w:after="0"/>
              <w:rPr>
                <w:sz w:val="15"/>
                <w:szCs w:val="15"/>
                <w:color w:val="auto"/>
              </w:rPr>
            </w:pPr>
          </w:p>
        </w:tc>
        <w:tc>
          <w:tcPr>
            <w:tcW w:w="1340" w:type="dxa"/>
            <w:vAlign w:val="bottom"/>
            <w:vMerge w:val="continue"/>
            <w:shd w:val="clear" w:color="auto" w:fill="F5F5F5"/>
          </w:tcPr>
          <w:p>
            <w:pPr>
              <w:spacing w:after="0"/>
              <w:rPr>
                <w:sz w:val="15"/>
                <w:szCs w:val="15"/>
                <w:color w:val="auto"/>
              </w:rPr>
            </w:pPr>
          </w:p>
        </w:tc>
        <w:tc>
          <w:tcPr>
            <w:tcW w:w="940" w:type="dxa"/>
            <w:vAlign w:val="bottom"/>
            <w:shd w:val="clear" w:color="auto" w:fill="F5F5F5"/>
          </w:tcPr>
          <w:p>
            <w:pPr>
              <w:spacing w:after="0"/>
              <w:rPr>
                <w:sz w:val="15"/>
                <w:szCs w:val="15"/>
                <w:color w:val="auto"/>
              </w:rPr>
            </w:pPr>
          </w:p>
        </w:tc>
        <w:tc>
          <w:tcPr>
            <w:tcW w:w="760" w:type="dxa"/>
            <w:vAlign w:val="bottom"/>
            <w:gridSpan w:val="3"/>
            <w:vMerge w:val="continue"/>
            <w:shd w:val="clear" w:color="auto" w:fill="F5F5F5"/>
          </w:tcPr>
          <w:p>
            <w:pPr>
              <w:spacing w:after="0"/>
              <w:rPr>
                <w:sz w:val="15"/>
                <w:szCs w:val="15"/>
                <w:color w:val="auto"/>
              </w:rPr>
            </w:pPr>
          </w:p>
        </w:tc>
        <w:tc>
          <w:tcPr>
            <w:tcW w:w="1800" w:type="dxa"/>
            <w:vAlign w:val="bottom"/>
            <w:vMerge w:val="continue"/>
            <w:shd w:val="clear" w:color="auto" w:fill="F5F5F5"/>
          </w:tcPr>
          <w:p>
            <w:pPr>
              <w:spacing w:after="0"/>
              <w:rPr>
                <w:sz w:val="15"/>
                <w:szCs w:val="15"/>
                <w:color w:val="auto"/>
              </w:rPr>
            </w:pPr>
          </w:p>
        </w:tc>
        <w:tc>
          <w:tcPr>
            <w:tcW w:w="1600" w:type="dxa"/>
            <w:vAlign w:val="bottom"/>
            <w:vMerge w:val="continue"/>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40" w:type="dxa"/>
            <w:vAlign w:val="bottom"/>
            <w:shd w:val="clear" w:color="auto" w:fill="F5F5F5"/>
          </w:tcPr>
          <w:p>
            <w:pPr>
              <w:ind w:left="100"/>
              <w:spacing w:after="0"/>
              <w:rPr>
                <w:sz w:val="20"/>
                <w:szCs w:val="20"/>
                <w:color w:val="auto"/>
              </w:rPr>
            </w:pPr>
            <w:r>
              <w:rPr>
                <w:rFonts w:ascii="Arial" w:cs="Arial" w:eastAsia="Arial" w:hAnsi="Arial"/>
                <w:sz w:val="14"/>
                <w:szCs w:val="14"/>
                <w:color w:val="auto"/>
              </w:rPr>
              <w:t>Board Member, Woodruff Sawyer</w:t>
            </w:r>
          </w:p>
        </w:tc>
        <w:tc>
          <w:tcPr>
            <w:tcW w:w="860" w:type="dxa"/>
            <w:vAlign w:val="bottom"/>
            <w:shd w:val="clear" w:color="auto" w:fill="F5F5F5"/>
          </w:tcPr>
          <w:p>
            <w:pPr>
              <w:spacing w:after="0"/>
              <w:rPr>
                <w:sz w:val="16"/>
                <w:szCs w:val="16"/>
                <w:color w:val="auto"/>
              </w:rPr>
            </w:pPr>
          </w:p>
        </w:tc>
        <w:tc>
          <w:tcPr>
            <w:tcW w:w="1280" w:type="dxa"/>
            <w:vAlign w:val="bottom"/>
            <w:shd w:val="clear" w:color="auto" w:fill="F5F5F5"/>
          </w:tcPr>
          <w:p>
            <w:pPr>
              <w:spacing w:after="0"/>
              <w:rPr>
                <w:sz w:val="16"/>
                <w:szCs w:val="16"/>
                <w:color w:val="auto"/>
              </w:rPr>
            </w:pPr>
          </w:p>
        </w:tc>
        <w:tc>
          <w:tcPr>
            <w:tcW w:w="1340" w:type="dxa"/>
            <w:vAlign w:val="bottom"/>
            <w:shd w:val="clear" w:color="auto" w:fill="F5F5F5"/>
          </w:tcPr>
          <w:p>
            <w:pPr>
              <w:spacing w:after="0"/>
              <w:rPr>
                <w:sz w:val="16"/>
                <w:szCs w:val="16"/>
                <w:color w:val="auto"/>
              </w:rPr>
            </w:pPr>
          </w:p>
        </w:tc>
        <w:tc>
          <w:tcPr>
            <w:tcW w:w="940" w:type="dxa"/>
            <w:vAlign w:val="bottom"/>
            <w:shd w:val="clear" w:color="auto" w:fill="F5F5F5"/>
          </w:tcPr>
          <w:p>
            <w:pPr>
              <w:spacing w:after="0"/>
              <w:rPr>
                <w:sz w:val="16"/>
                <w:szCs w:val="16"/>
                <w:color w:val="auto"/>
              </w:rPr>
            </w:pPr>
          </w:p>
        </w:tc>
        <w:tc>
          <w:tcPr>
            <w:tcW w:w="320" w:type="dxa"/>
            <w:vAlign w:val="bottom"/>
            <w:shd w:val="clear" w:color="auto" w:fill="F5F5F5"/>
          </w:tcPr>
          <w:p>
            <w:pPr>
              <w:spacing w:after="0"/>
              <w:rPr>
                <w:sz w:val="16"/>
                <w:szCs w:val="16"/>
                <w:color w:val="auto"/>
              </w:rPr>
            </w:pPr>
          </w:p>
        </w:tc>
        <w:tc>
          <w:tcPr>
            <w:tcW w:w="120" w:type="dxa"/>
            <w:vAlign w:val="bottom"/>
            <w:shd w:val="clear" w:color="auto" w:fill="F5F5F5"/>
          </w:tcPr>
          <w:p>
            <w:pPr>
              <w:spacing w:after="0"/>
              <w:rPr>
                <w:sz w:val="16"/>
                <w:szCs w:val="16"/>
                <w:color w:val="auto"/>
              </w:rPr>
            </w:pPr>
          </w:p>
        </w:tc>
        <w:tc>
          <w:tcPr>
            <w:tcW w:w="320" w:type="dxa"/>
            <w:vAlign w:val="bottom"/>
            <w:shd w:val="clear" w:color="auto" w:fill="F5F5F5"/>
          </w:tcPr>
          <w:p>
            <w:pPr>
              <w:spacing w:after="0"/>
              <w:rPr>
                <w:sz w:val="16"/>
                <w:szCs w:val="16"/>
                <w:color w:val="auto"/>
              </w:rPr>
            </w:pPr>
          </w:p>
        </w:tc>
        <w:tc>
          <w:tcPr>
            <w:tcW w:w="1800" w:type="dxa"/>
            <w:vAlign w:val="bottom"/>
            <w:shd w:val="clear" w:color="auto" w:fill="F5F5F5"/>
          </w:tcPr>
          <w:p>
            <w:pPr>
              <w:spacing w:after="0"/>
              <w:rPr>
                <w:sz w:val="16"/>
                <w:szCs w:val="16"/>
                <w:color w:val="auto"/>
              </w:rPr>
            </w:pPr>
          </w:p>
        </w:tc>
        <w:tc>
          <w:tcPr>
            <w:tcW w:w="1600" w:type="dxa"/>
            <w:vAlign w:val="bottom"/>
            <w:shd w:val="clear" w:color="auto" w:fill="F5F5F5"/>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2640" w:type="dxa"/>
            <w:vAlign w:val="bottom"/>
            <w:shd w:val="clear" w:color="auto" w:fill="F5F5F5"/>
          </w:tcPr>
          <w:p>
            <w:pPr>
              <w:spacing w:after="0"/>
              <w:rPr>
                <w:sz w:val="5"/>
                <w:szCs w:val="5"/>
                <w:color w:val="auto"/>
              </w:rPr>
            </w:pPr>
          </w:p>
        </w:tc>
        <w:tc>
          <w:tcPr>
            <w:tcW w:w="860" w:type="dxa"/>
            <w:vAlign w:val="bottom"/>
            <w:shd w:val="clear" w:color="auto" w:fill="F5F5F5"/>
          </w:tcPr>
          <w:p>
            <w:pPr>
              <w:spacing w:after="0"/>
              <w:rPr>
                <w:sz w:val="5"/>
                <w:szCs w:val="5"/>
                <w:color w:val="auto"/>
              </w:rPr>
            </w:pPr>
          </w:p>
        </w:tc>
        <w:tc>
          <w:tcPr>
            <w:tcW w:w="1280" w:type="dxa"/>
            <w:vAlign w:val="bottom"/>
            <w:shd w:val="clear" w:color="auto" w:fill="F5F5F5"/>
          </w:tcPr>
          <w:p>
            <w:pPr>
              <w:spacing w:after="0"/>
              <w:rPr>
                <w:sz w:val="5"/>
                <w:szCs w:val="5"/>
                <w:color w:val="auto"/>
              </w:rPr>
            </w:pPr>
          </w:p>
        </w:tc>
        <w:tc>
          <w:tcPr>
            <w:tcW w:w="1340" w:type="dxa"/>
            <w:vAlign w:val="bottom"/>
            <w:shd w:val="clear" w:color="auto" w:fill="F5F5F5"/>
          </w:tcPr>
          <w:p>
            <w:pPr>
              <w:spacing w:after="0"/>
              <w:rPr>
                <w:sz w:val="5"/>
                <w:szCs w:val="5"/>
                <w:color w:val="auto"/>
              </w:rPr>
            </w:pPr>
          </w:p>
        </w:tc>
        <w:tc>
          <w:tcPr>
            <w:tcW w:w="940" w:type="dxa"/>
            <w:vAlign w:val="bottom"/>
            <w:shd w:val="clear" w:color="auto" w:fill="F5F5F5"/>
          </w:tcPr>
          <w:p>
            <w:pPr>
              <w:spacing w:after="0"/>
              <w:rPr>
                <w:sz w:val="5"/>
                <w:szCs w:val="5"/>
                <w:color w:val="auto"/>
              </w:rPr>
            </w:pPr>
          </w:p>
        </w:tc>
        <w:tc>
          <w:tcPr>
            <w:tcW w:w="320" w:type="dxa"/>
            <w:vAlign w:val="bottom"/>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320" w:type="dxa"/>
            <w:vAlign w:val="bottom"/>
            <w:shd w:val="clear" w:color="auto" w:fill="F5F5F5"/>
          </w:tcPr>
          <w:p>
            <w:pPr>
              <w:spacing w:after="0"/>
              <w:rPr>
                <w:sz w:val="5"/>
                <w:szCs w:val="5"/>
                <w:color w:val="auto"/>
              </w:rPr>
            </w:pPr>
          </w:p>
        </w:tc>
        <w:tc>
          <w:tcPr>
            <w:tcW w:w="1800" w:type="dxa"/>
            <w:vAlign w:val="bottom"/>
            <w:shd w:val="clear" w:color="auto" w:fill="F5F5F5"/>
          </w:tcPr>
          <w:p>
            <w:pPr>
              <w:spacing w:after="0"/>
              <w:rPr>
                <w:sz w:val="5"/>
                <w:szCs w:val="5"/>
                <w:color w:val="auto"/>
              </w:rPr>
            </w:pPr>
          </w:p>
        </w:tc>
        <w:tc>
          <w:tcPr>
            <w:tcW w:w="1600" w:type="dxa"/>
            <w:vAlign w:val="bottom"/>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640" w:type="dxa"/>
            <w:vAlign w:val="bottom"/>
            <w:vMerge w:val="restart"/>
          </w:tcPr>
          <w:p>
            <w:pPr>
              <w:ind w:left="100"/>
              <w:spacing w:after="0"/>
              <w:rPr>
                <w:sz w:val="20"/>
                <w:szCs w:val="20"/>
                <w:color w:val="auto"/>
              </w:rPr>
            </w:pPr>
            <w:r>
              <w:rPr>
                <w:rFonts w:ascii="Arial" w:cs="Arial" w:eastAsia="Arial" w:hAnsi="Arial"/>
                <w:sz w:val="14"/>
                <w:szCs w:val="14"/>
                <w:b w:val="1"/>
                <w:bCs w:val="1"/>
                <w:color w:val="005388"/>
              </w:rPr>
              <w:t>Lynn S. McCreary</w:t>
            </w: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color w:val="auto"/>
              </w:rPr>
              <w:t>66</w:t>
            </w: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color w:val="auto"/>
              </w:rPr>
              <w:t>2019</w:t>
            </w:r>
          </w:p>
        </w:tc>
        <w:tc>
          <w:tcPr>
            <w:tcW w:w="1340" w:type="dxa"/>
            <w:vAlign w:val="bottom"/>
            <w:vMerge w:val="restart"/>
          </w:tcPr>
          <w:p>
            <w:pPr>
              <w:ind w:left="600"/>
              <w:spacing w:after="0"/>
              <w:rPr>
                <w:sz w:val="20"/>
                <w:szCs w:val="20"/>
                <w:color w:val="auto"/>
              </w:rPr>
            </w:pPr>
            <w:r>
              <w:rPr>
                <w:rFonts w:ascii="Arial" w:cs="Arial" w:eastAsia="Arial" w:hAnsi="Arial"/>
                <w:sz w:val="14"/>
                <w:szCs w:val="14"/>
                <w:color w:val="auto"/>
              </w:rPr>
              <w:t>Yes</w:t>
            </w: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60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7"/>
        </w:trPr>
        <w:tc>
          <w:tcPr>
            <w:tcW w:w="264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9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vMerge w:val="restart"/>
            <w:shd w:val="clear" w:color="auto" w:fill="00B8FC"/>
          </w:tcPr>
          <w:p>
            <w:pPr>
              <w:spacing w:after="0" w:line="123" w:lineRule="exact"/>
              <w:rPr>
                <w:sz w:val="20"/>
                <w:szCs w:val="20"/>
                <w:color w:val="auto"/>
              </w:rPr>
            </w:pPr>
            <w:r>
              <w:rPr>
                <w:rFonts w:ascii="Wingdings" w:cs="Wingdings" w:eastAsia="Wingdings" w:hAnsi="Wingdings"/>
                <w:sz w:val="14"/>
                <w:szCs w:val="14"/>
                <w:b w:val="1"/>
                <w:bCs w:val="1"/>
                <w:color w:val="auto"/>
                <w:w w:val="95"/>
                <w:shd w:val="clear" w:color="auto" w:fill="00B8FC"/>
              </w:rPr>
              <w:t>n</w:t>
            </w:r>
          </w:p>
        </w:tc>
        <w:tc>
          <w:tcPr>
            <w:tcW w:w="320" w:type="dxa"/>
            <w:vAlign w:val="bottom"/>
          </w:tcPr>
          <w:p>
            <w:pPr>
              <w:spacing w:after="0"/>
              <w:rPr>
                <w:sz w:val="4"/>
                <w:szCs w:val="4"/>
                <w:color w:val="auto"/>
              </w:rPr>
            </w:pPr>
          </w:p>
        </w:tc>
        <w:tc>
          <w:tcPr>
            <w:tcW w:w="1800" w:type="dxa"/>
            <w:vAlign w:val="bottom"/>
            <w:vMerge w:val="restart"/>
          </w:tcPr>
          <w:p>
            <w:pPr>
              <w:ind w:left="300"/>
              <w:spacing w:after="0" w:line="123" w:lineRule="exact"/>
              <w:rPr>
                <w:sz w:val="20"/>
                <w:szCs w:val="20"/>
                <w:color w:val="auto"/>
              </w:rPr>
            </w:pPr>
            <w:r>
              <w:rPr>
                <w:rFonts w:ascii="Wingdings" w:cs="Wingdings" w:eastAsia="Wingdings" w:hAnsi="Wingdings"/>
                <w:sz w:val="14"/>
                <w:szCs w:val="14"/>
                <w:b w:val="1"/>
                <w:bCs w:val="1"/>
                <w:color w:val="auto"/>
                <w:shd w:val="clear" w:color="auto" w:fill="DE762B"/>
              </w:rPr>
              <w:t>l</w:t>
            </w: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640" w:type="dxa"/>
            <w:vAlign w:val="bottom"/>
            <w:vMerge w:val="restart"/>
          </w:tcPr>
          <w:p>
            <w:pPr>
              <w:ind w:left="100"/>
              <w:spacing w:after="0"/>
              <w:rPr>
                <w:sz w:val="20"/>
                <w:szCs w:val="20"/>
                <w:color w:val="auto"/>
              </w:rPr>
            </w:pPr>
            <w:r>
              <w:rPr>
                <w:rFonts w:ascii="Arial" w:cs="Arial" w:eastAsia="Arial" w:hAnsi="Arial"/>
                <w:sz w:val="14"/>
                <w:szCs w:val="14"/>
                <w:color w:val="auto"/>
              </w:rPr>
              <w:t>Chief Legal Officer,</w:t>
            </w:r>
          </w:p>
        </w:tc>
        <w:tc>
          <w:tcPr>
            <w:tcW w:w="86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vMerge w:val="continue"/>
            <w:shd w:val="clear" w:color="auto" w:fill="00B8FC"/>
          </w:tcPr>
          <w:p>
            <w:pPr>
              <w:spacing w:after="0"/>
              <w:rPr>
                <w:sz w:val="6"/>
                <w:szCs w:val="6"/>
                <w:color w:val="auto"/>
              </w:rPr>
            </w:pPr>
          </w:p>
        </w:tc>
        <w:tc>
          <w:tcPr>
            <w:tcW w:w="320" w:type="dxa"/>
            <w:vAlign w:val="bottom"/>
          </w:tcPr>
          <w:p>
            <w:pPr>
              <w:spacing w:after="0"/>
              <w:rPr>
                <w:sz w:val="6"/>
                <w:szCs w:val="6"/>
                <w:color w:val="auto"/>
              </w:rPr>
            </w:pPr>
          </w:p>
        </w:tc>
        <w:tc>
          <w:tcPr>
            <w:tcW w:w="18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64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00"/>
              <w:spacing w:after="0"/>
              <w:rPr>
                <w:sz w:val="20"/>
                <w:szCs w:val="20"/>
                <w:color w:val="auto"/>
              </w:rPr>
            </w:pPr>
            <w:r>
              <w:rPr>
                <w:rFonts w:ascii="Arial" w:cs="Arial" w:eastAsia="Arial" w:hAnsi="Arial"/>
                <w:sz w:val="14"/>
                <w:szCs w:val="14"/>
                <w:color w:val="auto"/>
              </w:rPr>
              <w:t>InvestCloud, Inc.</w:t>
            </w:r>
          </w:p>
        </w:tc>
        <w:tc>
          <w:tcPr>
            <w:tcW w:w="8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640" w:type="dxa"/>
            <w:vAlign w:val="bottom"/>
          </w:tcPr>
          <w:p>
            <w:pPr>
              <w:ind w:left="100"/>
              <w:spacing w:after="0"/>
              <w:rPr>
                <w:sz w:val="20"/>
                <w:szCs w:val="20"/>
                <w:color w:val="auto"/>
              </w:rPr>
            </w:pPr>
            <w:r>
              <w:rPr>
                <w:rFonts w:ascii="Arial" w:cs="Arial" w:eastAsia="Arial" w:hAnsi="Arial"/>
                <w:sz w:val="14"/>
                <w:szCs w:val="14"/>
                <w:b w:val="1"/>
                <w:bCs w:val="1"/>
                <w:color w:val="005388"/>
              </w:rPr>
              <w:t>Michael Montgomery</w:t>
            </w: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640" w:type="dxa"/>
            <w:vAlign w:val="bottom"/>
          </w:tcPr>
          <w:p>
            <w:pPr>
              <w:ind w:left="100"/>
              <w:spacing w:after="0"/>
              <w:rPr>
                <w:sz w:val="20"/>
                <w:szCs w:val="20"/>
                <w:color w:val="auto"/>
              </w:rPr>
            </w:pPr>
            <w:r>
              <w:rPr>
                <w:rFonts w:ascii="Arial" w:cs="Arial" w:eastAsia="Arial" w:hAnsi="Arial"/>
                <w:sz w:val="14"/>
                <w:szCs w:val="14"/>
                <w:color w:val="auto"/>
              </w:rPr>
              <w:t>Former Chief Compliance Officer,</w:t>
            </w: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color w:val="auto"/>
              </w:rPr>
              <w:t>70</w:t>
            </w:r>
          </w:p>
        </w:tc>
        <w:tc>
          <w:tcPr>
            <w:tcW w:w="1280" w:type="dxa"/>
            <w:vAlign w:val="bottom"/>
            <w:vMerge w:val="restart"/>
          </w:tcPr>
          <w:p>
            <w:pPr>
              <w:jc w:val="right"/>
              <w:ind w:right="508"/>
              <w:spacing w:after="0"/>
              <w:rPr>
                <w:sz w:val="20"/>
                <w:szCs w:val="20"/>
                <w:color w:val="auto"/>
              </w:rPr>
            </w:pPr>
            <w:r>
              <w:rPr>
                <w:rFonts w:ascii="Arial" w:cs="Arial" w:eastAsia="Arial" w:hAnsi="Arial"/>
                <w:sz w:val="14"/>
                <w:szCs w:val="14"/>
                <w:color w:val="auto"/>
              </w:rPr>
              <w:t>2012</w:t>
            </w:r>
          </w:p>
        </w:tc>
        <w:tc>
          <w:tcPr>
            <w:tcW w:w="1340" w:type="dxa"/>
            <w:vAlign w:val="bottom"/>
            <w:vMerge w:val="restart"/>
          </w:tcPr>
          <w:p>
            <w:pPr>
              <w:ind w:left="600"/>
              <w:spacing w:after="0"/>
              <w:rPr>
                <w:sz w:val="20"/>
                <w:szCs w:val="20"/>
                <w:color w:val="auto"/>
              </w:rPr>
            </w:pPr>
            <w:r>
              <w:rPr>
                <w:rFonts w:ascii="Arial" w:cs="Arial" w:eastAsia="Arial" w:hAnsi="Arial"/>
                <w:sz w:val="14"/>
                <w:szCs w:val="14"/>
                <w:color w:val="auto"/>
              </w:rPr>
              <w:t>Yes</w:t>
            </w:r>
          </w:p>
        </w:tc>
        <w:tc>
          <w:tcPr>
            <w:tcW w:w="940" w:type="dxa"/>
            <w:vAlign w:val="bottom"/>
            <w:vMerge w:val="restart"/>
          </w:tcPr>
          <w:p>
            <w:pPr>
              <w:ind w:left="5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vMerge w:val="restart"/>
          </w:tcPr>
          <w:p>
            <w:pPr>
              <w:ind w:left="300"/>
              <w:spacing w:after="0"/>
              <w:rPr>
                <w:sz w:val="20"/>
                <w:szCs w:val="20"/>
                <w:color w:val="auto"/>
              </w:rPr>
            </w:pPr>
            <w:r>
              <w:rPr>
                <w:rFonts w:ascii="Wingdings" w:cs="Wingdings" w:eastAsia="Wingdings" w:hAnsi="Wingdings"/>
                <w:sz w:val="20"/>
                <w:szCs w:val="20"/>
                <w:b w:val="1"/>
                <w:bCs w:val="1"/>
                <w:color w:val="auto"/>
                <w:shd w:val="clear" w:color="auto" w:fill="DE762B"/>
              </w:rPr>
              <w:t>l</w:t>
            </w:r>
          </w:p>
        </w:tc>
        <w:tc>
          <w:tcPr>
            <w:tcW w:w="1600" w:type="dxa"/>
            <w:vAlign w:val="bottom"/>
            <w:vMerge w:val="restart"/>
          </w:tcPr>
          <w:p>
            <w:pPr>
              <w:jc w:val="center"/>
              <w:ind w:right="22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11"/>
        </w:trPr>
        <w:tc>
          <w:tcPr>
            <w:tcW w:w="2640" w:type="dxa"/>
            <w:vAlign w:val="bottom"/>
          </w:tcPr>
          <w:p>
            <w:pPr>
              <w:ind w:left="100"/>
              <w:spacing w:after="0"/>
              <w:rPr>
                <w:sz w:val="20"/>
                <w:szCs w:val="20"/>
                <w:color w:val="auto"/>
              </w:rPr>
            </w:pPr>
            <w:r>
              <w:rPr>
                <w:rFonts w:ascii="Arial" w:cs="Arial" w:eastAsia="Arial" w:hAnsi="Arial"/>
                <w:sz w:val="14"/>
                <w:szCs w:val="14"/>
                <w:color w:val="auto"/>
              </w:rPr>
              <w:t>Glendon Capital Management</w:t>
            </w:r>
          </w:p>
        </w:tc>
        <w:tc>
          <w:tcPr>
            <w:tcW w:w="8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100"/>
        <w:spacing w:after="0"/>
        <w:rPr>
          <w:sz w:val="20"/>
          <w:szCs w:val="20"/>
          <w:color w:val="auto"/>
        </w:rPr>
      </w:pPr>
      <w:r>
        <w:rPr>
          <w:rFonts w:ascii="Arial" w:cs="Arial" w:eastAsia="Arial" w:hAnsi="Arial"/>
          <w:sz w:val="14"/>
          <w:szCs w:val="14"/>
          <w:color w:val="auto"/>
        </w:rPr>
        <w:t>Former Chief Executive Officer,</w:t>
      </w:r>
    </w:p>
    <w:p>
      <w:pPr>
        <w:spacing w:after="0" w:line="2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Barclays Group US, Inc.</w:t>
      </w:r>
    </w:p>
    <w:p>
      <w:pPr>
        <w:spacing w:after="0" w:line="395" w:lineRule="exact"/>
        <w:rPr>
          <w:sz w:val="20"/>
          <w:szCs w:val="20"/>
          <w:color w:val="auto"/>
        </w:rPr>
      </w:pPr>
    </w:p>
    <w:p>
      <w:pPr>
        <w:jc w:val="center"/>
        <w:spacing w:after="0"/>
        <w:rPr>
          <w:sz w:val="20"/>
          <w:szCs w:val="20"/>
          <w:color w:val="auto"/>
        </w:rPr>
      </w:pPr>
      <w:r>
        <w:rPr>
          <w:rFonts w:ascii="Wingdings" w:cs="Wingdings" w:eastAsia="Wingdings" w:hAnsi="Wingdings"/>
          <w:sz w:val="20"/>
          <w:szCs w:val="20"/>
          <w:b w:val="1"/>
          <w:bCs w:val="1"/>
          <w:color w:val="auto"/>
          <w:shd w:val="clear" w:color="auto" w:fill="00B8FC"/>
        </w:rPr>
        <w:t xml:space="preserve">n </w:t>
      </w:r>
      <w:r>
        <w:rPr>
          <w:rFonts w:ascii="Arial" w:cs="Arial" w:eastAsia="Arial" w:hAnsi="Arial"/>
          <w:sz w:val="12"/>
          <w:szCs w:val="12"/>
          <w:color w:val="6D6D6D"/>
        </w:rPr>
        <w:t>= Chair</w:t>
      </w:r>
      <w:r>
        <w:rPr>
          <w:rFonts w:ascii="Wingdings" w:cs="Wingdings" w:eastAsia="Wingdings" w:hAnsi="Wingdings"/>
          <w:sz w:val="20"/>
          <w:szCs w:val="20"/>
          <w:b w:val="1"/>
          <w:bCs w:val="1"/>
          <w:color w:val="auto"/>
          <w:shd w:val="clear" w:color="auto" w:fill="00B8FC"/>
        </w:rPr>
        <w:t xml:space="preserve"> </w:t>
      </w:r>
      <w:r>
        <w:rPr>
          <w:rFonts w:ascii="Wingdings" w:cs="Wingdings" w:eastAsia="Wingdings" w:hAnsi="Wingdings"/>
          <w:sz w:val="20"/>
          <w:szCs w:val="20"/>
          <w:b w:val="1"/>
          <w:bCs w:val="1"/>
          <w:color w:val="auto"/>
          <w:shd w:val="clear" w:color="auto" w:fill="DE762B"/>
        </w:rPr>
        <w:t>l</w:t>
      </w:r>
      <w:r>
        <w:rPr>
          <w:rFonts w:ascii="Wingdings" w:cs="Wingdings" w:eastAsia="Wingdings" w:hAnsi="Wingdings"/>
          <w:sz w:val="20"/>
          <w:szCs w:val="20"/>
          <w:b w:val="1"/>
          <w:bCs w:val="1"/>
          <w:color w:val="auto"/>
          <w:shd w:val="clear" w:color="auto" w:fill="00B8FC"/>
        </w:rPr>
        <w:t xml:space="preserve"> </w:t>
      </w:r>
      <w:r>
        <w:rPr>
          <w:rFonts w:ascii="Arial" w:cs="Arial" w:eastAsia="Arial" w:hAnsi="Arial"/>
          <w:sz w:val="12"/>
          <w:szCs w:val="12"/>
          <w:color w:val="6D6D6D"/>
        </w:rPr>
        <w:t>= Member</w:t>
      </w:r>
      <w:r>
        <w:rPr>
          <w:rFonts w:ascii="Wingdings" w:cs="Wingdings" w:eastAsia="Wingdings" w:hAnsi="Wingdings"/>
          <w:sz w:val="20"/>
          <w:szCs w:val="20"/>
          <w:b w:val="1"/>
          <w:bCs w:val="1"/>
          <w:color w:val="auto"/>
          <w:shd w:val="clear" w:color="auto" w:fill="00B8FC"/>
        </w:rPr>
        <w:t xml:space="preserve"> </w:t>
      </w:r>
      <w:r>
        <w:rPr>
          <w:rFonts w:ascii="Wingdings" w:cs="Wingdings" w:eastAsia="Wingdings" w:hAnsi="Wingdings"/>
          <w:sz w:val="17"/>
          <w:szCs w:val="17"/>
          <w:b w:val="1"/>
          <w:bCs w:val="1"/>
          <w:color w:val="auto"/>
          <w:highlight w:val="black"/>
          <w:shd w:val="clear" w:color="auto" w:fill="00B8FC"/>
        </w:rPr>
        <w:t>t</w:t>
      </w:r>
      <w:r>
        <w:rPr>
          <w:rFonts w:ascii="Wingdings" w:cs="Wingdings" w:eastAsia="Wingdings" w:hAnsi="Wingdings"/>
          <w:sz w:val="20"/>
          <w:szCs w:val="20"/>
          <w:b w:val="1"/>
          <w:bCs w:val="1"/>
          <w:color w:val="auto"/>
          <w:shd w:val="clear" w:color="auto" w:fill="00B8FC"/>
        </w:rPr>
        <w:t xml:space="preserve"> </w:t>
      </w:r>
      <w:r>
        <w:rPr>
          <w:rFonts w:ascii="Arial" w:cs="Arial" w:eastAsia="Arial" w:hAnsi="Arial"/>
          <w:sz w:val="12"/>
          <w:szCs w:val="12"/>
          <w:color w:val="6D6D6D"/>
        </w:rPr>
        <w:t>= Lead Independent Director</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005388"/>
        </w:rPr>
        <w:t xml:space="preserve">AC </w:t>
      </w:r>
      <w:r>
        <w:rPr>
          <w:rFonts w:ascii="Arial" w:cs="Arial" w:eastAsia="Arial" w:hAnsi="Arial"/>
          <w:sz w:val="13"/>
          <w:szCs w:val="13"/>
          <w:color w:val="6D6D6D"/>
        </w:rPr>
        <w:t>= Audit Committee;</w:t>
      </w:r>
      <w:r>
        <w:rPr>
          <w:rFonts w:ascii="Arial" w:cs="Arial" w:eastAsia="Arial" w:hAnsi="Arial"/>
          <w:sz w:val="13"/>
          <w:szCs w:val="13"/>
          <w:b w:val="1"/>
          <w:bCs w:val="1"/>
          <w:color w:val="005388"/>
        </w:rPr>
        <w:t xml:space="preserve"> GNC </w:t>
      </w:r>
      <w:r>
        <w:rPr>
          <w:rFonts w:ascii="Arial" w:cs="Arial" w:eastAsia="Arial" w:hAnsi="Arial"/>
          <w:sz w:val="13"/>
          <w:szCs w:val="13"/>
          <w:color w:val="6D6D6D"/>
        </w:rPr>
        <w:t>= Governance and Nominating Committee;</w:t>
      </w:r>
      <w:r>
        <w:rPr>
          <w:rFonts w:ascii="Arial" w:cs="Arial" w:eastAsia="Arial" w:hAnsi="Arial"/>
          <w:sz w:val="13"/>
          <w:szCs w:val="13"/>
          <w:b w:val="1"/>
          <w:bCs w:val="1"/>
          <w:color w:val="005388"/>
        </w:rPr>
        <w:t xml:space="preserve"> RC </w:t>
      </w:r>
      <w:r>
        <w:rPr>
          <w:rFonts w:ascii="Arial" w:cs="Arial" w:eastAsia="Arial" w:hAnsi="Arial"/>
          <w:sz w:val="13"/>
          <w:szCs w:val="13"/>
          <w:color w:val="6D6D6D"/>
        </w:rPr>
        <w:t>= Risk Committee;</w:t>
      </w:r>
      <w:r>
        <w:rPr>
          <w:rFonts w:ascii="Arial" w:cs="Arial" w:eastAsia="Arial" w:hAnsi="Arial"/>
          <w:sz w:val="13"/>
          <w:szCs w:val="13"/>
          <w:b w:val="1"/>
          <w:bCs w:val="1"/>
          <w:color w:val="005388"/>
        </w:rPr>
        <w:t xml:space="preserve"> CC </w:t>
      </w:r>
      <w:r>
        <w:rPr>
          <w:rFonts w:ascii="Arial" w:cs="Arial" w:eastAsia="Arial" w:hAnsi="Arial"/>
          <w:sz w:val="13"/>
          <w:szCs w:val="13"/>
          <w:color w:val="6D6D6D"/>
        </w:rPr>
        <w:t>= Compensation Committee</w:t>
      </w:r>
    </w:p>
    <w:p>
      <w:pPr>
        <w:spacing w:after="0" w:line="3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Regina Muehlhauser has served on our Board since 2017. She is the Chair of the Board's Risk Committee, and also a member of the Board's Audit Committee. On May 14, 2026 (when Ms. Muehlhauser's current one-year term of service expires), Ms. Muehlhauser will retire from the Board. Ms. Muehlhauser's decision does not involve a disagreement on any matter relating the Company’s operations, policies or practices. Following the Annual Meeting and the anticipated election of the director nominees, the Board plans to appoint Ms. McCreary as Chair of the Risk Committee and Ms. Huskins as Chair of the Governance and Nominating Committee. The Company will disclose such appointments on our website.</w:t>
      </w:r>
    </w:p>
    <w:p>
      <w:pPr>
        <w:spacing w:after="0" w:line="336"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PERFORMANCE HIGHLIGHTS AND STRATEGY</w:t>
      </w:r>
    </w:p>
    <w:p>
      <w:pPr>
        <w:spacing w:after="0" w:line="13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founded the Company in 2012 with a goal to provide a differentiated commitment and standard of service, and a clear vision as to how we should engage in the market to drive value for borrowers, our lender customers, our employees, our stockholders and other important stakeholders. Since our founding, we have focused on building the Company in a sustainable, risk-responsible manner, positioning our business to perform across all market cycles. This approach has served us well.</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2025, the Company delivered strong operating performance, significant growth in our insured portfolio and standout financial results. We closed the year with $49 billion of total new insurance written (NIW) volume and a record $221 billion of high-quality, high-performing primary insurance in-force (IIF). We delivered broad success in customer development, continued to innovate in the reinsurance market, and once again achieved industry-leading credit performance. We generated a record $389 million of GAAP net income in 2025, up 8% compared to 2024, and delivered a 16.2% return-on-equity. Our shares also traded up 11% during the year on the broad strength of our results.</w:t>
      </w:r>
    </w:p>
    <w:p>
      <w:pPr>
        <w:spacing w:after="0" w:line="6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We believe our success stems from our commitment to our core founding principles – supporting our lender customers and their borrowers in a sustainable and risk-responsible way, and in doing so helping to support access and affordability of housing for all. We have established a differentiated risk management approach that includes Rate GPS</w:t>
      </w:r>
      <w:r>
        <w:rPr>
          <w:rFonts w:ascii="Arial" w:cs="Arial" w:eastAsia="Arial" w:hAnsi="Arial"/>
          <w:sz w:val="21"/>
          <w:szCs w:val="21"/>
          <w:color w:val="auto"/>
          <w:vertAlign w:val="superscript"/>
        </w:rPr>
        <w:t>®</w:t>
      </w:r>
      <w:r>
        <w:rPr>
          <w:rFonts w:ascii="Arial" w:cs="Arial" w:eastAsia="Arial" w:hAnsi="Arial"/>
          <w:sz w:val="16"/>
          <w:szCs w:val="16"/>
          <w:color w:val="auto"/>
        </w:rPr>
        <w:t>, our proprietary pricing platform, which allows us to dynamically evaluate, select and price the risk that goes into our portfolio, individual risk underwriting, and comprehensive reinsurance. We believe our success to date and credit risk management strategies will allow us to continue to achieve our goal of delivering strong returns to our stockholders in a manner that is balanced, profitable, and broadly sustainable.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CORPORATE GOVERNANCE</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Board of Directors (Board) oversees the development and execution of our strategy. We are committed to corporate governance practices that promote long-term value and strengthen Board and management accountability to our stockholders. Our Board has implemented a number of measures to enrich Board composition, enhance independent oversight and increase Board effectiveness. These measures align our corporate governance structure with achieving our strategic objectives, and enable our Board to effectively communicate and oversee our culture of compliance, risk management, customer and stakeholder satisfaction, and robust, sustainable growth.</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Board believes that strong, independent board leadership is a critical aspect of effective corporate governance, and established the position of Lead Independent Director. The Lead Independent Director is an independent director selected by the other independent directors. Mr. Scheid has served as the Lead Independent Director since the position was established in May 2012.</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Our Board also believes that communication with stockholders and openness to investor feedback are crucial to the long-term success of the Company. We have an active investor relations program and our management regularly meets with investors, prospective investors and investment analysts to discuss our</w:t>
      </w:r>
    </w:p>
    <w:p>
      <w:pPr>
        <w:spacing w:after="0"/>
        <w:rPr>
          <w:sz w:val="20"/>
          <w:szCs w:val="20"/>
          <w:color w:val="auto"/>
        </w:rPr>
      </w:pPr>
      <w:r>
        <w:rPr>
          <w:rFonts w:ascii="Arial" w:cs="Arial" w:eastAsia="Arial" w:hAnsi="Arial"/>
          <w:sz w:val="16"/>
          <w:szCs w:val="16"/>
          <w:color w:val="auto"/>
        </w:rPr>
        <w:t>business and strategy. See "</w:t>
      </w:r>
      <w:r>
        <w:rPr>
          <w:rFonts w:ascii="Arial" w:cs="Arial" w:eastAsia="Arial" w:hAnsi="Arial"/>
          <w:sz w:val="16"/>
          <w:szCs w:val="16"/>
          <w:i w:val="1"/>
          <w:iCs w:val="1"/>
          <w:color w:val="auto"/>
        </w:rPr>
        <w:t>Item 1 — Election of Directors — Corporate Governance and Board Matters — Stockholder Engagement</w:t>
      </w:r>
      <w:r>
        <w:rPr>
          <w:rFonts w:ascii="Arial" w:cs="Arial" w:eastAsia="Arial" w:hAnsi="Arial"/>
          <w:sz w:val="16"/>
          <w:szCs w:val="16"/>
          <w:color w:val="auto"/>
        </w:rPr>
        <w:t xml:space="preserve">" on page </w:t>
      </w:r>
      <w:r>
        <w:rPr>
          <w:rFonts w:ascii="Arial" w:cs="Arial" w:eastAsia="Arial" w:hAnsi="Arial"/>
          <w:sz w:val="16"/>
          <w:szCs w:val="16"/>
          <w:u w:val="single" w:color="auto"/>
          <w:color w:val="0000FF"/>
        </w:rPr>
        <w:t>30</w:t>
      </w:r>
      <w:r>
        <w:rPr>
          <w:rFonts w:ascii="Arial" w:cs="Arial" w:eastAsia="Arial" w:hAnsi="Arial"/>
          <w:sz w:val="16"/>
          <w:szCs w:val="16"/>
          <w:color w:val="auto"/>
        </w:rPr>
        <w:t>.</w:t>
      </w:r>
    </w:p>
    <w:p>
      <w:pPr>
        <w:spacing w:after="0" w:line="1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Stockholders may communicate with the members of the Board, the Lead Independent Director or the non-management members of the Board as a group, by sending a written communication to the following:</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NMI Holdings, Inc., Attention: Corporate Secretary, 2100 Powell Street, 12th Floor, Emeryville, CA 94608.</w:t>
      </w:r>
    </w:p>
    <w:p>
      <w:pPr>
        <w:spacing w:after="0" w:line="366" w:lineRule="exact"/>
        <w:rPr>
          <w:sz w:val="20"/>
          <w:szCs w:val="20"/>
          <w:color w:val="auto"/>
        </w:rPr>
      </w:pPr>
    </w:p>
    <w:p>
      <w:pPr>
        <w:ind w:left="20"/>
        <w:spacing w:after="0"/>
        <w:tabs>
          <w:tab w:leader="none" w:pos="55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GOVERNANCE HIGHLIGHTS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Important components of our overall governance profile include: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005388"/>
        </w:rPr>
        <w:t>Leadership and Board Composition</w:t>
      </w:r>
    </w:p>
    <w:p>
      <w:pPr>
        <w:spacing w:after="0" w:line="11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6"/>
          <w:szCs w:val="16"/>
          <w:color w:val="005388"/>
        </w:rPr>
      </w:pPr>
      <w:r>
        <w:rPr>
          <w:rFonts w:ascii="Arial" w:cs="Arial" w:eastAsia="Arial" w:hAnsi="Arial"/>
          <w:sz w:val="16"/>
          <w:szCs w:val="16"/>
          <w:color w:val="auto"/>
        </w:rPr>
        <w:t>Separation of Executive Chairman and Chief Executive Officer roles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13"/>
        </w:numPr>
        <w:rPr>
          <w:rFonts w:ascii="Arial" w:cs="Arial" w:eastAsia="Arial" w:hAnsi="Arial"/>
          <w:sz w:val="16"/>
          <w:szCs w:val="16"/>
          <w:color w:val="005388"/>
        </w:rPr>
      </w:pPr>
      <w:r>
        <w:rPr>
          <w:rFonts w:ascii="Arial" w:cs="Arial" w:eastAsia="Arial" w:hAnsi="Arial"/>
          <w:sz w:val="16"/>
          <w:szCs w:val="16"/>
          <w:color w:val="auto"/>
        </w:rPr>
        <w:t>Robust Lead Independent Director duties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3"/>
        </w:numPr>
        <w:rPr>
          <w:rFonts w:ascii="Arial" w:cs="Arial" w:eastAsia="Arial" w:hAnsi="Arial"/>
          <w:sz w:val="16"/>
          <w:szCs w:val="16"/>
          <w:color w:val="005388"/>
        </w:rPr>
      </w:pPr>
      <w:r>
        <w:rPr>
          <w:rFonts w:ascii="Arial" w:cs="Arial" w:eastAsia="Arial" w:hAnsi="Arial"/>
          <w:sz w:val="16"/>
          <w:szCs w:val="16"/>
          <w:color w:val="auto"/>
        </w:rPr>
        <w:t>Independence of all members of the Committees of the Board and all Committee chairs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13"/>
        </w:numPr>
        <w:rPr>
          <w:rFonts w:ascii="Arial" w:cs="Arial" w:eastAsia="Arial" w:hAnsi="Arial"/>
          <w:sz w:val="16"/>
          <w:szCs w:val="16"/>
          <w:color w:val="005388"/>
        </w:rPr>
      </w:pPr>
      <w:r>
        <w:rPr>
          <w:rFonts w:ascii="Arial" w:cs="Arial" w:eastAsia="Arial" w:hAnsi="Arial"/>
          <w:sz w:val="16"/>
          <w:szCs w:val="16"/>
          <w:color w:val="auto"/>
        </w:rPr>
        <w:t>Unclassified Board</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13"/>
        </w:numPr>
        <w:rPr>
          <w:rFonts w:ascii="Arial" w:cs="Arial" w:eastAsia="Arial" w:hAnsi="Arial"/>
          <w:sz w:val="16"/>
          <w:szCs w:val="16"/>
          <w:color w:val="005388"/>
        </w:rPr>
      </w:pPr>
      <w:r>
        <w:rPr>
          <w:rFonts w:ascii="Arial" w:cs="Arial" w:eastAsia="Arial" w:hAnsi="Arial"/>
          <w:sz w:val="16"/>
          <w:szCs w:val="16"/>
          <w:color w:val="auto"/>
        </w:rPr>
        <w:t>80% (8 out of 10) of current directors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are independent</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005388"/>
        </w:rPr>
        <w:t>Board and Committee Practices</w:t>
      </w:r>
    </w:p>
    <w:p>
      <w:pPr>
        <w:spacing w:after="0" w:line="113"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Demonstrated commitment to Board refreshment</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Demonstrated commitment to Committee chair change</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Annual Board and Committee evaluations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Annual review and acknowledgment of policies</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Regular executive sessions of independent directors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Committee meetings open to all directors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Comprehensive risk oversight by Board and its Committees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Board continuing education policies and related activities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40% (4 out of 10) of current directors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are women</w:t>
      </w:r>
    </w:p>
    <w:p>
      <w:pPr>
        <w:spacing w:after="0" w:line="58"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50% (2 out of 4) of committee chair positions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are held by women</w:t>
      </w:r>
    </w:p>
    <w:p>
      <w:pPr>
        <w:spacing w:after="0" w:line="42" w:lineRule="exact"/>
        <w:rPr>
          <w:rFonts w:ascii="Arial" w:cs="Arial" w:eastAsia="Arial" w:hAnsi="Arial"/>
          <w:sz w:val="16"/>
          <w:szCs w:val="16"/>
          <w:color w:val="005388"/>
        </w:rPr>
      </w:pPr>
    </w:p>
    <w:p>
      <w:pPr>
        <w:ind w:left="220" w:hanging="212"/>
        <w:spacing w:after="0"/>
        <w:tabs>
          <w:tab w:leader="none" w:pos="220" w:val="left"/>
        </w:tabs>
        <w:numPr>
          <w:ilvl w:val="0"/>
          <w:numId w:val="14"/>
        </w:numPr>
        <w:rPr>
          <w:rFonts w:ascii="Arial" w:cs="Arial" w:eastAsia="Arial" w:hAnsi="Arial"/>
          <w:sz w:val="16"/>
          <w:szCs w:val="16"/>
          <w:color w:val="005388"/>
        </w:rPr>
      </w:pPr>
      <w:r>
        <w:rPr>
          <w:rFonts w:ascii="Arial" w:cs="Arial" w:eastAsia="Arial" w:hAnsi="Arial"/>
          <w:sz w:val="16"/>
          <w:szCs w:val="16"/>
          <w:color w:val="auto"/>
        </w:rPr>
        <w:t>50% (5 out of 10) of current directors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are from diverse demographic backgrounds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005388"/>
        </w:rPr>
        <w:t>Stockholder Alignment</w:t>
      </w:r>
    </w:p>
    <w:p>
      <w:pPr>
        <w:spacing w:after="0" w:line="113"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6"/>
          <w:szCs w:val="16"/>
          <w:color w:val="005388"/>
        </w:rPr>
      </w:pPr>
      <w:r>
        <w:rPr>
          <w:rFonts w:ascii="Arial" w:cs="Arial" w:eastAsia="Arial" w:hAnsi="Arial"/>
          <w:sz w:val="16"/>
          <w:szCs w:val="16"/>
          <w:color w:val="auto"/>
        </w:rPr>
        <w:t>Annual election of directors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15"/>
        </w:numPr>
        <w:rPr>
          <w:rFonts w:ascii="Arial" w:cs="Arial" w:eastAsia="Arial" w:hAnsi="Arial"/>
          <w:sz w:val="16"/>
          <w:szCs w:val="16"/>
          <w:color w:val="005388"/>
        </w:rPr>
      </w:pPr>
      <w:r>
        <w:rPr>
          <w:rFonts w:ascii="Arial" w:cs="Arial" w:eastAsia="Arial" w:hAnsi="Arial"/>
          <w:sz w:val="16"/>
          <w:szCs w:val="16"/>
          <w:color w:val="auto"/>
        </w:rPr>
        <w:t>Mandatory stock ownership requirements for directors and executive officers</w:t>
      </w:r>
    </w:p>
    <w:p>
      <w:pPr>
        <w:spacing w:after="0" w:line="126" w:lineRule="exact"/>
        <w:rPr>
          <w:rFonts w:ascii="Arial" w:cs="Arial" w:eastAsia="Arial" w:hAnsi="Arial"/>
          <w:sz w:val="16"/>
          <w:szCs w:val="16"/>
          <w:color w:val="005388"/>
        </w:rPr>
      </w:pPr>
    </w:p>
    <w:p>
      <w:pPr>
        <w:ind w:right="3080" w:firstLine="8"/>
        <w:spacing w:after="0" w:line="427" w:lineRule="auto"/>
        <w:tabs>
          <w:tab w:leader="none" w:pos="205" w:val="left"/>
        </w:tabs>
        <w:numPr>
          <w:ilvl w:val="0"/>
          <w:numId w:val="15"/>
        </w:numPr>
        <w:rPr>
          <w:rFonts w:ascii="Arial" w:cs="Arial" w:eastAsia="Arial" w:hAnsi="Arial"/>
          <w:sz w:val="16"/>
          <w:szCs w:val="16"/>
          <w:color w:val="005388"/>
        </w:rPr>
      </w:pPr>
      <w:r>
        <w:rPr>
          <w:rFonts w:ascii="Arial" w:cs="Arial" w:eastAsia="Arial" w:hAnsi="Arial"/>
          <w:sz w:val="16"/>
          <w:szCs w:val="16"/>
          <w:color w:val="auto"/>
        </w:rPr>
        <w:t xml:space="preserve">Extensive and proactive outreach/engagement with stockholders, prospective investors and other stakeholders See page </w:t>
      </w:r>
      <w:r>
        <w:rPr>
          <w:rFonts w:ascii="Arial" w:cs="Arial" w:eastAsia="Arial" w:hAnsi="Arial"/>
          <w:sz w:val="16"/>
          <w:szCs w:val="16"/>
          <w:u w:val="single" w:color="auto"/>
          <w:color w:val="0000FF"/>
        </w:rPr>
        <w:t>21</w:t>
      </w:r>
      <w:r>
        <w:rPr>
          <w:rFonts w:ascii="Arial" w:cs="Arial" w:eastAsia="Arial" w:hAnsi="Arial"/>
          <w:sz w:val="16"/>
          <w:szCs w:val="16"/>
          <w:color w:val="auto"/>
        </w:rPr>
        <w:t xml:space="preserve"> for additional information regarding our governance profile.</w:t>
      </w:r>
    </w:p>
    <w:p>
      <w:pPr>
        <w:spacing w:after="0" w:line="43" w:lineRule="exact"/>
        <w:rPr>
          <w:sz w:val="20"/>
          <w:szCs w:val="20"/>
          <w:color w:val="auto"/>
        </w:rPr>
      </w:pPr>
    </w:p>
    <w:p>
      <w:pPr>
        <w:ind w:left="240" w:hanging="232"/>
        <w:spacing w:after="0"/>
        <w:tabs>
          <w:tab w:leader="none" w:pos="240" w:val="left"/>
        </w:tabs>
        <w:numPr>
          <w:ilvl w:val="0"/>
          <w:numId w:val="16"/>
        </w:numPr>
        <w:rPr>
          <w:rFonts w:ascii="Arial" w:cs="Arial" w:eastAsia="Arial" w:hAnsi="Arial"/>
          <w:sz w:val="13"/>
          <w:szCs w:val="13"/>
          <w:color w:val="6D6D6D"/>
        </w:rPr>
      </w:pPr>
      <w:r>
        <w:rPr>
          <w:rFonts w:ascii="Arial" w:cs="Arial" w:eastAsia="Arial" w:hAnsi="Arial"/>
          <w:sz w:val="13"/>
          <w:szCs w:val="13"/>
          <w:color w:val="6D6D6D"/>
        </w:rPr>
        <w:t>Includes Ms. Muehlhauser, who will retire from our Board as of the 2026 Annual Meeting in May 2026.</w:t>
      </w: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COMPENSATION PRACTICES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design our executive compensation program to drive the creation of long-term stockholder value. Through our compensation program, we seek to attract, retain and motivate talented and qualified executives from a diverse candidate pool, while maximizing stockholder value creation over the long-term by targeting compensation levels that are competitive when measured against other companies within our industry and geographic location. The Compensation Committee and management believe our executive compensation program must be flexible to adjust the mix across annual salaries, incentive and equity awards that measure corporate performance to reward the advancement of our corporate goals and execution against performance objectives that align with our strategic plans, which in turn contributes to the successful development and long-term growth of the Company. We focus on performance-based compensation, as emphasized through annual cash-based awards and grants of service-based (RSUs) and performance-based restricted stock units (PRSUs) that appropriately motivate executives and reward them for delivering results over the short and long-term when measured against Compensation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Committee-approved objectives. See "</w:t>
      </w:r>
      <w:r>
        <w:rPr>
          <w:rFonts w:ascii="Arial" w:cs="Arial" w:eastAsia="Arial" w:hAnsi="Arial"/>
          <w:sz w:val="16"/>
          <w:szCs w:val="16"/>
          <w:i w:val="1"/>
          <w:iCs w:val="1"/>
          <w:color w:val="auto"/>
        </w:rPr>
        <w:t>Compensation of Named Executive Officers — Compensation Discussion and Analysis — Elements of 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 Program.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158750</wp:posOffset>
            </wp:positionV>
            <wp:extent cx="1645920" cy="1645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45920"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60"/>
        <w:spacing w:after="0"/>
        <w:rPr>
          <w:sz w:val="20"/>
          <w:szCs w:val="20"/>
          <w:color w:val="auto"/>
        </w:rPr>
      </w:pPr>
      <w:r>
        <w:rPr>
          <w:rFonts w:ascii="Wingdings" w:cs="Wingdings" w:eastAsia="Wingdings" w:hAnsi="Wingdings"/>
          <w:sz w:val="35"/>
          <w:szCs w:val="35"/>
          <w:b w:val="1"/>
          <w:bCs w:val="1"/>
          <w:color w:val="DE762B"/>
          <w:vertAlign w:val="subscript"/>
        </w:rPr>
        <w:t>n</w:t>
      </w:r>
      <w:r>
        <w:rPr>
          <w:rFonts w:ascii="Arial" w:cs="Arial" w:eastAsia="Arial" w:hAnsi="Arial"/>
          <w:sz w:val="14"/>
          <w:szCs w:val="14"/>
          <w:color w:val="auto"/>
        </w:rPr>
        <w:t xml:space="preserve"> Base Salary</w:t>
      </w:r>
    </w:p>
    <w:p>
      <w:pPr>
        <w:ind w:left="6460"/>
        <w:spacing w:after="0" w:line="191" w:lineRule="auto"/>
        <w:rPr>
          <w:sz w:val="20"/>
          <w:szCs w:val="20"/>
          <w:color w:val="auto"/>
        </w:rPr>
      </w:pPr>
      <w:r>
        <w:rPr>
          <w:rFonts w:ascii="Wingdings" w:cs="Wingdings" w:eastAsia="Wingdings" w:hAnsi="Wingdings"/>
          <w:sz w:val="35"/>
          <w:szCs w:val="35"/>
          <w:b w:val="1"/>
          <w:bCs w:val="1"/>
          <w:color w:val="005388"/>
          <w:vertAlign w:val="subscript"/>
        </w:rPr>
        <w:t>n</w:t>
      </w:r>
      <w:r>
        <w:rPr>
          <w:rFonts w:ascii="Arial" w:cs="Arial" w:eastAsia="Arial" w:hAnsi="Arial"/>
          <w:sz w:val="14"/>
          <w:szCs w:val="14"/>
          <w:color w:val="auto"/>
        </w:rPr>
        <w:t xml:space="preserve"> Short-Term Incentive</w:t>
      </w:r>
    </w:p>
    <w:p>
      <w:pPr>
        <w:ind w:left="6460"/>
        <w:spacing w:after="0" w:line="180" w:lineRule="auto"/>
        <w:rPr>
          <w:sz w:val="20"/>
          <w:szCs w:val="20"/>
          <w:color w:val="auto"/>
        </w:rPr>
      </w:pPr>
      <w:r>
        <w:rPr>
          <w:rFonts w:ascii="Wingdings" w:cs="Wingdings" w:eastAsia="Wingdings" w:hAnsi="Wingdings"/>
          <w:sz w:val="33"/>
          <w:szCs w:val="33"/>
          <w:b w:val="1"/>
          <w:bCs w:val="1"/>
          <w:color w:val="A7A9AC"/>
          <w:vertAlign w:val="subscript"/>
        </w:rPr>
        <w:t>n</w:t>
      </w:r>
      <w:r>
        <w:rPr>
          <w:rFonts w:ascii="Arial" w:cs="Arial" w:eastAsia="Arial" w:hAnsi="Arial"/>
          <w:sz w:val="14"/>
          <w:szCs w:val="14"/>
          <w:color w:val="auto"/>
        </w:rPr>
        <w:t xml:space="preserve"> RSUs</w:t>
      </w:r>
    </w:p>
    <w:p>
      <w:pPr>
        <w:ind w:left="6460"/>
        <w:spacing w:after="0" w:line="184" w:lineRule="auto"/>
        <w:rPr>
          <w:sz w:val="20"/>
          <w:szCs w:val="20"/>
          <w:color w:val="auto"/>
        </w:rPr>
      </w:pPr>
      <w:r>
        <w:rPr>
          <w:rFonts w:ascii="Wingdings" w:cs="Wingdings" w:eastAsia="Wingdings" w:hAnsi="Wingdings"/>
          <w:sz w:val="32"/>
          <w:szCs w:val="32"/>
          <w:b w:val="1"/>
          <w:bCs w:val="1"/>
          <w:color w:val="00B8FC"/>
          <w:vertAlign w:val="subscript"/>
        </w:rPr>
        <w:t>n</w:t>
      </w:r>
      <w:r>
        <w:rPr>
          <w:rFonts w:ascii="Arial" w:cs="Arial" w:eastAsia="Arial" w:hAnsi="Arial"/>
          <w:sz w:val="14"/>
          <w:szCs w:val="14"/>
          <w:color w:val="auto"/>
        </w:rPr>
        <w:t xml:space="preserve"> PRSUs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5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sz w:val="1"/>
          <w:szCs w:val="1"/>
          <w:color w:val="auto"/>
        </w:rPr>
        <w:drawing>
          <wp:inline distT="0" distB="0" distL="0" distR="0">
            <wp:extent cx="539750" cy="63436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9750" cy="634365"/>
                    </a:xfrm>
                    <a:prstGeom prst="rect">
                      <a:avLst/>
                    </a:prstGeom>
                    <a:noFill/>
                    <a:ln>
                      <a:noFill/>
                    </a:ln>
                  </pic:spPr>
                </pic:pic>
              </a:graphicData>
            </a:graphic>
          </wp:inline>
        </w:drawing>
      </w:r>
      <w:r>
        <w:rPr>
          <w:rFonts w:ascii="Arial" w:cs="Arial" w:eastAsia="Arial" w:hAnsi="Arial"/>
          <w:sz w:val="43"/>
          <w:szCs w:val="43"/>
          <w:color w:val="A7A9AC"/>
        </w:rPr>
        <w:t xml:space="preserve">Proxy </w:t>
      </w:r>
      <w:r>
        <w:rPr>
          <w:rFonts w:ascii="Arial" w:cs="Arial" w:eastAsia="Arial" w:hAnsi="Arial"/>
          <w:sz w:val="43"/>
          <w:szCs w:val="43"/>
          <w:b w:val="1"/>
          <w:bCs w:val="1"/>
          <w:color w:val="DE762B"/>
        </w:rPr>
        <w:t>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-496570</wp:posOffset>
            </wp:positionV>
            <wp:extent cx="6591935" cy="4972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1935" cy="497205"/>
                    </a:xfrm>
                    <a:prstGeom prst="rect">
                      <a:avLst/>
                    </a:prstGeom>
                    <a:noFill/>
                  </pic:spPr>
                </pic:pic>
              </a:graphicData>
            </a:graphic>
          </wp:anchor>
        </w:drawing>
      </w:r>
    </w:p>
    <w:p>
      <w:pPr>
        <w:spacing w:after="0" w:line="2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This proxy statement is delivered in connection with the solicitation of proxies by the Board for use at our 2026 Annual Meeting to be held as a virtual meeting on Thursday, May 14, 2026, at 8:30 a.m. Pacific Time, and any postponement or adjournment of the meeting. You will be able to attend the Annual Meeting via live audio webcast and vote and submit questions during the meeting by visiting </w:t>
      </w:r>
      <w:r>
        <w:rPr>
          <w:rFonts w:ascii="Arial" w:cs="Arial" w:eastAsia="Arial" w:hAnsi="Arial"/>
          <w:sz w:val="16"/>
          <w:szCs w:val="16"/>
          <w:b w:val="1"/>
          <w:bCs w:val="1"/>
          <w:i w:val="1"/>
          <w:iCs w:val="1"/>
          <w:color w:val="auto"/>
        </w:rPr>
        <w:t>www.virtualshareholdermeeting.com/NMIH2026</w:t>
      </w:r>
      <w:r>
        <w:rPr>
          <w:rFonts w:ascii="Arial" w:cs="Arial" w:eastAsia="Arial" w:hAnsi="Arial"/>
          <w:sz w:val="16"/>
          <w:szCs w:val="16"/>
          <w:color w:val="auto"/>
        </w:rPr>
        <w:t xml:space="preserve"> when you enter your 16-digit Control Number provided to you on your Availability Notice or on your proxy card if you receive materials by mail. We encourage you to vote prior to the meeting on the proposals described below in this proxy statement. In this proxy statement we refer to NMI Holdings, Inc. as NMI, the Company, we, our, or us.</w:t>
      </w:r>
    </w:p>
    <w:p>
      <w:pPr>
        <w:spacing w:after="0" w:line="8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This proxy statement and form of proxy card are first being sent to stockholders on March 26, 2026 in order to furnish information relating to the business to be transacted at the meeting. A copy of the Notice of 2026 Annual Meeting of Stockholders (Notice of Meeting) accompanies this proxy statement. These materials are also available on the internet at </w:t>
      </w:r>
      <w:r>
        <w:rPr>
          <w:rFonts w:ascii="Arial" w:cs="Arial" w:eastAsia="Arial" w:hAnsi="Arial"/>
          <w:sz w:val="16"/>
          <w:szCs w:val="16"/>
          <w:b w:val="1"/>
          <w:bCs w:val="1"/>
          <w:i w:val="1"/>
          <w:iCs w:val="1"/>
          <w:color w:val="0C2940"/>
        </w:rPr>
        <w:t>www.proxyvote.com</w:t>
      </w:r>
      <w:r>
        <w:rPr>
          <w:rFonts w:ascii="Arial" w:cs="Arial" w:eastAsia="Arial" w:hAnsi="Arial"/>
          <w:sz w:val="16"/>
          <w:szCs w:val="16"/>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ABOUT THE ANNUAL MEETING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005388"/>
        </w:rPr>
        <w:t>What is the purpose of the Annual Meeting?</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Annual Meeting, stockholders will act on the matters listed in our Notice of Meeting, including the election of the nine directors named in this proxy statement, an advisory vote on our executive compensation and the ratification of the appointment of BDO USA, P.C. (BDO) as our independent registered public accounting firm for the year ending December 31, 2026.</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005388"/>
        </w:rPr>
        <w:t>Who is entitled to notice of and to vote at the Annual Meeting?</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Only stockholders of record at the close of business on March 16, 2026, the record date for the Annual Meeting, are entitled to receive notice and to vote. For each share of common stock that you held on that date, you are entitled to one vote on each matter considered at the meeting. On the record date, 76,156,368 shares of common stock were outstanding and entitled to vote.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Why did I receive a notice regarding internet availability of proxy materials instead of a paper copy of printed materials?</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Pursuant to rules adopted by the U.S. Securities and Exchange Commission (SEC), we are permitted to furnish proxy materials, including this proxy statement, to our stockholders by providing access to such documents on the internet instead of mailing printed copies. Beginning on or about March 26, 2026, we will send to our stockholders of record the Availability Notice containing instructions on how to access this proxy statement and our Annual Report via the internet and how to vote online. As a result, you will not receive a printed copy of the proxy materials in the mail unless you request a copy.</w:t>
      </w:r>
    </w:p>
    <w:p>
      <w:pPr>
        <w:spacing w:after="0" w:line="6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stockholders of record will have the ability to access the proxy materials on a website referred to in the Availability Notice and may request a printed set of the proxy materials free of charge by mail or electronically from such website. If you would like to receive a printed or electronic copy of our proxy materials, you should follow the instructions for requesting such materials included in the Availability Notice. By participating in the e-proxy process, we save printing and mailing expenses and reduce the environmental impact of our Annual Meeting.</w:t>
      </w:r>
    </w:p>
    <w:p>
      <w:pPr>
        <w:spacing w:after="0" w:line="132" w:lineRule="exact"/>
        <w:rPr>
          <w:sz w:val="20"/>
          <w:szCs w:val="20"/>
          <w:color w:val="auto"/>
        </w:rPr>
      </w:pPr>
    </w:p>
    <w:p>
      <w:pPr>
        <w:ind w:right="140"/>
        <w:spacing w:after="0" w:line="316" w:lineRule="auto"/>
        <w:rPr>
          <w:sz w:val="20"/>
          <w:szCs w:val="20"/>
          <w:color w:val="auto"/>
        </w:rPr>
      </w:pPr>
      <w:r>
        <w:rPr>
          <w:rFonts w:ascii="Arial" w:cs="Arial" w:eastAsia="Arial" w:hAnsi="Arial"/>
          <w:sz w:val="16"/>
          <w:szCs w:val="16"/>
          <w:color w:val="005388"/>
        </w:rPr>
        <w:t>I share an address with another stockholder, and we received only one paper copy of the proxy materials. How may I obtain an additional copy of the proxy materials?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SEC rules allow us to deliver a single copy of an annual report and proxy statement to any household not participating in electronic proxy material delivery at which two or more stockholders reside, if we believe the stockholders are members of the same family (a practice called “householding”). We believe that householding benefits both you and the Company by eliminating duplicate mailings to stockholders living at the same address and by reducing our printing and mailing costs. Each stockholder will continue to receive a separate proxy card or voting instruction card.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Your household may have received a single set of proxy materials this year. If you prefer to receive your own copy now or in future years, please request a</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duplicate set by going to </w:t>
      </w:r>
      <w:r>
        <w:rPr>
          <w:rFonts w:ascii="Arial" w:cs="Arial" w:eastAsia="Arial" w:hAnsi="Arial"/>
          <w:sz w:val="16"/>
          <w:szCs w:val="16"/>
          <w:i w:val="1"/>
          <w:iCs w:val="1"/>
          <w:color w:val="0C2940"/>
        </w:rPr>
        <w:t>www.proxyvote.com</w:t>
      </w:r>
      <w:r>
        <w:rPr>
          <w:rFonts w:ascii="Arial" w:cs="Arial" w:eastAsia="Arial" w:hAnsi="Arial"/>
          <w:sz w:val="16"/>
          <w:szCs w:val="16"/>
          <w:color w:val="auto"/>
        </w:rPr>
        <w:t xml:space="preserve">, by e-mailing </w:t>
      </w:r>
      <w:r>
        <w:rPr>
          <w:rFonts w:ascii="Arial" w:cs="Arial" w:eastAsia="Arial" w:hAnsi="Arial"/>
          <w:sz w:val="16"/>
          <w:szCs w:val="16"/>
          <w:i w:val="1"/>
          <w:iCs w:val="1"/>
          <w:color w:val="0C2940"/>
        </w:rPr>
        <w:t>sendmaterial@proxyvote.com</w:t>
      </w:r>
      <w:r>
        <w:rPr>
          <w:rFonts w:ascii="Arial" w:cs="Arial" w:eastAsia="Arial" w:hAnsi="Arial"/>
          <w:sz w:val="16"/>
          <w:szCs w:val="16"/>
          <w:color w:val="auto"/>
        </w:rPr>
        <w:t xml:space="preserve">, or by written communication to </w:t>
      </w:r>
      <w:r>
        <w:rPr>
          <w:rFonts w:ascii="Arial" w:cs="Arial" w:eastAsia="Arial" w:hAnsi="Arial"/>
          <w:sz w:val="16"/>
          <w:szCs w:val="16"/>
          <w:i w:val="1"/>
          <w:iCs w:val="1"/>
          <w:color w:val="0C2940"/>
        </w:rPr>
        <w:t>NMI Holdings, Inc., Attention: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0C2940"/>
        </w:rPr>
        <w:t>Corporate Secretary, 2100 Powell Street, 12th Floor, Emeryville, CA 94608</w:t>
      </w:r>
      <w:r>
        <w:rPr>
          <w:rFonts w:ascii="Arial" w:cs="Arial" w:eastAsia="Arial" w:hAnsi="Arial"/>
          <w:sz w:val="16"/>
          <w:szCs w:val="16"/>
          <w:color w:val="000000"/>
        </w:rPr>
        <w:t>. Alternatively, if your household received multiple sets of proxy materials last</w:t>
      </w:r>
    </w:p>
    <w:p>
      <w:pPr>
        <w:spacing w:after="0" w:line="1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color w:val="auto"/>
        </w:rPr>
        <w:t>year, and members of your household who are entitled to receive proxy materials would all prefer to receive only a single set of proxy materials, you may submit such a request as specified in the preceding sentences in this paragraph.</w:t>
      </w:r>
    </w:p>
    <w:p>
      <w:pPr>
        <w:spacing w:after="0" w:line="326" w:lineRule="exact"/>
        <w:rPr>
          <w:sz w:val="20"/>
          <w:szCs w:val="20"/>
          <w:color w:val="auto"/>
        </w:rPr>
      </w:pPr>
    </w:p>
    <w:p>
      <w:pPr>
        <w:ind w:left="20"/>
        <w:spacing w:after="0"/>
        <w:tabs>
          <w:tab w:leader="none" w:pos="55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a broker, bank or other nominee holds your shares, you may continue to receive some duplicate mailings. Certain brokers will eliminate duplicate account mailings by allowing stockholders to consent to such elimination, or through implied consent if a stockholder does not request continuation of duplicate mailings. Since not all brokers and nominees may offer stockholders the opportunity this year to eliminate duplicate mailings, you may need to contact your broker or other nominee directly to discontinue duplicate mailings to your household.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05388"/>
        </w:rPr>
        <w:t>How do I vote my shares?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If you were a registered stockholder on the record date (that is, you hold an NMI stock certificate or hold your NMI shares in an account with our transfer agent, American Stock Transfer &amp; Trust Company, LLC), you may vote your shares of common stock in advance of the Annual Meeting by visiting the Company's online voting website at </w:t>
      </w:r>
      <w:r>
        <w:rPr>
          <w:rFonts w:ascii="Arial" w:cs="Arial" w:eastAsia="Arial" w:hAnsi="Arial"/>
          <w:sz w:val="16"/>
          <w:szCs w:val="16"/>
          <w:i w:val="1"/>
          <w:iCs w:val="1"/>
          <w:color w:val="0C2940"/>
        </w:rPr>
        <w:t>www.proxyvote.com</w:t>
      </w:r>
      <w:r>
        <w:rPr>
          <w:rFonts w:ascii="Arial" w:cs="Arial" w:eastAsia="Arial" w:hAnsi="Arial"/>
          <w:sz w:val="16"/>
          <w:szCs w:val="16"/>
          <w:color w:val="auto"/>
        </w:rPr>
        <w:t xml:space="preserve"> or by calling </w:t>
      </w:r>
      <w:r>
        <w:rPr>
          <w:rFonts w:ascii="Arial" w:cs="Arial" w:eastAsia="Arial" w:hAnsi="Arial"/>
          <w:sz w:val="16"/>
          <w:szCs w:val="16"/>
          <w:color w:val="0C2940"/>
        </w:rPr>
        <w:t>1-800-690-6903</w:t>
      </w:r>
      <w:r>
        <w:rPr>
          <w:rFonts w:ascii="Arial" w:cs="Arial" w:eastAsia="Arial" w:hAnsi="Arial"/>
          <w:sz w:val="16"/>
          <w:szCs w:val="16"/>
          <w:color w:val="auto"/>
        </w:rPr>
        <w:t>. For additional information, please see "</w:t>
      </w:r>
      <w:r>
        <w:rPr>
          <w:rFonts w:ascii="Arial" w:cs="Arial" w:eastAsia="Arial" w:hAnsi="Arial"/>
          <w:sz w:val="16"/>
          <w:szCs w:val="16"/>
          <w:i w:val="1"/>
          <w:iCs w:val="1"/>
          <w:color w:val="auto"/>
        </w:rPr>
        <w:t>How to Vote In Advance of the</w:t>
      </w:r>
      <w:r>
        <w:rPr>
          <w:rFonts w:ascii="Arial" w:cs="Arial" w:eastAsia="Arial" w:hAnsi="Arial"/>
          <w:sz w:val="16"/>
          <w:szCs w:val="16"/>
          <w:color w:val="auto"/>
        </w:rPr>
        <w:t xml:space="preserve"> </w:t>
      </w:r>
      <w:r>
        <w:rPr>
          <w:rFonts w:ascii="Arial" w:cs="Arial" w:eastAsia="Arial" w:hAnsi="Arial"/>
          <w:sz w:val="16"/>
          <w:szCs w:val="16"/>
          <w:i w:val="1"/>
          <w:iCs w:val="1"/>
          <w:color w:val="auto"/>
        </w:rPr>
        <w:t>Annual Meeting</w:t>
      </w:r>
      <w:r>
        <w:rPr>
          <w:rFonts w:ascii="Arial" w:cs="Arial" w:eastAsia="Arial" w:hAnsi="Arial"/>
          <w:sz w:val="16"/>
          <w:szCs w:val="16"/>
          <w:color w:val="auto"/>
        </w:rPr>
        <w:t>" on page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3</w:t>
      </w:r>
      <w:r>
        <w:rPr>
          <w:rFonts w:ascii="Arial" w:cs="Arial" w:eastAsia="Arial" w:hAnsi="Arial"/>
          <w:sz w:val="16"/>
          <w:szCs w:val="16"/>
          <w:color w:val="auto"/>
        </w:rPr>
        <w:t>.</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 were a stockholder on the record date or hold a valid proxy for the Annual Meeting, in addition to being able to cast your vote in advance of the Annual Meeting, you may also attend the Annual Meeting via live audio webcast and vote your shares in person. For additional information, please see "</w:t>
      </w:r>
      <w:r>
        <w:rPr>
          <w:rFonts w:ascii="Arial" w:cs="Arial" w:eastAsia="Arial" w:hAnsi="Arial"/>
          <w:sz w:val="16"/>
          <w:szCs w:val="16"/>
          <w:i w:val="1"/>
          <w:iCs w:val="1"/>
          <w:color w:val="auto"/>
        </w:rPr>
        <w:t>How to</w:t>
      </w:r>
      <w:r>
        <w:rPr>
          <w:rFonts w:ascii="Arial" w:cs="Arial" w:eastAsia="Arial" w:hAnsi="Arial"/>
          <w:sz w:val="16"/>
          <w:szCs w:val="16"/>
          <w:color w:val="auto"/>
        </w:rPr>
        <w:t xml:space="preserve"> </w:t>
      </w:r>
      <w:r>
        <w:rPr>
          <w:rFonts w:ascii="Arial" w:cs="Arial" w:eastAsia="Arial" w:hAnsi="Arial"/>
          <w:sz w:val="16"/>
          <w:szCs w:val="16"/>
          <w:i w:val="1"/>
          <w:iCs w:val="1"/>
          <w:color w:val="auto"/>
        </w:rPr>
        <w:t>Participate and Vote in the Annual Meeting</w:t>
      </w:r>
      <w:r>
        <w:rPr>
          <w:rFonts w:ascii="Arial" w:cs="Arial" w:eastAsia="Arial" w:hAnsi="Arial"/>
          <w:sz w:val="16"/>
          <w:szCs w:val="16"/>
          <w:color w:val="auto"/>
        </w:rPr>
        <w:t>" on page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3</w:t>
      </w:r>
      <w:r>
        <w:rPr>
          <w:rFonts w:ascii="Arial" w:cs="Arial" w:eastAsia="Arial" w:hAnsi="Arial"/>
          <w:sz w:val="16"/>
          <w:szCs w:val="16"/>
          <w:color w:val="auto"/>
        </w:rPr>
        <w:t>.</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If you hold your shares in more than one account, you will receive separate voting credentials for each such account. Please be sure to vote separately for each account in order to cast all votes that you are entitled to cast at the Annual Meeting.</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your shares are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of record owning shares through certain banks and brokers.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How are votes counted?</w:t>
      </w:r>
    </w:p>
    <w:p>
      <w:pPr>
        <w:spacing w:after="0" w:line="8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quorum is necessary for us to conduct the business of the Annual Meeting. This means that holders of at least a majority of the shares of common stock entitled to vote must be present at the meeting. Your shares are counted as present at the Annual Meeting if they are voted. Shares that "ABSTAIN" and broker non-votes (shares held by a broker or nominee that has not received voting instructions from its client and does not have discretionary authority to vote) on any matter will be counted to determine the presence of a quorum, but will not be counted as votes for or against any matter.</w:t>
      </w:r>
    </w:p>
    <w:p>
      <w:pPr>
        <w:spacing w:after="0" w:line="6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Under our Bylaws, directors are elected by a plurality of the votes cast. Accordingly, the nine director nominees that receive the greatest number of votes at the Annual Meeting will be elected. In an uncontested election of directors, a director will be elected if he or she receives at least one vote.</w:t>
      </w:r>
    </w:p>
    <w:p>
      <w:pPr>
        <w:spacing w:after="0" w:line="3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Under our Bylaws, the affirmative vote of a majority of the shares present in person or represented by proxy at the meeting and entitled to vote at the Annual Meeting is required for the advisory approval of our executive compensation and the ratification of the appointment of BDO USA, P.C. as our independent auditors.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How may I access the stockholder list?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Under our Bylaws, stockholders are permitted to access a list showing the name, registered address and number of registered shares for each registered stockholder of the Company entitled to vote at the Annual Meeting. The list is open to the examination of any stockholder at our executive offices, for any purpose germane to the Annual Meeting, during ordinary business hours for 10 days prior to the Annual Meeting. During the Annual Meeting, you may access the list by visiting </w:t>
      </w:r>
      <w:r>
        <w:rPr>
          <w:rFonts w:ascii="Arial" w:cs="Arial" w:eastAsia="Arial" w:hAnsi="Arial"/>
          <w:sz w:val="16"/>
          <w:szCs w:val="16"/>
          <w:i w:val="1"/>
          <w:iCs w:val="1"/>
          <w:color w:val="auto"/>
        </w:rPr>
        <w:t>www.virtualshareholdermeeting.com/NMIH2026</w:t>
      </w:r>
      <w:r>
        <w:rPr>
          <w:rFonts w:ascii="Arial" w:cs="Arial" w:eastAsia="Arial" w:hAnsi="Arial"/>
          <w:sz w:val="16"/>
          <w:szCs w:val="16"/>
          <w:color w:val="auto"/>
        </w:rPr>
        <w:t xml:space="preserve"> when you enter your 16-digit Control Number provided to you on your Availability Notice or on your proxy card if you receive materials by mail.</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05388"/>
        </w:rPr>
        <w:t>May I change my vote?</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You may revoke your proxy and change your vote at any time before the proxy is exercised at the Annual Meeting. You may change your vote by submitting another proxy on a later date on the Internet or by telephone (only your latest Internet or telephone proxy submitted prior to the meeting will be counted), or by signing and returning a new proxy card with a later date, or by attending the Annual Meeting and voting during the meeting. Your attendance at the Annual Meeting will not automatically revoke your proxy unless you vote again at the meeting or specifically request in writing that your prior proxy be revoked by providing a written notice of revocation to the Company's Corporate Secretary at our executive offices (</w:t>
      </w:r>
      <w:r>
        <w:rPr>
          <w:rFonts w:ascii="Arial" w:cs="Arial" w:eastAsia="Arial" w:hAnsi="Arial"/>
          <w:sz w:val="16"/>
          <w:szCs w:val="16"/>
          <w:b w:val="1"/>
          <w:bCs w:val="1"/>
          <w:color w:val="auto"/>
        </w:rPr>
        <w:t>NMI Holdings, Inc., Attention:</w:t>
      </w:r>
      <w:r>
        <w:rPr>
          <w:rFonts w:ascii="Arial" w:cs="Arial" w:eastAsia="Arial" w:hAnsi="Arial"/>
          <w:sz w:val="16"/>
          <w:szCs w:val="16"/>
          <w:color w:val="auto"/>
        </w:rPr>
        <w:t xml:space="preserve"> </w:t>
      </w:r>
      <w:r>
        <w:rPr>
          <w:rFonts w:ascii="Arial" w:cs="Arial" w:eastAsia="Arial" w:hAnsi="Arial"/>
          <w:sz w:val="16"/>
          <w:szCs w:val="16"/>
          <w:b w:val="1"/>
          <w:bCs w:val="1"/>
          <w:color w:val="auto"/>
        </w:rPr>
        <w:t>Corporate Secretary, 2100 Powell Street, 12th Floor, Emeryville, CA 94608</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05388"/>
        </w:rPr>
        <w:t>What if I experience technical difficulties during the check-in process or during the meeting?</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If you experience technical difficulties during the check-in process or during the meeting, the information for live technical support can be found at the meeting website at </w:t>
      </w:r>
      <w:r>
        <w:rPr>
          <w:rFonts w:ascii="Arial" w:cs="Arial" w:eastAsia="Arial" w:hAnsi="Arial"/>
          <w:sz w:val="16"/>
          <w:szCs w:val="16"/>
          <w:i w:val="1"/>
          <w:iCs w:val="1"/>
          <w:color w:val="auto"/>
        </w:rPr>
        <w:t>www.virtualshareholdermeeting.com/NMIH2026</w:t>
      </w:r>
      <w:r>
        <w:rPr>
          <w:rFonts w:ascii="Arial" w:cs="Arial" w:eastAsia="Arial" w:hAnsi="Arial"/>
          <w:sz w:val="16"/>
          <w:szCs w:val="16"/>
          <w:color w:val="auto"/>
        </w:rPr>
        <w:t>.</w:t>
      </w:r>
    </w:p>
    <w:p>
      <w:pPr>
        <w:spacing w:after="0" w:line="314" w:lineRule="exact"/>
        <w:rPr>
          <w:sz w:val="20"/>
          <w:szCs w:val="20"/>
          <w:color w:val="auto"/>
        </w:rPr>
      </w:pPr>
    </w:p>
    <w:p>
      <w:pPr>
        <w:ind w:left="20"/>
        <w:spacing w:after="0"/>
        <w:tabs>
          <w:tab w:leader="none" w:pos="55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How does the Board recommend that I vote?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Board unanimously recommends that you vote: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5388"/>
        </w:rPr>
        <w:t xml:space="preserve">"FOR" </w:t>
      </w:r>
      <w:r>
        <w:rPr>
          <w:rFonts w:ascii="Arial" w:cs="Arial" w:eastAsia="Arial" w:hAnsi="Arial"/>
          <w:sz w:val="14"/>
          <w:szCs w:val="14"/>
          <w:color w:val="000000"/>
        </w:rPr>
        <w:t>each of the nominees for director (Item 1);</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5388"/>
        </w:rPr>
        <w:t xml:space="preserve">"FOR" </w:t>
      </w:r>
      <w:r>
        <w:rPr>
          <w:rFonts w:ascii="Arial" w:cs="Arial" w:eastAsia="Arial" w:hAnsi="Arial"/>
          <w:sz w:val="14"/>
          <w:szCs w:val="14"/>
          <w:color w:val="000000"/>
        </w:rPr>
        <w:t>the advisory approval of our executive compensation (Item 2); and</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5388"/>
        </w:rPr>
        <w:t xml:space="preserve">"FOR" </w:t>
      </w:r>
      <w:r>
        <w:rPr>
          <w:rFonts w:ascii="Arial" w:cs="Arial" w:eastAsia="Arial" w:hAnsi="Arial"/>
          <w:sz w:val="14"/>
          <w:szCs w:val="14"/>
          <w:color w:val="000000"/>
        </w:rPr>
        <w:t>the ratification of the appointment of BDO USA, P.C. as NMI's independent auditors (Item 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005388"/>
        </w:rPr>
        <w:t>How do I find out the voting results?</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Preliminary voting results will be announced at the Annual Meeting, and final voting results will be filed with the SEC within 4 business days following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005388"/>
        </w:rPr>
        <w:t>Will any other items be acted upon at the Annual Meeting?</w:t>
      </w:r>
    </w:p>
    <w:p>
      <w:pPr>
        <w:spacing w:after="0" w:line="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As of the date of this proxy statement, the Board does not know of any other business to be presented at the Annual Meeting. If other business is properly brought before the Annual Meeting, your proxy will be voted in the discretion of the proxies with respect to such other business unless you earlier revoke your proxy.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What is the deadline for submission of stockholder proposals and Director nominees for the next Annual Meeting?</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Stockholder proposals submitted pursuant to SEC Rule 14a-8 for inclusion in our 2027 proxy statement (other than nominations for candidates for election as directors) and to be acted upon at our 2027 Annual Meeting of stockholders must be received by us, attention: Corporate Secretary, at our executive offices on or prior to November 26, 2026. If, however, the 2027 Annual Meeting is more than 30 days before or after the anniversary date of the 2026 Annual Meeting, then the deadline for stockholder proposals submitted pursuant to SEC Rule 14a-8 for inclusion in our 2027 proxy statement and to be acted upon at our 2027 Annual Meeting will be a date that we determine to be a reasonable time before we begin to print and send our proxy materials. In this event, we will disclose this deadline in a public filing with the SEC.</w:t>
      </w:r>
    </w:p>
    <w:p>
      <w:pPr>
        <w:spacing w:after="0" w:line="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Under our Bylaws, a stockholder who wishes to submit a proposal for consideration at the 2027 Annual Meeting not pursuant to SEC Rule 14a-8, including nominations of candidates for election as directors, must give timely written notice of the proposal to the Corporate Secretary at our executive offices in accordance with the procedures set forth in our Bylaws, which are available on our website at </w:t>
      </w:r>
      <w:r>
        <w:rPr>
          <w:rFonts w:ascii="Arial" w:cs="Arial" w:eastAsia="Arial" w:hAnsi="Arial"/>
          <w:sz w:val="16"/>
          <w:szCs w:val="16"/>
          <w:i w:val="1"/>
          <w:iCs w:val="1"/>
          <w:color w:val="auto"/>
        </w:rPr>
        <w:t>https://ir.nationalmi.com/corporate-governance/board-documents</w:t>
      </w:r>
      <w:r>
        <w:rPr>
          <w:rFonts w:ascii="Arial" w:cs="Arial" w:eastAsia="Arial" w:hAnsi="Arial"/>
          <w:sz w:val="16"/>
          <w:szCs w:val="16"/>
          <w:color w:val="auto"/>
        </w:rPr>
        <w:t>. Such notice must be delivered to the Corporate Secretary no earlier than the close of business on January 14, 2027 and no later than the close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on February 13, 2027. If, however, the date of the 2027 Annual Meeting is more than 30 days before or more than 60 days after the anniversary date of the 2026 Annual Meeting, notice must be delivered by the stockholder between the close of business on the 120th day before and the close of business on the 90th day before the date of the 2027 Annual Meeting or, if the first public announcement of the date of the 2027 Annual Meeting is less than 100 days before the date of such meeting, then the notice by the stockholder must be delivered by the 10th day after such public announcement. The notice must comply with the disclosure requirements set forth in our Bylaws.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005388"/>
        </w:rPr>
        <w:t>Who bears the cost of this solicitation?</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bears the costs of preparing, assembling and delivering these proxy-soliciting materials and all costs of solicitation of proxies from our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5388"/>
        </w:rPr>
        <w:t>How do I access the Company's proxy materials and Annual Report?</w:t>
      </w:r>
    </w:p>
    <w:p>
      <w:pPr>
        <w:spacing w:after="0" w:line="7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proxy statement and our Annual Report on Form 10-K for the year ended December 31, 2025 are available on our website at </w:t>
      </w:r>
      <w:r>
        <w:rPr>
          <w:rFonts w:ascii="Arial" w:cs="Arial" w:eastAsia="Arial" w:hAnsi="Arial"/>
          <w:sz w:val="16"/>
          <w:szCs w:val="16"/>
          <w:i w:val="1"/>
          <w:iCs w:val="1"/>
          <w:color w:val="0C2940"/>
        </w:rPr>
        <w:t xml:space="preserve">ir.nationalmi.com/financials.cfm </w:t>
      </w:r>
      <w:r>
        <w:rPr>
          <w:rFonts w:ascii="Arial" w:cs="Arial" w:eastAsia="Arial" w:hAnsi="Arial"/>
          <w:sz w:val="16"/>
          <w:szCs w:val="16"/>
          <w:color w:val="000000"/>
        </w:rPr>
        <w:t>and can also be viewed at</w:t>
      </w:r>
      <w:r>
        <w:rPr>
          <w:rFonts w:ascii="Arial" w:cs="Arial" w:eastAsia="Arial" w:hAnsi="Arial"/>
          <w:sz w:val="16"/>
          <w:szCs w:val="16"/>
          <w:i w:val="1"/>
          <w:iCs w:val="1"/>
          <w:color w:val="0C2940"/>
        </w:rPr>
        <w:t xml:space="preserve"> </w:t>
      </w:r>
      <w:r>
        <w:rPr>
          <w:rFonts w:ascii="Arial" w:cs="Arial" w:eastAsia="Arial" w:hAnsi="Arial"/>
          <w:sz w:val="16"/>
          <w:szCs w:val="16"/>
          <w:b w:val="1"/>
          <w:bCs w:val="1"/>
          <w:color w:val="000000"/>
        </w:rPr>
        <w:t>sec.gov</w:t>
      </w:r>
      <w:r>
        <w:rPr>
          <w:rFonts w:ascii="Arial" w:cs="Arial" w:eastAsia="Arial" w:hAnsi="Arial"/>
          <w:sz w:val="16"/>
          <w:szCs w:val="16"/>
          <w:color w:val="000000"/>
        </w:rPr>
        <w:t>.</w:t>
      </w:r>
    </w:p>
    <w:p>
      <w:pPr>
        <w:spacing w:after="0" w:line="4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addition, we will provide, without charge, our proxy statement or Annual Report on Form 10-K for the year ended December 31, 2025 (including the financial statements and the financial statement schedules but excluding the exhibits thereto) to any stockholder of record or beneficial owner of our common</w:t>
      </w:r>
    </w:p>
    <w:p>
      <w:pPr>
        <w:spacing w:after="0"/>
        <w:rPr>
          <w:sz w:val="20"/>
          <w:szCs w:val="20"/>
          <w:color w:val="auto"/>
        </w:rPr>
      </w:pPr>
      <w:r>
        <w:rPr>
          <w:rFonts w:ascii="Arial" w:cs="Arial" w:eastAsia="Arial" w:hAnsi="Arial"/>
          <w:sz w:val="16"/>
          <w:szCs w:val="16"/>
          <w:color w:val="auto"/>
        </w:rPr>
        <w:t xml:space="preserve">stock. Requests can be made by writing to </w:t>
      </w:r>
      <w:r>
        <w:rPr>
          <w:rFonts w:ascii="Arial" w:cs="Arial" w:eastAsia="Arial" w:hAnsi="Arial"/>
          <w:sz w:val="16"/>
          <w:szCs w:val="16"/>
          <w:i w:val="1"/>
          <w:iCs w:val="1"/>
          <w:color w:val="auto"/>
        </w:rPr>
        <w:t>NMI Holdings, Inc., Attention: Corporate Secretary, 2100 Powell Street, 12th Floor, Emeryville, CA 94608.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005388"/>
        </w:rPr>
        <w:t>Whom should I contact with additional questions?</w:t>
      </w:r>
    </w:p>
    <w:p>
      <w:pPr>
        <w:spacing w:after="0" w:line="7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If you have any questions about the proxy voting process, please contact the bank, broker or other nominee through which you hold your shares. Additionally, if you have any questions unrelated to voting your shares, please contact John Swenson, our head of Investor Relations (</w:t>
      </w:r>
      <w:r>
        <w:rPr>
          <w:rFonts w:ascii="Arial" w:cs="Arial" w:eastAsia="Arial" w:hAnsi="Arial"/>
          <w:sz w:val="16"/>
          <w:szCs w:val="16"/>
          <w:b w:val="1"/>
          <w:bCs w:val="1"/>
          <w:i w:val="1"/>
          <w:iCs w:val="1"/>
          <w:color w:val="auto"/>
        </w:rPr>
        <w:t>510-788-8417</w:t>
      </w:r>
      <w:r>
        <w:rPr>
          <w:rFonts w:ascii="Arial" w:cs="Arial" w:eastAsia="Arial" w:hAnsi="Arial"/>
          <w:sz w:val="16"/>
          <w:szCs w:val="16"/>
          <w:color w:val="auto"/>
        </w:rPr>
        <w:t xml:space="preserve"> or </w:t>
      </w:r>
      <w:r>
        <w:rPr>
          <w:rFonts w:ascii="Arial" w:cs="Arial" w:eastAsia="Arial" w:hAnsi="Arial"/>
          <w:sz w:val="16"/>
          <w:szCs w:val="16"/>
          <w:b w:val="1"/>
          <w:bCs w:val="1"/>
          <w:i w:val="1"/>
          <w:iCs w:val="1"/>
          <w:color w:val="auto"/>
        </w:rPr>
        <w:t>john.swenson@nationalmi.com</w:t>
      </w:r>
      <w:r>
        <w:rPr>
          <w:rFonts w:ascii="Arial" w:cs="Arial" w:eastAsia="Arial" w:hAnsi="Arial"/>
          <w:sz w:val="16"/>
          <w:szCs w:val="16"/>
          <w:color w:val="auto"/>
        </w:rPr>
        <w:t>).</w:t>
      </w:r>
    </w:p>
    <w:p>
      <w:pPr>
        <w:spacing w:after="0" w:line="36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10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036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spacing w:after="0"/>
        <w:rPr>
          <w:sz w:val="20"/>
          <w:szCs w:val="20"/>
          <w:color w:val="auto"/>
        </w:rPr>
      </w:pPr>
      <w:r>
        <w:rPr>
          <w:rFonts w:ascii="Arial" w:cs="Arial" w:eastAsia="Arial" w:hAnsi="Arial"/>
          <w:sz w:val="43"/>
          <w:szCs w:val="43"/>
          <w:color w:val="A7A9AC"/>
        </w:rPr>
        <w:t>Item 1</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DE762B"/>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Bylaws provide that our Board size will be determined by resolution of the Board, which currently consists of nine members. Upon election at our annual stockholder's meeting, each of our directors serves a one-year term until his or her successor is elected and qualified or until his or her earlier death, resignation or removal.</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upon the recommendation of the Governance and Nominating Committee, has nominated Bradley M. Shuster, Adam S. Pollitzer, Steven L. Scheid, Renu Agrawal, Michael Embler, John C. Erickson, Priya Huskins, Lynn S. McCreary and Michael Montgomery for election to the Board to serve for one year, until our 2027 Annual Meeting of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DIRECTOR CRITERIA, QUALIFICATIONS, EXPERIENCE AND TENURE</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Governance and Nominating Committee is responsible for recommending to the Board a slate of nominees for election as directors at the Company's annual meeting of stockholders and may obtain recommendations from director search firms engaged for the purpose of recruiting new directors. When using such search firms, we generally pay them a retainer to identify and screen candidates meeting specifications established by the Governance and Nominating Committee. The Board believes that the members of the Board, as a whole, should possess a diverse combination of skills, professional experience and backgrounds necessary to oversee our business. Accordingly, the Board and the Governance and Nominating Committee consider the qualifications of director candidates individually and in the broader context of the Board's overall composition and the Company's current and future needs. The Governance and Nominating Committee seeks a variety of occupational and personal backgrounds on the Board to obtain a range of viewpoints and perspectives and to enable the Board to have access to a diverse body of talent and expertise relevant to the Company's activities.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Board and the Governance and Nominating Committee consider a variety of factors when reviewing the qualifications of each director nominee, which are set forth in our Corporate Governance Guidelines, posted on our website at </w:t>
      </w:r>
      <w:r>
        <w:rPr>
          <w:rFonts w:ascii="Arial" w:cs="Arial" w:eastAsia="Arial" w:hAnsi="Arial"/>
          <w:sz w:val="16"/>
          <w:szCs w:val="16"/>
          <w:i w:val="1"/>
          <w:iCs w:val="1"/>
          <w:color w:val="0C2940"/>
        </w:rPr>
        <w:t>https://ir.nationalmi.com/corporate-governance/board-documents</w:t>
      </w:r>
      <w:r>
        <w:rPr>
          <w:rFonts w:ascii="Arial" w:cs="Arial" w:eastAsia="Arial" w:hAnsi="Arial"/>
          <w:sz w:val="16"/>
          <w:szCs w:val="16"/>
          <w:color w:val="0C2940"/>
        </w:rPr>
        <w:t>.</w:t>
      </w:r>
      <w:r>
        <w:rPr>
          <w:rFonts w:ascii="Arial" w:cs="Arial" w:eastAsia="Arial" w:hAnsi="Arial"/>
          <w:sz w:val="16"/>
          <w:szCs w:val="16"/>
          <w:color w:val="auto"/>
        </w:rPr>
        <w:t xml:space="preserve"> The Company believes that each director nominee should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2168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2168525"/>
                    </a:xfrm>
                    <a:prstGeom prst="rect">
                      <a:avLst/>
                    </a:prstGeom>
                    <a:noFill/>
                  </pic:spPr>
                </pic:pic>
              </a:graphicData>
            </a:graphic>
          </wp:anchor>
        </w:drawing>
      </w:r>
    </w:p>
    <w:p>
      <w:pPr>
        <w:spacing w:after="0" w:line="189" w:lineRule="exact"/>
        <w:rPr>
          <w:sz w:val="20"/>
          <w:szCs w:val="20"/>
          <w:color w:val="auto"/>
        </w:rPr>
      </w:pPr>
    </w:p>
    <w:p>
      <w:pPr>
        <w:ind w:left="1000" w:right="100"/>
        <w:spacing w:after="0" w:line="543" w:lineRule="auto"/>
        <w:rPr>
          <w:sz w:val="20"/>
          <w:szCs w:val="20"/>
          <w:color w:val="auto"/>
        </w:rPr>
      </w:pPr>
      <w:r>
        <w:rPr>
          <w:rFonts w:ascii="Arial" w:cs="Arial" w:eastAsia="Arial" w:hAnsi="Arial"/>
          <w:sz w:val="14"/>
          <w:szCs w:val="14"/>
          <w:color w:val="auto"/>
        </w:rPr>
        <w:t>possess fundamental qualities of intelligence, honesty, perceptiveness, good judgment, maturity, high ethics and standards, integrity, fairness and responsibility; have financial services or other relevant industry experience gained through senior management or board of director service;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have prior board experience, either as a director of a public company, or as an executive officer of a public company and a director of a privately held company;</w:t>
      </w:r>
    </w:p>
    <w:p>
      <w:pPr>
        <w:spacing w:after="0" w:line="163" w:lineRule="exact"/>
        <w:rPr>
          <w:sz w:val="20"/>
          <w:szCs w:val="20"/>
          <w:color w:val="auto"/>
        </w:rPr>
      </w:pPr>
    </w:p>
    <w:p>
      <w:pPr>
        <w:ind w:left="1000" w:right="120"/>
        <w:spacing w:after="0" w:line="305" w:lineRule="auto"/>
        <w:rPr>
          <w:sz w:val="20"/>
          <w:szCs w:val="20"/>
          <w:color w:val="auto"/>
        </w:rPr>
      </w:pPr>
      <w:r>
        <w:rPr>
          <w:rFonts w:ascii="Arial" w:cs="Arial" w:eastAsia="Arial" w:hAnsi="Arial"/>
          <w:sz w:val="14"/>
          <w:szCs w:val="14"/>
          <w:color w:val="auto"/>
        </w:rPr>
        <w:t>maintain a genuine interest in the Company and recognize that as a member of the Board he or she is accountable to the stockholders of the Company and not to any particular interest group;</w:t>
      </w:r>
    </w:p>
    <w:p>
      <w:pPr>
        <w:spacing w:after="0" w:line="90" w:lineRule="exact"/>
        <w:rPr>
          <w:sz w:val="20"/>
          <w:szCs w:val="20"/>
          <w:color w:val="auto"/>
        </w:rPr>
      </w:pPr>
    </w:p>
    <w:p>
      <w:pPr>
        <w:ind w:left="1000" w:right="200"/>
        <w:spacing w:after="0" w:line="543" w:lineRule="auto"/>
        <w:rPr>
          <w:sz w:val="20"/>
          <w:szCs w:val="20"/>
          <w:color w:val="auto"/>
        </w:rPr>
      </w:pPr>
      <w:r>
        <w:rPr>
          <w:rFonts w:ascii="Arial" w:cs="Arial" w:eastAsia="Arial" w:hAnsi="Arial"/>
          <w:sz w:val="14"/>
          <w:szCs w:val="14"/>
          <w:color w:val="auto"/>
        </w:rPr>
        <w:t>be compatible and able to work well with other directors and executives in a team effort with a view to a long-term relationship with the Company as a director; possess independent opinions and be willing to express them in a constructive manner;</w:t>
      </w:r>
    </w:p>
    <w:p>
      <w:pPr>
        <w:spacing w:after="0" w:line="1" w:lineRule="exact"/>
        <w:rPr>
          <w:sz w:val="20"/>
          <w:szCs w:val="20"/>
          <w:color w:val="auto"/>
        </w:rPr>
      </w:pPr>
    </w:p>
    <w:p>
      <w:pPr>
        <w:ind w:left="1000" w:right="4400"/>
        <w:spacing w:after="0" w:line="543" w:lineRule="auto"/>
        <w:rPr>
          <w:sz w:val="20"/>
          <w:szCs w:val="20"/>
          <w:color w:val="auto"/>
        </w:rPr>
      </w:pPr>
      <w:r>
        <w:rPr>
          <w:rFonts w:ascii="Arial" w:cs="Arial" w:eastAsia="Arial" w:hAnsi="Arial"/>
          <w:sz w:val="14"/>
          <w:szCs w:val="14"/>
          <w:color w:val="auto"/>
        </w:rPr>
        <w:t>have the ability and be willing to spend the time required to function effectively as a director; not serve on more than three other boards of directors of public companies; and</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meet the independence requirements under NASDAQ listing requirements and the SEC (other than any management directors).</w:t>
      </w: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52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0C2940"/>
        </w:rPr>
        <w:t>OUR DIRECTOR NOMINEES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Governance and Nominating Committee believes it is critical to nominate a Board that is diverse in tenure, age, gender, skills, experiences, demographic, and backgrounds. We believe a diverse board enables the Board to effectively oversee our business while driving long-term value through various economic and operating environments.</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average Board tenure of the nominees for election reflects an appropriate balance between engaging new talent and maintaining institutional knowledge of our business and the private MI market. Our Corporate Governance Guidelines provide that a majority of our directors must be independent. Seven out of our nine director nominees qualify as independent directors within the meanings of the standards established by NASDAQ and the SEC.</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20" w:type="dxa"/>
            <w:vAlign w:val="bottom"/>
            <w:shd w:val="clear" w:color="auto" w:fill="0C2940"/>
          </w:tcPr>
          <w:p>
            <w:pPr>
              <w:ind w:left="140"/>
              <w:spacing w:after="0"/>
              <w:rPr>
                <w:sz w:val="20"/>
                <w:szCs w:val="20"/>
                <w:color w:val="auto"/>
              </w:rPr>
            </w:pPr>
            <w:r>
              <w:rPr>
                <w:rFonts w:ascii="Arial" w:cs="Arial" w:eastAsia="Arial" w:hAnsi="Arial"/>
                <w:sz w:val="16"/>
                <w:szCs w:val="16"/>
                <w:color w:val="FFFFFF"/>
              </w:rPr>
              <w:t>NAME</w:t>
            </w:r>
          </w:p>
        </w:tc>
        <w:tc>
          <w:tcPr>
            <w:tcW w:w="1240" w:type="dxa"/>
            <w:vAlign w:val="bottom"/>
            <w:shd w:val="clear" w:color="auto" w:fill="0C2940"/>
          </w:tcPr>
          <w:p>
            <w:pPr>
              <w:jc w:val="center"/>
              <w:ind w:left="139"/>
              <w:spacing w:after="0"/>
              <w:rPr>
                <w:sz w:val="20"/>
                <w:szCs w:val="20"/>
                <w:color w:val="auto"/>
              </w:rPr>
            </w:pPr>
            <w:r>
              <w:rPr>
                <w:rFonts w:ascii="Arial" w:cs="Arial" w:eastAsia="Arial" w:hAnsi="Arial"/>
                <w:sz w:val="16"/>
                <w:szCs w:val="16"/>
                <w:color w:val="FFFFFF"/>
              </w:rPr>
              <w:t>AGE</w:t>
            </w:r>
          </w:p>
        </w:tc>
        <w:tc>
          <w:tcPr>
            <w:tcW w:w="2240" w:type="dxa"/>
            <w:vAlign w:val="bottom"/>
            <w:shd w:val="clear" w:color="auto" w:fill="0C2940"/>
          </w:tcPr>
          <w:p>
            <w:pPr>
              <w:jc w:val="center"/>
              <w:ind w:right="99"/>
              <w:spacing w:after="0"/>
              <w:rPr>
                <w:sz w:val="20"/>
                <w:szCs w:val="20"/>
                <w:color w:val="auto"/>
              </w:rPr>
            </w:pPr>
            <w:r>
              <w:rPr>
                <w:rFonts w:ascii="Arial" w:cs="Arial" w:eastAsia="Arial" w:hAnsi="Arial"/>
                <w:sz w:val="16"/>
                <w:szCs w:val="16"/>
                <w:color w:val="FFFFFF"/>
              </w:rPr>
              <w:t>DIRECTOR SINCE</w:t>
            </w:r>
          </w:p>
        </w:tc>
        <w:tc>
          <w:tcPr>
            <w:tcW w:w="3700" w:type="dxa"/>
            <w:vAlign w:val="bottom"/>
            <w:shd w:val="clear" w:color="auto" w:fill="0C2940"/>
          </w:tcPr>
          <w:p>
            <w:pPr>
              <w:jc w:val="center"/>
              <w:spacing w:after="0"/>
              <w:rPr>
                <w:sz w:val="20"/>
                <w:szCs w:val="20"/>
                <w:color w:val="auto"/>
              </w:rPr>
            </w:pPr>
            <w:r>
              <w:rPr>
                <w:rFonts w:ascii="Arial" w:cs="Arial" w:eastAsia="Arial" w:hAnsi="Arial"/>
                <w:sz w:val="16"/>
                <w:szCs w:val="16"/>
                <w:color w:val="FFFFFF"/>
              </w:rPr>
              <w:t>CURRENT POSITION</w:t>
            </w:r>
          </w:p>
        </w:tc>
        <w:tc>
          <w:tcPr>
            <w:tcW w:w="1940" w:type="dxa"/>
            <w:vAlign w:val="bottom"/>
            <w:shd w:val="clear" w:color="auto" w:fill="0C2940"/>
          </w:tcPr>
          <w:p>
            <w:pPr>
              <w:jc w:val="center"/>
              <w:ind w:left="99"/>
              <w:spacing w:after="0"/>
              <w:rPr>
                <w:sz w:val="20"/>
                <w:szCs w:val="20"/>
                <w:color w:val="auto"/>
              </w:rPr>
            </w:pPr>
            <w:r>
              <w:rPr>
                <w:rFonts w:ascii="Arial" w:cs="Arial" w:eastAsia="Arial" w:hAnsi="Arial"/>
                <w:sz w:val="16"/>
                <w:szCs w:val="16"/>
                <w:color w:val="FFFFFF"/>
              </w:rPr>
              <w:t>INDEPENDENT</w:t>
            </w:r>
          </w:p>
        </w:tc>
        <w:tc>
          <w:tcPr>
            <w:tcW w:w="0" w:type="dxa"/>
            <w:vAlign w:val="bottom"/>
          </w:tcPr>
          <w:p>
            <w:pPr>
              <w:spacing w:after="0"/>
              <w:rPr>
                <w:sz w:val="1"/>
                <w:szCs w:val="1"/>
                <w:color w:val="auto"/>
              </w:rPr>
            </w:pPr>
          </w:p>
        </w:tc>
      </w:tr>
      <w:tr>
        <w:trPr>
          <w:trHeight w:val="228"/>
        </w:trPr>
        <w:tc>
          <w:tcPr>
            <w:tcW w:w="2120" w:type="dxa"/>
            <w:vAlign w:val="bottom"/>
            <w:vMerge w:val="restart"/>
            <w:shd w:val="clear" w:color="auto" w:fill="F5F5F5"/>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1240" w:type="dxa"/>
            <w:vAlign w:val="bottom"/>
            <w:vMerge w:val="restart"/>
            <w:shd w:val="clear" w:color="auto" w:fill="F5F5F5"/>
          </w:tcPr>
          <w:p>
            <w:pPr>
              <w:jc w:val="center"/>
              <w:ind w:left="179"/>
              <w:spacing w:after="0"/>
              <w:rPr>
                <w:sz w:val="20"/>
                <w:szCs w:val="20"/>
                <w:color w:val="auto"/>
              </w:rPr>
            </w:pPr>
            <w:r>
              <w:rPr>
                <w:rFonts w:ascii="Arial" w:cs="Arial" w:eastAsia="Arial" w:hAnsi="Arial"/>
                <w:sz w:val="16"/>
                <w:szCs w:val="16"/>
                <w:color w:val="auto"/>
              </w:rPr>
              <w:t>71</w:t>
            </w:r>
          </w:p>
        </w:tc>
        <w:tc>
          <w:tcPr>
            <w:tcW w:w="2240" w:type="dxa"/>
            <w:vAlign w:val="bottom"/>
            <w:vMerge w:val="restart"/>
            <w:shd w:val="clear" w:color="auto" w:fill="F5F5F5"/>
          </w:tcPr>
          <w:p>
            <w:pPr>
              <w:jc w:val="center"/>
              <w:ind w:right="119"/>
              <w:spacing w:after="0"/>
              <w:rPr>
                <w:sz w:val="20"/>
                <w:szCs w:val="20"/>
                <w:color w:val="auto"/>
              </w:rPr>
            </w:pPr>
            <w:r>
              <w:rPr>
                <w:rFonts w:ascii="Arial" w:cs="Arial" w:eastAsia="Arial" w:hAnsi="Arial"/>
                <w:sz w:val="16"/>
                <w:szCs w:val="16"/>
                <w:color w:val="auto"/>
              </w:rPr>
              <w:t>2012</w:t>
            </w:r>
          </w:p>
        </w:tc>
        <w:tc>
          <w:tcPr>
            <w:tcW w:w="3700" w:type="dxa"/>
            <w:vAlign w:val="bottom"/>
            <w:shd w:val="clear" w:color="auto" w:fill="F5F5F5"/>
          </w:tcPr>
          <w:p>
            <w:pPr>
              <w:jc w:val="center"/>
              <w:spacing w:after="0"/>
              <w:rPr>
                <w:sz w:val="20"/>
                <w:szCs w:val="20"/>
                <w:color w:val="auto"/>
              </w:rPr>
            </w:pPr>
            <w:r>
              <w:rPr>
                <w:rFonts w:ascii="Arial" w:cs="Arial" w:eastAsia="Arial" w:hAnsi="Arial"/>
                <w:sz w:val="16"/>
                <w:szCs w:val="16"/>
                <w:color w:val="auto"/>
              </w:rPr>
              <w:t>Executive Chairman and</w:t>
            </w:r>
          </w:p>
        </w:tc>
        <w:tc>
          <w:tcPr>
            <w:tcW w:w="1940" w:type="dxa"/>
            <w:vAlign w:val="bottom"/>
            <w:vMerge w:val="restart"/>
            <w:shd w:val="clear" w:color="auto" w:fill="F5F5F5"/>
          </w:tcPr>
          <w:p>
            <w:pPr>
              <w:jc w:val="center"/>
              <w:ind w:left="119"/>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48"/>
        </w:trPr>
        <w:tc>
          <w:tcPr>
            <w:tcW w:w="2120" w:type="dxa"/>
            <w:vAlign w:val="bottom"/>
            <w:vMerge w:val="continue"/>
            <w:shd w:val="clear" w:color="auto" w:fill="F5F5F5"/>
          </w:tcPr>
          <w:p>
            <w:pPr>
              <w:spacing w:after="0"/>
              <w:rPr>
                <w:sz w:val="12"/>
                <w:szCs w:val="12"/>
                <w:color w:val="auto"/>
              </w:rPr>
            </w:pPr>
          </w:p>
        </w:tc>
        <w:tc>
          <w:tcPr>
            <w:tcW w:w="1240" w:type="dxa"/>
            <w:vAlign w:val="bottom"/>
            <w:vMerge w:val="continue"/>
            <w:shd w:val="clear" w:color="auto" w:fill="F5F5F5"/>
          </w:tcPr>
          <w:p>
            <w:pPr>
              <w:spacing w:after="0"/>
              <w:rPr>
                <w:sz w:val="12"/>
                <w:szCs w:val="12"/>
                <w:color w:val="auto"/>
              </w:rPr>
            </w:pPr>
          </w:p>
        </w:tc>
        <w:tc>
          <w:tcPr>
            <w:tcW w:w="2240" w:type="dxa"/>
            <w:vAlign w:val="bottom"/>
            <w:vMerge w:val="continue"/>
            <w:shd w:val="clear" w:color="auto" w:fill="F5F5F5"/>
          </w:tcPr>
          <w:p>
            <w:pPr>
              <w:spacing w:after="0"/>
              <w:rPr>
                <w:sz w:val="12"/>
                <w:szCs w:val="12"/>
                <w:color w:val="auto"/>
              </w:rPr>
            </w:pPr>
          </w:p>
        </w:tc>
        <w:tc>
          <w:tcPr>
            <w:tcW w:w="3700" w:type="dxa"/>
            <w:vAlign w:val="bottom"/>
            <w:vMerge w:val="restart"/>
            <w:shd w:val="clear" w:color="auto" w:fill="F5F5F5"/>
          </w:tcPr>
          <w:p>
            <w:pPr>
              <w:jc w:val="center"/>
              <w:spacing w:after="0"/>
              <w:rPr>
                <w:sz w:val="20"/>
                <w:szCs w:val="20"/>
                <w:color w:val="auto"/>
              </w:rPr>
            </w:pPr>
            <w:r>
              <w:rPr>
                <w:rFonts w:ascii="Arial" w:cs="Arial" w:eastAsia="Arial" w:hAnsi="Arial"/>
                <w:sz w:val="16"/>
                <w:szCs w:val="16"/>
                <w:color w:val="auto"/>
              </w:rPr>
              <w:t>Chairman of the Board</w:t>
            </w:r>
          </w:p>
        </w:tc>
        <w:tc>
          <w:tcPr>
            <w:tcW w:w="1940" w:type="dxa"/>
            <w:vAlign w:val="bottom"/>
            <w:vMerge w:val="continue"/>
            <w:shd w:val="clear" w:color="auto" w:fill="F5F5F5"/>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120" w:type="dxa"/>
            <w:vAlign w:val="bottom"/>
            <w:shd w:val="clear" w:color="auto" w:fill="F5F5F5"/>
          </w:tcPr>
          <w:p>
            <w:pPr>
              <w:spacing w:after="0"/>
              <w:rPr>
                <w:sz w:val="8"/>
                <w:szCs w:val="8"/>
                <w:color w:val="auto"/>
              </w:rPr>
            </w:pPr>
          </w:p>
        </w:tc>
        <w:tc>
          <w:tcPr>
            <w:tcW w:w="1240" w:type="dxa"/>
            <w:vAlign w:val="bottom"/>
            <w:shd w:val="clear" w:color="auto" w:fill="F5F5F5"/>
          </w:tcPr>
          <w:p>
            <w:pPr>
              <w:spacing w:after="0"/>
              <w:rPr>
                <w:sz w:val="8"/>
                <w:szCs w:val="8"/>
                <w:color w:val="auto"/>
              </w:rPr>
            </w:pPr>
          </w:p>
        </w:tc>
        <w:tc>
          <w:tcPr>
            <w:tcW w:w="2240" w:type="dxa"/>
            <w:vAlign w:val="bottom"/>
            <w:shd w:val="clear" w:color="auto" w:fill="F5F5F5"/>
          </w:tcPr>
          <w:p>
            <w:pPr>
              <w:spacing w:after="0"/>
              <w:rPr>
                <w:sz w:val="8"/>
                <w:szCs w:val="8"/>
                <w:color w:val="auto"/>
              </w:rPr>
            </w:pPr>
          </w:p>
        </w:tc>
        <w:tc>
          <w:tcPr>
            <w:tcW w:w="3700" w:type="dxa"/>
            <w:vAlign w:val="bottom"/>
            <w:vMerge w:val="continue"/>
            <w:shd w:val="clear" w:color="auto" w:fill="F5F5F5"/>
          </w:tcPr>
          <w:p>
            <w:pPr>
              <w:spacing w:after="0"/>
              <w:rPr>
                <w:sz w:val="8"/>
                <w:szCs w:val="8"/>
                <w:color w:val="auto"/>
              </w:rPr>
            </w:pPr>
          </w:p>
        </w:tc>
        <w:tc>
          <w:tcPr>
            <w:tcW w:w="1940" w:type="dxa"/>
            <w:vAlign w:val="bottom"/>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120" w:type="dxa"/>
            <w:vAlign w:val="bottom"/>
            <w:shd w:val="clear" w:color="auto" w:fill="F5F5F5"/>
          </w:tcPr>
          <w:p>
            <w:pPr>
              <w:spacing w:after="0"/>
              <w:rPr>
                <w:sz w:val="7"/>
                <w:szCs w:val="7"/>
                <w:color w:val="auto"/>
              </w:rPr>
            </w:pPr>
          </w:p>
        </w:tc>
        <w:tc>
          <w:tcPr>
            <w:tcW w:w="1240" w:type="dxa"/>
            <w:vAlign w:val="bottom"/>
            <w:shd w:val="clear" w:color="auto" w:fill="F5F5F5"/>
          </w:tcPr>
          <w:p>
            <w:pPr>
              <w:spacing w:after="0"/>
              <w:rPr>
                <w:sz w:val="7"/>
                <w:szCs w:val="7"/>
                <w:color w:val="auto"/>
              </w:rPr>
            </w:pPr>
          </w:p>
        </w:tc>
        <w:tc>
          <w:tcPr>
            <w:tcW w:w="2240" w:type="dxa"/>
            <w:vAlign w:val="bottom"/>
            <w:shd w:val="clear" w:color="auto" w:fill="F5F5F5"/>
          </w:tcPr>
          <w:p>
            <w:pPr>
              <w:spacing w:after="0"/>
              <w:rPr>
                <w:sz w:val="7"/>
                <w:szCs w:val="7"/>
                <w:color w:val="auto"/>
              </w:rPr>
            </w:pPr>
          </w:p>
        </w:tc>
        <w:tc>
          <w:tcPr>
            <w:tcW w:w="3700" w:type="dxa"/>
            <w:vAlign w:val="bottom"/>
            <w:shd w:val="clear" w:color="auto" w:fill="F5F5F5"/>
          </w:tcPr>
          <w:p>
            <w:pPr>
              <w:spacing w:after="0"/>
              <w:rPr>
                <w:sz w:val="7"/>
                <w:szCs w:val="7"/>
                <w:color w:val="auto"/>
              </w:rPr>
            </w:pPr>
          </w:p>
        </w:tc>
        <w:tc>
          <w:tcPr>
            <w:tcW w:w="194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322"/>
        </w:trPr>
        <w:tc>
          <w:tcPr>
            <w:tcW w:w="2120" w:type="dxa"/>
            <w:vAlign w:val="bottom"/>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1240" w:type="dxa"/>
            <w:vAlign w:val="bottom"/>
          </w:tcPr>
          <w:p>
            <w:pPr>
              <w:jc w:val="center"/>
              <w:ind w:left="179"/>
              <w:spacing w:after="0"/>
              <w:rPr>
                <w:sz w:val="20"/>
                <w:szCs w:val="20"/>
                <w:color w:val="auto"/>
              </w:rPr>
            </w:pPr>
            <w:r>
              <w:rPr>
                <w:rFonts w:ascii="Arial" w:cs="Arial" w:eastAsia="Arial" w:hAnsi="Arial"/>
                <w:sz w:val="16"/>
                <w:szCs w:val="16"/>
                <w:color w:val="auto"/>
              </w:rPr>
              <w:t>47</w:t>
            </w:r>
          </w:p>
        </w:tc>
        <w:tc>
          <w:tcPr>
            <w:tcW w:w="2240" w:type="dxa"/>
            <w:vAlign w:val="bottom"/>
          </w:tcPr>
          <w:p>
            <w:pPr>
              <w:jc w:val="center"/>
              <w:ind w:right="119"/>
              <w:spacing w:after="0"/>
              <w:rPr>
                <w:sz w:val="20"/>
                <w:szCs w:val="20"/>
                <w:color w:val="auto"/>
              </w:rPr>
            </w:pPr>
            <w:r>
              <w:rPr>
                <w:rFonts w:ascii="Arial" w:cs="Arial" w:eastAsia="Arial" w:hAnsi="Arial"/>
                <w:sz w:val="16"/>
                <w:szCs w:val="16"/>
                <w:color w:val="auto"/>
              </w:rPr>
              <w:t>2022</w:t>
            </w:r>
          </w:p>
        </w:tc>
        <w:tc>
          <w:tcPr>
            <w:tcW w:w="3700" w:type="dxa"/>
            <w:vAlign w:val="bottom"/>
          </w:tcPr>
          <w:p>
            <w:pPr>
              <w:jc w:val="center"/>
              <w:spacing w:after="0"/>
              <w:rPr>
                <w:sz w:val="20"/>
                <w:szCs w:val="20"/>
                <w:color w:val="auto"/>
              </w:rPr>
            </w:pPr>
            <w:r>
              <w:rPr>
                <w:rFonts w:ascii="Arial" w:cs="Arial" w:eastAsia="Arial" w:hAnsi="Arial"/>
                <w:sz w:val="16"/>
                <w:szCs w:val="16"/>
                <w:color w:val="auto"/>
              </w:rPr>
              <w:t>President and Chief Executive Officer</w:t>
            </w:r>
          </w:p>
        </w:tc>
        <w:tc>
          <w:tcPr>
            <w:tcW w:w="1940" w:type="dxa"/>
            <w:vAlign w:val="bottom"/>
          </w:tcPr>
          <w:p>
            <w:pPr>
              <w:jc w:val="center"/>
              <w:ind w:left="119"/>
              <w:spacing w:after="0"/>
              <w:rPr>
                <w:sz w:val="20"/>
                <w:szCs w:val="20"/>
                <w:color w:val="auto"/>
              </w:rPr>
            </w:pPr>
            <w:r>
              <w:rPr>
                <w:rFonts w:ascii="Arial" w:cs="Arial" w:eastAsia="Arial" w:hAnsi="Arial"/>
                <w:sz w:val="16"/>
                <w:szCs w:val="16"/>
                <w:color w:val="auto"/>
              </w:rPr>
              <w:t>No</w:t>
            </w:r>
          </w:p>
        </w:tc>
        <w:tc>
          <w:tcPr>
            <w:tcW w:w="0" w:type="dxa"/>
            <w:vAlign w:val="bottom"/>
          </w:tcPr>
          <w:p>
            <w:pPr>
              <w:spacing w:after="0"/>
              <w:rPr>
                <w:sz w:val="1"/>
                <w:szCs w:val="1"/>
                <w:color w:val="auto"/>
              </w:rPr>
            </w:pPr>
          </w:p>
        </w:tc>
      </w:tr>
      <w:tr>
        <w:trPr>
          <w:trHeight w:val="124"/>
        </w:trPr>
        <w:tc>
          <w:tcPr>
            <w:tcW w:w="2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Steven L. Scheid</w:t>
            </w:r>
          </w:p>
        </w:tc>
        <w:tc>
          <w:tcPr>
            <w:tcW w:w="1240" w:type="dxa"/>
            <w:vAlign w:val="bottom"/>
            <w:shd w:val="clear" w:color="auto" w:fill="F5F5F5"/>
          </w:tcPr>
          <w:p>
            <w:pPr>
              <w:jc w:val="center"/>
              <w:ind w:left="179"/>
              <w:spacing w:after="0"/>
              <w:rPr>
                <w:sz w:val="20"/>
                <w:szCs w:val="20"/>
                <w:color w:val="auto"/>
              </w:rPr>
            </w:pPr>
            <w:r>
              <w:rPr>
                <w:rFonts w:ascii="Arial" w:cs="Arial" w:eastAsia="Arial" w:hAnsi="Arial"/>
                <w:sz w:val="16"/>
                <w:szCs w:val="16"/>
                <w:color w:val="auto"/>
              </w:rPr>
              <w:t>72</w:t>
            </w:r>
          </w:p>
        </w:tc>
        <w:tc>
          <w:tcPr>
            <w:tcW w:w="2240" w:type="dxa"/>
            <w:vAlign w:val="bottom"/>
            <w:shd w:val="clear" w:color="auto" w:fill="F5F5F5"/>
          </w:tcPr>
          <w:p>
            <w:pPr>
              <w:jc w:val="center"/>
              <w:ind w:right="119"/>
              <w:spacing w:after="0"/>
              <w:rPr>
                <w:sz w:val="20"/>
                <w:szCs w:val="20"/>
                <w:color w:val="auto"/>
              </w:rPr>
            </w:pPr>
            <w:r>
              <w:rPr>
                <w:rFonts w:ascii="Arial" w:cs="Arial" w:eastAsia="Arial" w:hAnsi="Arial"/>
                <w:sz w:val="16"/>
                <w:szCs w:val="16"/>
                <w:color w:val="auto"/>
              </w:rPr>
              <w:t>2012</w:t>
            </w:r>
          </w:p>
        </w:tc>
        <w:tc>
          <w:tcPr>
            <w:tcW w:w="3700" w:type="dxa"/>
            <w:vAlign w:val="bottom"/>
            <w:shd w:val="clear" w:color="auto" w:fill="F5F5F5"/>
          </w:tcPr>
          <w:p>
            <w:pPr>
              <w:jc w:val="center"/>
              <w:spacing w:after="0"/>
              <w:rPr>
                <w:sz w:val="20"/>
                <w:szCs w:val="20"/>
                <w:color w:val="auto"/>
              </w:rPr>
            </w:pPr>
            <w:r>
              <w:rPr>
                <w:rFonts w:ascii="Arial" w:cs="Arial" w:eastAsia="Arial" w:hAnsi="Arial"/>
                <w:sz w:val="16"/>
                <w:szCs w:val="16"/>
                <w:color w:val="auto"/>
              </w:rPr>
              <w:t>Lead Independent Director</w:t>
            </w:r>
          </w:p>
        </w:tc>
        <w:tc>
          <w:tcPr>
            <w:tcW w:w="1940" w:type="dxa"/>
            <w:vAlign w:val="bottom"/>
            <w:shd w:val="clear" w:color="auto" w:fill="F5F5F5"/>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4"/>
        </w:trPr>
        <w:tc>
          <w:tcPr>
            <w:tcW w:w="2120" w:type="dxa"/>
            <w:vAlign w:val="bottom"/>
            <w:shd w:val="clear" w:color="auto" w:fill="F5F5F5"/>
          </w:tcPr>
          <w:p>
            <w:pPr>
              <w:spacing w:after="0"/>
              <w:rPr>
                <w:sz w:val="10"/>
                <w:szCs w:val="10"/>
                <w:color w:val="auto"/>
              </w:rPr>
            </w:pPr>
          </w:p>
        </w:tc>
        <w:tc>
          <w:tcPr>
            <w:tcW w:w="1240" w:type="dxa"/>
            <w:vAlign w:val="bottom"/>
            <w:shd w:val="clear" w:color="auto" w:fill="F5F5F5"/>
          </w:tcPr>
          <w:p>
            <w:pPr>
              <w:spacing w:after="0"/>
              <w:rPr>
                <w:sz w:val="10"/>
                <w:szCs w:val="10"/>
                <w:color w:val="auto"/>
              </w:rPr>
            </w:pPr>
          </w:p>
        </w:tc>
        <w:tc>
          <w:tcPr>
            <w:tcW w:w="2240" w:type="dxa"/>
            <w:vAlign w:val="bottom"/>
            <w:shd w:val="clear" w:color="auto" w:fill="F5F5F5"/>
          </w:tcPr>
          <w:p>
            <w:pPr>
              <w:spacing w:after="0"/>
              <w:rPr>
                <w:sz w:val="10"/>
                <w:szCs w:val="10"/>
                <w:color w:val="auto"/>
              </w:rPr>
            </w:pPr>
          </w:p>
        </w:tc>
        <w:tc>
          <w:tcPr>
            <w:tcW w:w="3700" w:type="dxa"/>
            <w:vAlign w:val="bottom"/>
            <w:shd w:val="clear" w:color="auto" w:fill="F5F5F5"/>
          </w:tcPr>
          <w:p>
            <w:pPr>
              <w:spacing w:after="0"/>
              <w:rPr>
                <w:sz w:val="10"/>
                <w:szCs w:val="10"/>
                <w:color w:val="auto"/>
              </w:rPr>
            </w:pPr>
          </w:p>
        </w:tc>
        <w:tc>
          <w:tcPr>
            <w:tcW w:w="194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tcPr>
          <w:p>
            <w:pPr>
              <w:ind w:left="140"/>
              <w:spacing w:after="0"/>
              <w:rPr>
                <w:sz w:val="20"/>
                <w:szCs w:val="20"/>
                <w:color w:val="auto"/>
              </w:rPr>
            </w:pPr>
            <w:r>
              <w:rPr>
                <w:rFonts w:ascii="Arial" w:cs="Arial" w:eastAsia="Arial" w:hAnsi="Arial"/>
                <w:sz w:val="14"/>
                <w:szCs w:val="14"/>
                <w:b w:val="1"/>
                <w:bCs w:val="1"/>
                <w:color w:val="005388"/>
              </w:rPr>
              <w:t>Renu Agrawal</w:t>
            </w:r>
          </w:p>
        </w:tc>
        <w:tc>
          <w:tcPr>
            <w:tcW w:w="1240" w:type="dxa"/>
            <w:vAlign w:val="bottom"/>
          </w:tcPr>
          <w:p>
            <w:pPr>
              <w:jc w:val="center"/>
              <w:ind w:left="179"/>
              <w:spacing w:after="0"/>
              <w:rPr>
                <w:sz w:val="20"/>
                <w:szCs w:val="20"/>
                <w:color w:val="auto"/>
              </w:rPr>
            </w:pPr>
            <w:r>
              <w:rPr>
                <w:rFonts w:ascii="Arial" w:cs="Arial" w:eastAsia="Arial" w:hAnsi="Arial"/>
                <w:sz w:val="16"/>
                <w:szCs w:val="16"/>
                <w:color w:val="auto"/>
              </w:rPr>
              <w:t>62</w:t>
            </w:r>
          </w:p>
        </w:tc>
        <w:tc>
          <w:tcPr>
            <w:tcW w:w="2240" w:type="dxa"/>
            <w:vAlign w:val="bottom"/>
          </w:tcPr>
          <w:p>
            <w:pPr>
              <w:jc w:val="center"/>
              <w:ind w:right="119"/>
              <w:spacing w:after="0"/>
              <w:rPr>
                <w:sz w:val="20"/>
                <w:szCs w:val="20"/>
                <w:color w:val="auto"/>
              </w:rPr>
            </w:pPr>
            <w:r>
              <w:rPr>
                <w:rFonts w:ascii="Arial" w:cs="Arial" w:eastAsia="Arial" w:hAnsi="Arial"/>
                <w:sz w:val="16"/>
                <w:szCs w:val="16"/>
                <w:color w:val="auto"/>
              </w:rPr>
              <w:t>2026</w:t>
            </w:r>
          </w:p>
        </w:tc>
        <w:tc>
          <w:tcPr>
            <w:tcW w:w="370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Michael Embler</w:t>
            </w:r>
          </w:p>
        </w:tc>
        <w:tc>
          <w:tcPr>
            <w:tcW w:w="1240" w:type="dxa"/>
            <w:vAlign w:val="bottom"/>
            <w:shd w:val="clear" w:color="auto" w:fill="F5F5F5"/>
          </w:tcPr>
          <w:p>
            <w:pPr>
              <w:jc w:val="center"/>
              <w:ind w:left="179"/>
              <w:spacing w:after="0"/>
              <w:rPr>
                <w:sz w:val="20"/>
                <w:szCs w:val="20"/>
                <w:color w:val="auto"/>
              </w:rPr>
            </w:pPr>
            <w:r>
              <w:rPr>
                <w:rFonts w:ascii="Arial" w:cs="Arial" w:eastAsia="Arial" w:hAnsi="Arial"/>
                <w:sz w:val="16"/>
                <w:szCs w:val="16"/>
                <w:color w:val="auto"/>
              </w:rPr>
              <w:t>61</w:t>
            </w:r>
          </w:p>
        </w:tc>
        <w:tc>
          <w:tcPr>
            <w:tcW w:w="2240" w:type="dxa"/>
            <w:vAlign w:val="bottom"/>
            <w:shd w:val="clear" w:color="auto" w:fill="F5F5F5"/>
          </w:tcPr>
          <w:p>
            <w:pPr>
              <w:jc w:val="center"/>
              <w:ind w:right="119"/>
              <w:spacing w:after="0"/>
              <w:rPr>
                <w:sz w:val="20"/>
                <w:szCs w:val="20"/>
                <w:color w:val="auto"/>
              </w:rPr>
            </w:pPr>
            <w:r>
              <w:rPr>
                <w:rFonts w:ascii="Arial" w:cs="Arial" w:eastAsia="Arial" w:hAnsi="Arial"/>
                <w:sz w:val="16"/>
                <w:szCs w:val="16"/>
                <w:color w:val="auto"/>
              </w:rPr>
              <w:t>2012</w:t>
            </w:r>
          </w:p>
        </w:tc>
        <w:tc>
          <w:tcPr>
            <w:tcW w:w="3700" w:type="dxa"/>
            <w:vAlign w:val="bottom"/>
            <w:shd w:val="clear" w:color="auto" w:fill="F5F5F5"/>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shd w:val="clear" w:color="auto" w:fill="F5F5F5"/>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4"/>
        </w:trPr>
        <w:tc>
          <w:tcPr>
            <w:tcW w:w="2120" w:type="dxa"/>
            <w:vAlign w:val="bottom"/>
            <w:shd w:val="clear" w:color="auto" w:fill="F5F5F5"/>
          </w:tcPr>
          <w:p>
            <w:pPr>
              <w:spacing w:after="0"/>
              <w:rPr>
                <w:sz w:val="10"/>
                <w:szCs w:val="10"/>
                <w:color w:val="auto"/>
              </w:rPr>
            </w:pPr>
          </w:p>
        </w:tc>
        <w:tc>
          <w:tcPr>
            <w:tcW w:w="1240" w:type="dxa"/>
            <w:vAlign w:val="bottom"/>
            <w:shd w:val="clear" w:color="auto" w:fill="F5F5F5"/>
          </w:tcPr>
          <w:p>
            <w:pPr>
              <w:spacing w:after="0"/>
              <w:rPr>
                <w:sz w:val="10"/>
                <w:szCs w:val="10"/>
                <w:color w:val="auto"/>
              </w:rPr>
            </w:pPr>
          </w:p>
        </w:tc>
        <w:tc>
          <w:tcPr>
            <w:tcW w:w="2240" w:type="dxa"/>
            <w:vAlign w:val="bottom"/>
            <w:shd w:val="clear" w:color="auto" w:fill="F5F5F5"/>
          </w:tcPr>
          <w:p>
            <w:pPr>
              <w:spacing w:after="0"/>
              <w:rPr>
                <w:sz w:val="10"/>
                <w:szCs w:val="10"/>
                <w:color w:val="auto"/>
              </w:rPr>
            </w:pPr>
          </w:p>
        </w:tc>
        <w:tc>
          <w:tcPr>
            <w:tcW w:w="3700" w:type="dxa"/>
            <w:vAlign w:val="bottom"/>
            <w:shd w:val="clear" w:color="auto" w:fill="F5F5F5"/>
          </w:tcPr>
          <w:p>
            <w:pPr>
              <w:spacing w:after="0"/>
              <w:rPr>
                <w:sz w:val="10"/>
                <w:szCs w:val="10"/>
                <w:color w:val="auto"/>
              </w:rPr>
            </w:pPr>
          </w:p>
        </w:tc>
        <w:tc>
          <w:tcPr>
            <w:tcW w:w="194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tcPr>
          <w:p>
            <w:pPr>
              <w:ind w:left="140"/>
              <w:spacing w:after="0"/>
              <w:rPr>
                <w:sz w:val="20"/>
                <w:szCs w:val="20"/>
                <w:color w:val="auto"/>
              </w:rPr>
            </w:pPr>
            <w:r>
              <w:rPr>
                <w:rFonts w:ascii="Arial" w:cs="Arial" w:eastAsia="Arial" w:hAnsi="Arial"/>
                <w:sz w:val="14"/>
                <w:szCs w:val="14"/>
                <w:b w:val="1"/>
                <w:bCs w:val="1"/>
                <w:color w:val="005388"/>
              </w:rPr>
              <w:t>John C. Erickson</w:t>
            </w:r>
          </w:p>
        </w:tc>
        <w:tc>
          <w:tcPr>
            <w:tcW w:w="1240" w:type="dxa"/>
            <w:vAlign w:val="bottom"/>
          </w:tcPr>
          <w:p>
            <w:pPr>
              <w:jc w:val="center"/>
              <w:ind w:left="179"/>
              <w:spacing w:after="0"/>
              <w:rPr>
                <w:sz w:val="20"/>
                <w:szCs w:val="20"/>
                <w:color w:val="auto"/>
              </w:rPr>
            </w:pPr>
            <w:r>
              <w:rPr>
                <w:rFonts w:ascii="Arial" w:cs="Arial" w:eastAsia="Arial" w:hAnsi="Arial"/>
                <w:sz w:val="16"/>
                <w:szCs w:val="16"/>
                <w:color w:val="auto"/>
              </w:rPr>
              <w:t>64</w:t>
            </w:r>
          </w:p>
        </w:tc>
        <w:tc>
          <w:tcPr>
            <w:tcW w:w="2240" w:type="dxa"/>
            <w:vAlign w:val="bottom"/>
          </w:tcPr>
          <w:p>
            <w:pPr>
              <w:jc w:val="center"/>
              <w:ind w:right="119"/>
              <w:spacing w:after="0"/>
              <w:rPr>
                <w:sz w:val="20"/>
                <w:szCs w:val="20"/>
                <w:color w:val="auto"/>
              </w:rPr>
            </w:pPr>
            <w:r>
              <w:rPr>
                <w:rFonts w:ascii="Arial" w:cs="Arial" w:eastAsia="Arial" w:hAnsi="Arial"/>
                <w:sz w:val="16"/>
                <w:szCs w:val="16"/>
                <w:color w:val="auto"/>
              </w:rPr>
              <w:t>2023</w:t>
            </w:r>
          </w:p>
        </w:tc>
        <w:tc>
          <w:tcPr>
            <w:tcW w:w="370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Priya Huskins</w:t>
            </w:r>
          </w:p>
        </w:tc>
        <w:tc>
          <w:tcPr>
            <w:tcW w:w="1240" w:type="dxa"/>
            <w:vAlign w:val="bottom"/>
            <w:shd w:val="clear" w:color="auto" w:fill="F5F5F5"/>
          </w:tcPr>
          <w:p>
            <w:pPr>
              <w:jc w:val="center"/>
              <w:ind w:left="179"/>
              <w:spacing w:after="0"/>
              <w:rPr>
                <w:sz w:val="20"/>
                <w:szCs w:val="20"/>
                <w:color w:val="auto"/>
              </w:rPr>
            </w:pPr>
            <w:r>
              <w:rPr>
                <w:rFonts w:ascii="Arial" w:cs="Arial" w:eastAsia="Arial" w:hAnsi="Arial"/>
                <w:sz w:val="16"/>
                <w:szCs w:val="16"/>
                <w:color w:val="auto"/>
              </w:rPr>
              <w:t>54</w:t>
            </w:r>
          </w:p>
        </w:tc>
        <w:tc>
          <w:tcPr>
            <w:tcW w:w="2240" w:type="dxa"/>
            <w:vAlign w:val="bottom"/>
            <w:shd w:val="clear" w:color="auto" w:fill="F5F5F5"/>
          </w:tcPr>
          <w:p>
            <w:pPr>
              <w:jc w:val="center"/>
              <w:ind w:right="119"/>
              <w:spacing w:after="0"/>
              <w:rPr>
                <w:sz w:val="20"/>
                <w:szCs w:val="20"/>
                <w:color w:val="auto"/>
              </w:rPr>
            </w:pPr>
            <w:r>
              <w:rPr>
                <w:rFonts w:ascii="Arial" w:cs="Arial" w:eastAsia="Arial" w:hAnsi="Arial"/>
                <w:sz w:val="16"/>
                <w:szCs w:val="16"/>
                <w:color w:val="auto"/>
              </w:rPr>
              <w:t>2021</w:t>
            </w:r>
          </w:p>
        </w:tc>
        <w:tc>
          <w:tcPr>
            <w:tcW w:w="3700" w:type="dxa"/>
            <w:vAlign w:val="bottom"/>
            <w:shd w:val="clear" w:color="auto" w:fill="F5F5F5"/>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shd w:val="clear" w:color="auto" w:fill="F5F5F5"/>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4"/>
        </w:trPr>
        <w:tc>
          <w:tcPr>
            <w:tcW w:w="2120" w:type="dxa"/>
            <w:vAlign w:val="bottom"/>
            <w:shd w:val="clear" w:color="auto" w:fill="F5F5F5"/>
          </w:tcPr>
          <w:p>
            <w:pPr>
              <w:spacing w:after="0"/>
              <w:rPr>
                <w:sz w:val="10"/>
                <w:szCs w:val="10"/>
                <w:color w:val="auto"/>
              </w:rPr>
            </w:pPr>
          </w:p>
        </w:tc>
        <w:tc>
          <w:tcPr>
            <w:tcW w:w="1240" w:type="dxa"/>
            <w:vAlign w:val="bottom"/>
            <w:shd w:val="clear" w:color="auto" w:fill="F5F5F5"/>
          </w:tcPr>
          <w:p>
            <w:pPr>
              <w:spacing w:after="0"/>
              <w:rPr>
                <w:sz w:val="10"/>
                <w:szCs w:val="10"/>
                <w:color w:val="auto"/>
              </w:rPr>
            </w:pPr>
          </w:p>
        </w:tc>
        <w:tc>
          <w:tcPr>
            <w:tcW w:w="2240" w:type="dxa"/>
            <w:vAlign w:val="bottom"/>
            <w:shd w:val="clear" w:color="auto" w:fill="F5F5F5"/>
          </w:tcPr>
          <w:p>
            <w:pPr>
              <w:spacing w:after="0"/>
              <w:rPr>
                <w:sz w:val="10"/>
                <w:szCs w:val="10"/>
                <w:color w:val="auto"/>
              </w:rPr>
            </w:pPr>
          </w:p>
        </w:tc>
        <w:tc>
          <w:tcPr>
            <w:tcW w:w="3700" w:type="dxa"/>
            <w:vAlign w:val="bottom"/>
            <w:shd w:val="clear" w:color="auto" w:fill="F5F5F5"/>
          </w:tcPr>
          <w:p>
            <w:pPr>
              <w:spacing w:after="0"/>
              <w:rPr>
                <w:sz w:val="10"/>
                <w:szCs w:val="10"/>
                <w:color w:val="auto"/>
              </w:rPr>
            </w:pPr>
          </w:p>
        </w:tc>
        <w:tc>
          <w:tcPr>
            <w:tcW w:w="194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tcPr>
          <w:p>
            <w:pPr>
              <w:ind w:left="140"/>
              <w:spacing w:after="0"/>
              <w:rPr>
                <w:sz w:val="20"/>
                <w:szCs w:val="20"/>
                <w:color w:val="auto"/>
              </w:rPr>
            </w:pPr>
            <w:r>
              <w:rPr>
                <w:rFonts w:ascii="Arial" w:cs="Arial" w:eastAsia="Arial" w:hAnsi="Arial"/>
                <w:sz w:val="14"/>
                <w:szCs w:val="14"/>
                <w:b w:val="1"/>
                <w:bCs w:val="1"/>
                <w:color w:val="005388"/>
              </w:rPr>
              <w:t>Lynn S. McCreary</w:t>
            </w:r>
          </w:p>
        </w:tc>
        <w:tc>
          <w:tcPr>
            <w:tcW w:w="1240" w:type="dxa"/>
            <w:vAlign w:val="bottom"/>
          </w:tcPr>
          <w:p>
            <w:pPr>
              <w:jc w:val="center"/>
              <w:ind w:left="179"/>
              <w:spacing w:after="0"/>
              <w:rPr>
                <w:sz w:val="20"/>
                <w:szCs w:val="20"/>
                <w:color w:val="auto"/>
              </w:rPr>
            </w:pPr>
            <w:r>
              <w:rPr>
                <w:rFonts w:ascii="Arial" w:cs="Arial" w:eastAsia="Arial" w:hAnsi="Arial"/>
                <w:sz w:val="16"/>
                <w:szCs w:val="16"/>
                <w:color w:val="auto"/>
              </w:rPr>
              <w:t>66</w:t>
            </w:r>
          </w:p>
        </w:tc>
        <w:tc>
          <w:tcPr>
            <w:tcW w:w="2240" w:type="dxa"/>
            <w:vAlign w:val="bottom"/>
          </w:tcPr>
          <w:p>
            <w:pPr>
              <w:jc w:val="center"/>
              <w:ind w:right="119"/>
              <w:spacing w:after="0"/>
              <w:rPr>
                <w:sz w:val="20"/>
                <w:szCs w:val="20"/>
                <w:color w:val="auto"/>
              </w:rPr>
            </w:pPr>
            <w:r>
              <w:rPr>
                <w:rFonts w:ascii="Arial" w:cs="Arial" w:eastAsia="Arial" w:hAnsi="Arial"/>
                <w:sz w:val="16"/>
                <w:szCs w:val="16"/>
                <w:color w:val="auto"/>
              </w:rPr>
              <w:t>2019</w:t>
            </w:r>
          </w:p>
        </w:tc>
        <w:tc>
          <w:tcPr>
            <w:tcW w:w="3700" w:type="dxa"/>
            <w:vAlign w:val="bottom"/>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3"/>
        </w:trPr>
        <w:tc>
          <w:tcPr>
            <w:tcW w:w="2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1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Michael Montgomery</w:t>
            </w:r>
          </w:p>
        </w:tc>
        <w:tc>
          <w:tcPr>
            <w:tcW w:w="1240" w:type="dxa"/>
            <w:vAlign w:val="bottom"/>
            <w:shd w:val="clear" w:color="auto" w:fill="F5F5F5"/>
          </w:tcPr>
          <w:p>
            <w:pPr>
              <w:jc w:val="center"/>
              <w:ind w:left="179"/>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F5F5F5"/>
          </w:tcPr>
          <w:p>
            <w:pPr>
              <w:jc w:val="center"/>
              <w:ind w:right="119"/>
              <w:spacing w:after="0"/>
              <w:rPr>
                <w:sz w:val="20"/>
                <w:szCs w:val="20"/>
                <w:color w:val="auto"/>
              </w:rPr>
            </w:pPr>
            <w:r>
              <w:rPr>
                <w:rFonts w:ascii="Arial" w:cs="Arial" w:eastAsia="Arial" w:hAnsi="Arial"/>
                <w:sz w:val="16"/>
                <w:szCs w:val="16"/>
                <w:color w:val="auto"/>
              </w:rPr>
              <w:t>2012</w:t>
            </w:r>
          </w:p>
        </w:tc>
        <w:tc>
          <w:tcPr>
            <w:tcW w:w="3700" w:type="dxa"/>
            <w:vAlign w:val="bottom"/>
            <w:shd w:val="clear" w:color="auto" w:fill="F5F5F5"/>
          </w:tcPr>
          <w:p>
            <w:pPr>
              <w:jc w:val="center"/>
              <w:spacing w:after="0"/>
              <w:rPr>
                <w:sz w:val="20"/>
                <w:szCs w:val="20"/>
                <w:color w:val="auto"/>
              </w:rPr>
            </w:pPr>
            <w:r>
              <w:rPr>
                <w:rFonts w:ascii="Arial" w:cs="Arial" w:eastAsia="Arial" w:hAnsi="Arial"/>
                <w:sz w:val="16"/>
                <w:szCs w:val="16"/>
                <w:color w:val="auto"/>
              </w:rPr>
              <w:t>Director</w:t>
            </w:r>
          </w:p>
        </w:tc>
        <w:tc>
          <w:tcPr>
            <w:tcW w:w="1940" w:type="dxa"/>
            <w:vAlign w:val="bottom"/>
            <w:shd w:val="clear" w:color="auto" w:fill="F5F5F5"/>
          </w:tcPr>
          <w:p>
            <w:pPr>
              <w:jc w:val="center"/>
              <w:ind w:left="119"/>
              <w:spacing w:after="0"/>
              <w:rPr>
                <w:sz w:val="20"/>
                <w:szCs w:val="20"/>
                <w:color w:val="auto"/>
              </w:rPr>
            </w:pPr>
            <w:r>
              <w:rPr>
                <w:rFonts w:ascii="Arial" w:cs="Arial" w:eastAsia="Arial" w:hAnsi="Arial"/>
                <w:sz w:val="16"/>
                <w:szCs w:val="16"/>
                <w:color w:val="auto"/>
                <w:w w:val="94"/>
              </w:rPr>
              <w:t>Yes</w:t>
            </w:r>
          </w:p>
        </w:tc>
        <w:tc>
          <w:tcPr>
            <w:tcW w:w="0" w:type="dxa"/>
            <w:vAlign w:val="bottom"/>
          </w:tcPr>
          <w:p>
            <w:pPr>
              <w:spacing w:after="0"/>
              <w:rPr>
                <w:sz w:val="1"/>
                <w:szCs w:val="1"/>
                <w:color w:val="auto"/>
              </w:rPr>
            </w:pPr>
          </w:p>
        </w:tc>
      </w:tr>
      <w:tr>
        <w:trPr>
          <w:trHeight w:val="123"/>
        </w:trPr>
        <w:tc>
          <w:tcPr>
            <w:tcW w:w="2120" w:type="dxa"/>
            <w:vAlign w:val="bottom"/>
            <w:tcBorders>
              <w:bottom w:val="single" w:sz="8" w:color="DE762B"/>
            </w:tcBorders>
            <w:shd w:val="clear" w:color="auto" w:fill="F5F5F5"/>
          </w:tcPr>
          <w:p>
            <w:pPr>
              <w:spacing w:after="0"/>
              <w:rPr>
                <w:sz w:val="10"/>
                <w:szCs w:val="10"/>
                <w:color w:val="auto"/>
              </w:rPr>
            </w:pPr>
          </w:p>
        </w:tc>
        <w:tc>
          <w:tcPr>
            <w:tcW w:w="1240" w:type="dxa"/>
            <w:vAlign w:val="bottom"/>
            <w:tcBorders>
              <w:bottom w:val="single" w:sz="8" w:color="DE762B"/>
            </w:tcBorders>
            <w:shd w:val="clear" w:color="auto" w:fill="F5F5F5"/>
          </w:tcPr>
          <w:p>
            <w:pPr>
              <w:spacing w:after="0"/>
              <w:rPr>
                <w:sz w:val="10"/>
                <w:szCs w:val="10"/>
                <w:color w:val="auto"/>
              </w:rPr>
            </w:pPr>
          </w:p>
        </w:tc>
        <w:tc>
          <w:tcPr>
            <w:tcW w:w="2240" w:type="dxa"/>
            <w:vAlign w:val="bottom"/>
            <w:tcBorders>
              <w:bottom w:val="single" w:sz="8" w:color="DE762B"/>
            </w:tcBorders>
            <w:shd w:val="clear" w:color="auto" w:fill="F5F5F5"/>
          </w:tcPr>
          <w:p>
            <w:pPr>
              <w:spacing w:after="0"/>
              <w:rPr>
                <w:sz w:val="10"/>
                <w:szCs w:val="10"/>
                <w:color w:val="auto"/>
              </w:rPr>
            </w:pPr>
          </w:p>
        </w:tc>
        <w:tc>
          <w:tcPr>
            <w:tcW w:w="3700" w:type="dxa"/>
            <w:vAlign w:val="bottom"/>
            <w:tcBorders>
              <w:bottom w:val="single" w:sz="8" w:color="DE762B"/>
            </w:tcBorders>
            <w:shd w:val="clear" w:color="auto" w:fill="F5F5F5"/>
          </w:tcPr>
          <w:p>
            <w:pPr>
              <w:spacing w:after="0"/>
              <w:rPr>
                <w:sz w:val="10"/>
                <w:szCs w:val="10"/>
                <w:color w:val="auto"/>
              </w:rPr>
            </w:pPr>
          </w:p>
        </w:tc>
        <w:tc>
          <w:tcPr>
            <w:tcW w:w="1940" w:type="dxa"/>
            <w:vAlign w:val="bottom"/>
            <w:tcBorders>
              <w:bottom w:val="single" w:sz="8" w:color="DE762B"/>
            </w:tcBorders>
            <w:shd w:val="clear" w:color="auto" w:fill="F5F5F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-2635250</wp:posOffset>
            </wp:positionV>
            <wp:extent cx="34290" cy="26403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2640330"/>
                    </a:xfrm>
                    <a:prstGeom prst="rect">
                      <a:avLst/>
                    </a:prstGeom>
                    <a:noFill/>
                  </pic:spPr>
                </pic:pic>
              </a:graphicData>
            </a:graphic>
          </wp:anchor>
        </w:drawing>
        <w:drawing>
          <wp:anchor simplePos="0" relativeHeight="251657728" behindDoc="1" locked="0" layoutInCell="0" allowOverlap="1">
            <wp:simplePos x="0" y="0"/>
            <wp:positionH relativeFrom="column">
              <wp:posOffset>3438525</wp:posOffset>
            </wp:positionH>
            <wp:positionV relativeFrom="paragraph">
              <wp:posOffset>-2635250</wp:posOffset>
            </wp:positionV>
            <wp:extent cx="33655" cy="26403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2640330"/>
                    </a:xfrm>
                    <a:prstGeom prst="rect">
                      <a:avLst/>
                    </a:prstGeom>
                    <a:noFill/>
                  </pic:spPr>
                </pic:pic>
              </a:graphicData>
            </a:graphic>
          </wp:anchor>
        </w:drawing>
        <w:drawing>
          <wp:anchor simplePos="0" relativeHeight="251657728" behindDoc="1" locked="0" layoutInCell="0" allowOverlap="1">
            <wp:simplePos x="0" y="0"/>
            <wp:positionH relativeFrom="column">
              <wp:posOffset>2101215</wp:posOffset>
            </wp:positionH>
            <wp:positionV relativeFrom="paragraph">
              <wp:posOffset>-2635250</wp:posOffset>
            </wp:positionV>
            <wp:extent cx="34290" cy="26403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2640330"/>
                    </a:xfrm>
                    <a:prstGeom prst="rect">
                      <a:avLst/>
                    </a:prstGeom>
                    <a:noFill/>
                  </pic:spPr>
                </pic:pic>
              </a:graphicData>
            </a:graphic>
          </wp:anchor>
        </w:drawing>
        <w:drawing>
          <wp:anchor simplePos="0" relativeHeight="251657728" behindDoc="1" locked="0" layoutInCell="0" allowOverlap="1">
            <wp:simplePos x="0" y="0"/>
            <wp:positionH relativeFrom="column">
              <wp:posOffset>1501140</wp:posOffset>
            </wp:positionH>
            <wp:positionV relativeFrom="paragraph">
              <wp:posOffset>-2635250</wp:posOffset>
            </wp:positionV>
            <wp:extent cx="34290" cy="26403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264033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840105</wp:posOffset>
            </wp:positionV>
            <wp:extent cx="6763385" cy="18859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33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60" w:type="dxa"/>
            <w:vAlign w:val="bottom"/>
          </w:tcPr>
          <w:p>
            <w:pPr>
              <w:ind w:left="420"/>
              <w:spacing w:after="0"/>
              <w:rPr>
                <w:sz w:val="20"/>
                <w:szCs w:val="20"/>
                <w:color w:val="auto"/>
              </w:rPr>
            </w:pPr>
            <w:r>
              <w:rPr>
                <w:rFonts w:ascii="Arial" w:cs="Arial" w:eastAsia="Arial" w:hAnsi="Arial"/>
                <w:sz w:val="16"/>
                <w:szCs w:val="16"/>
                <w:color w:val="auto"/>
              </w:rPr>
              <w:t>Average Tenure: 8 Years</w:t>
            </w:r>
          </w:p>
        </w:tc>
        <w:tc>
          <w:tcPr>
            <w:tcW w:w="2500" w:type="dxa"/>
            <w:vAlign w:val="bottom"/>
          </w:tcPr>
          <w:p>
            <w:pPr>
              <w:ind w:left="580"/>
              <w:spacing w:after="0"/>
              <w:rPr>
                <w:sz w:val="20"/>
                <w:szCs w:val="20"/>
                <w:color w:val="auto"/>
              </w:rPr>
            </w:pPr>
            <w:r>
              <w:rPr>
                <w:rFonts w:ascii="Arial" w:cs="Arial" w:eastAsia="Arial" w:hAnsi="Arial"/>
                <w:sz w:val="16"/>
                <w:szCs w:val="16"/>
                <w:color w:val="auto"/>
              </w:rPr>
              <w:t>Average Age: 64 Years</w:t>
            </w:r>
          </w:p>
        </w:tc>
        <w:tc>
          <w:tcPr>
            <w:tcW w:w="3140" w:type="dxa"/>
            <w:vAlign w:val="bottom"/>
          </w:tcPr>
          <w:p>
            <w:pPr>
              <w:jc w:val="right"/>
              <w:ind w:right="819"/>
              <w:spacing w:after="0"/>
              <w:rPr>
                <w:sz w:val="20"/>
                <w:szCs w:val="20"/>
                <w:color w:val="auto"/>
              </w:rPr>
            </w:pPr>
            <w:r>
              <w:rPr>
                <w:rFonts w:ascii="Arial" w:cs="Arial" w:eastAsia="Arial" w:hAnsi="Arial"/>
                <w:sz w:val="16"/>
                <w:szCs w:val="16"/>
                <w:color w:val="auto"/>
              </w:rPr>
              <w:t>33% Female</w:t>
            </w:r>
          </w:p>
        </w:tc>
        <w:tc>
          <w:tcPr>
            <w:tcW w:w="2840" w:type="dxa"/>
            <w:vAlign w:val="bottom"/>
          </w:tcPr>
          <w:p>
            <w:pPr>
              <w:ind w:left="900"/>
              <w:spacing w:after="0"/>
              <w:rPr>
                <w:sz w:val="20"/>
                <w:szCs w:val="20"/>
                <w:color w:val="auto"/>
              </w:rPr>
            </w:pPr>
            <w:r>
              <w:rPr>
                <w:rFonts w:ascii="Arial" w:cs="Arial" w:eastAsia="Arial" w:hAnsi="Arial"/>
                <w:sz w:val="16"/>
                <w:szCs w:val="16"/>
                <w:color w:val="auto"/>
              </w:rPr>
              <w:t>78% Independent</w:t>
            </w:r>
          </w:p>
        </w:tc>
      </w:tr>
      <w:tr>
        <w:trPr>
          <w:trHeight w:val="845"/>
        </w:trPr>
        <w:tc>
          <w:tcPr>
            <w:tcW w:w="2760" w:type="dxa"/>
            <w:vAlign w:val="bottom"/>
          </w:tcPr>
          <w:p>
            <w:pPr>
              <w:ind w:left="20"/>
              <w:spacing w:after="0"/>
              <w:rPr>
                <w:sz w:val="20"/>
                <w:szCs w:val="20"/>
                <w:color w:val="auto"/>
              </w:rPr>
            </w:pPr>
            <w:r>
              <w:rPr>
                <w:rFonts w:ascii="Arial" w:cs="Arial" w:eastAsia="Arial" w:hAnsi="Arial"/>
                <w:sz w:val="14"/>
                <w:szCs w:val="14"/>
                <w:color w:val="auto"/>
              </w:rPr>
              <w:t>NMI Holdings, Inc. (NMIH)</w:t>
            </w:r>
          </w:p>
        </w:tc>
        <w:tc>
          <w:tcPr>
            <w:tcW w:w="2500" w:type="dxa"/>
            <w:vAlign w:val="bottom"/>
          </w:tcPr>
          <w:p>
            <w:pPr>
              <w:spacing w:after="0"/>
              <w:rPr>
                <w:sz w:val="24"/>
                <w:szCs w:val="24"/>
                <w:color w:val="auto"/>
              </w:rPr>
            </w:pPr>
          </w:p>
        </w:tc>
        <w:tc>
          <w:tcPr>
            <w:tcW w:w="3140" w:type="dxa"/>
            <w:vAlign w:val="bottom"/>
          </w:tcPr>
          <w:p>
            <w:pPr>
              <w:jc w:val="right"/>
              <w:ind w:right="2619"/>
              <w:spacing w:after="0"/>
              <w:rPr>
                <w:sz w:val="20"/>
                <w:szCs w:val="20"/>
                <w:color w:val="auto"/>
              </w:rPr>
            </w:pPr>
            <w:r>
              <w:rPr>
                <w:rFonts w:ascii="Arial" w:cs="Arial" w:eastAsia="Arial" w:hAnsi="Arial"/>
                <w:sz w:val="16"/>
                <w:szCs w:val="16"/>
                <w:b w:val="1"/>
                <w:bCs w:val="1"/>
                <w:color w:val="00B8FC"/>
              </w:rPr>
              <w:t>12</w:t>
            </w:r>
          </w:p>
        </w:tc>
        <w:tc>
          <w:tcPr>
            <w:tcW w:w="2840" w:type="dxa"/>
            <w:vAlign w:val="bottom"/>
          </w:tcPr>
          <w:p>
            <w:pPr>
              <w:ind w:left="1400"/>
              <w:spacing w:after="0"/>
              <w:rPr>
                <w:sz w:val="20"/>
                <w:szCs w:val="20"/>
                <w:color w:val="auto"/>
              </w:rPr>
            </w:pPr>
            <w:r>
              <w:rPr>
                <w:rFonts w:ascii="Arial" w:cs="Arial" w:eastAsia="Arial" w:hAnsi="Arial"/>
                <w:sz w:val="14"/>
                <w:szCs w:val="14"/>
                <w:color w:val="auto"/>
              </w:rPr>
              <w:t>2026 Proxy Statement</w:t>
            </w:r>
          </w:p>
        </w:tc>
      </w:tr>
      <w:tr>
        <w:trPr>
          <w:trHeight w:val="325"/>
        </w:trPr>
        <w:tc>
          <w:tcPr>
            <w:tcW w:w="27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PERSONAL ATTRIBUTES AND SKILLS OF THE DIRECTOR NOMINEES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Board considers a wide range of attributes when selecting and recruiting candidates.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nine director nominees have executive experience and skills that are aligned with our business and strategy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47872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787265"/>
                    </a:xfrm>
                    <a:prstGeom prst="rect">
                      <a:avLst/>
                    </a:prstGeom>
                    <a:noFill/>
                  </pic:spPr>
                </pic:pic>
              </a:graphicData>
            </a:graphic>
          </wp:anchor>
        </w:drawing>
      </w:r>
    </w:p>
    <w:p>
      <w:pPr>
        <w:spacing w:after="0" w:line="206" w:lineRule="exact"/>
        <w:rPr>
          <w:sz w:val="20"/>
          <w:szCs w:val="20"/>
          <w:color w:val="auto"/>
        </w:rPr>
      </w:pPr>
    </w:p>
    <w:p>
      <w:pPr>
        <w:ind w:left="140"/>
        <w:spacing w:after="0"/>
        <w:tabs>
          <w:tab w:leader="none" w:pos="6300" w:val="left"/>
        </w:tabs>
        <w:rPr>
          <w:sz w:val="20"/>
          <w:szCs w:val="20"/>
          <w:color w:val="auto"/>
        </w:rPr>
      </w:pPr>
      <w:r>
        <w:rPr>
          <w:rFonts w:ascii="Arial" w:cs="Arial" w:eastAsia="Arial" w:hAnsi="Arial"/>
          <w:sz w:val="14"/>
          <w:szCs w:val="14"/>
          <w:color w:val="FFFFFF"/>
        </w:rPr>
        <w:t>SKILL/EXPERIENCE</w:t>
      </w:r>
      <w:r>
        <w:rPr>
          <w:sz w:val="20"/>
          <w:szCs w:val="20"/>
          <w:color w:val="auto"/>
        </w:rPr>
        <w:tab/>
      </w:r>
      <w:r>
        <w:rPr>
          <w:rFonts w:ascii="Arial" w:cs="Arial" w:eastAsia="Arial" w:hAnsi="Arial"/>
          <w:sz w:val="14"/>
          <w:szCs w:val="14"/>
          <w:color w:val="FFFFFF"/>
        </w:rPr>
        <w:t>NUMBER OF DIRECTORS (OUT OF 9)</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SENIOR EXECUTIVE / CORPORATE GOVERNANCE:</w:t>
      </w:r>
    </w:p>
    <w:p>
      <w:pPr>
        <w:spacing w:after="0" w:line="77" w:lineRule="exact"/>
        <w:rPr>
          <w:sz w:val="20"/>
          <w:szCs w:val="20"/>
          <w:color w:val="auto"/>
        </w:rPr>
      </w:pPr>
    </w:p>
    <w:p>
      <w:pPr>
        <w:ind w:left="1100" w:right="2700"/>
        <w:spacing w:after="0" w:line="285" w:lineRule="auto"/>
        <w:rPr>
          <w:sz w:val="20"/>
          <w:szCs w:val="20"/>
          <w:color w:val="auto"/>
        </w:rPr>
      </w:pPr>
      <w:r>
        <w:rPr>
          <w:rFonts w:ascii="Arial" w:cs="Arial" w:eastAsia="Arial" w:hAnsi="Arial"/>
          <w:sz w:val="14"/>
          <w:szCs w:val="14"/>
          <w:color w:val="auto"/>
        </w:rPr>
        <w:t>Directors bring valuable senior executive experience on matters relating to corporate governance, management, operations and compensation.</w:t>
      </w:r>
    </w:p>
    <w:p>
      <w:pPr>
        <w:spacing w:after="0" w:line="200" w:lineRule="exact"/>
        <w:rPr>
          <w:sz w:val="20"/>
          <w:szCs w:val="20"/>
          <w:color w:val="auto"/>
        </w:rPr>
      </w:pPr>
    </w:p>
    <w:p>
      <w:pPr>
        <w:spacing w:after="0" w:line="371"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PUBLIC COMPANY / FINANCIAL REPORTING:</w:t>
      </w:r>
    </w:p>
    <w:p>
      <w:pPr>
        <w:spacing w:after="0" w:line="77" w:lineRule="exact"/>
        <w:rPr>
          <w:sz w:val="20"/>
          <w:szCs w:val="20"/>
          <w:color w:val="auto"/>
        </w:rPr>
      </w:pPr>
    </w:p>
    <w:p>
      <w:pPr>
        <w:ind w:left="1100" w:right="2540"/>
        <w:spacing w:after="0" w:line="285" w:lineRule="auto"/>
        <w:rPr>
          <w:sz w:val="20"/>
          <w:szCs w:val="20"/>
          <w:color w:val="auto"/>
        </w:rPr>
      </w:pPr>
      <w:r>
        <w:rPr>
          <w:rFonts w:ascii="Arial" w:cs="Arial" w:eastAsia="Arial" w:hAnsi="Arial"/>
          <w:sz w:val="14"/>
          <w:szCs w:val="14"/>
          <w:color w:val="auto"/>
        </w:rPr>
        <w:t>Directors bring extensive knowledge of or experience in accounting, financial reporting, auditing processes and standards and public company reporting.</w:t>
      </w:r>
    </w:p>
    <w:p>
      <w:pPr>
        <w:spacing w:after="0" w:line="200" w:lineRule="exact"/>
        <w:rPr>
          <w:sz w:val="20"/>
          <w:szCs w:val="20"/>
          <w:color w:val="auto"/>
        </w:rPr>
      </w:pPr>
    </w:p>
    <w:p>
      <w:pPr>
        <w:spacing w:after="0" w:line="371"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FINANCIAL SERVICES:</w:t>
      </w:r>
    </w:p>
    <w:p>
      <w:pPr>
        <w:spacing w:after="0" w:line="77" w:lineRule="exact"/>
        <w:rPr>
          <w:sz w:val="20"/>
          <w:szCs w:val="20"/>
          <w:color w:val="auto"/>
        </w:rPr>
      </w:pPr>
    </w:p>
    <w:p>
      <w:pPr>
        <w:ind w:left="1100" w:right="2640"/>
        <w:spacing w:after="0" w:line="285" w:lineRule="auto"/>
        <w:rPr>
          <w:sz w:val="20"/>
          <w:szCs w:val="20"/>
          <w:color w:val="auto"/>
        </w:rPr>
      </w:pPr>
      <w:r>
        <w:rPr>
          <w:rFonts w:ascii="Arial" w:cs="Arial" w:eastAsia="Arial" w:hAnsi="Arial"/>
          <w:sz w:val="14"/>
          <w:szCs w:val="14"/>
          <w:color w:val="auto"/>
        </w:rPr>
        <w:t>Directors possess in-depth knowledge of the financial services industry, providing valuable expertise on issues facing the Company and its industry.</w:t>
      </w:r>
    </w:p>
    <w:p>
      <w:pPr>
        <w:spacing w:after="0" w:line="200" w:lineRule="exact"/>
        <w:rPr>
          <w:sz w:val="20"/>
          <w:szCs w:val="20"/>
          <w:color w:val="auto"/>
        </w:rPr>
      </w:pPr>
    </w:p>
    <w:p>
      <w:pPr>
        <w:spacing w:after="0" w:line="371"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RISK MANAGEMENT / COMPLIANCE:</w:t>
      </w:r>
    </w:p>
    <w:p>
      <w:pPr>
        <w:spacing w:after="0" w:line="77" w:lineRule="exact"/>
        <w:rPr>
          <w:sz w:val="20"/>
          <w:szCs w:val="20"/>
          <w:color w:val="auto"/>
        </w:rPr>
      </w:pPr>
    </w:p>
    <w:p>
      <w:pPr>
        <w:ind w:left="1100" w:right="2780"/>
        <w:spacing w:after="0" w:line="285" w:lineRule="auto"/>
        <w:rPr>
          <w:sz w:val="20"/>
          <w:szCs w:val="20"/>
          <w:color w:val="auto"/>
        </w:rPr>
      </w:pPr>
      <w:r>
        <w:rPr>
          <w:rFonts w:ascii="Arial" w:cs="Arial" w:eastAsia="Arial" w:hAnsi="Arial"/>
          <w:sz w:val="14"/>
          <w:szCs w:val="14"/>
          <w:color w:val="auto"/>
        </w:rPr>
        <w:t>Directors have experience in risk management and compliance oversight relevant to exercising corporate and fiduciary responsibilities.</w:t>
      </w:r>
    </w:p>
    <w:p>
      <w:pPr>
        <w:spacing w:after="0" w:line="200" w:lineRule="exact"/>
        <w:rPr>
          <w:sz w:val="20"/>
          <w:szCs w:val="20"/>
          <w:color w:val="auto"/>
        </w:rPr>
      </w:pPr>
    </w:p>
    <w:p>
      <w:pPr>
        <w:spacing w:after="0" w:line="277"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TECHNOLOGY / CYBERSECURITY:</w:t>
      </w:r>
    </w:p>
    <w:p>
      <w:pPr>
        <w:spacing w:after="0" w:line="77" w:lineRule="exact"/>
        <w:rPr>
          <w:sz w:val="20"/>
          <w:szCs w:val="20"/>
          <w:color w:val="auto"/>
        </w:rPr>
      </w:pPr>
    </w:p>
    <w:p>
      <w:pPr>
        <w:ind w:left="1100" w:right="2720"/>
        <w:spacing w:after="0" w:line="273" w:lineRule="auto"/>
        <w:rPr>
          <w:sz w:val="20"/>
          <w:szCs w:val="20"/>
          <w:color w:val="auto"/>
        </w:rPr>
      </w:pPr>
      <w:r>
        <w:rPr>
          <w:rFonts w:ascii="Arial" w:cs="Arial" w:eastAsia="Arial" w:hAnsi="Arial"/>
          <w:sz w:val="14"/>
          <w:szCs w:val="14"/>
          <w:color w:val="auto"/>
        </w:rPr>
        <w:t>Directors possess knowledge of or experience in the development and adoption of new technology, leading innovation initiatives at companies, or cybersecurity risks.</w:t>
      </w:r>
    </w:p>
    <w:p>
      <w:pPr>
        <w:spacing w:after="0" w:line="200" w:lineRule="exact"/>
        <w:rPr>
          <w:sz w:val="20"/>
          <w:szCs w:val="20"/>
          <w:color w:val="auto"/>
        </w:rPr>
      </w:pPr>
    </w:p>
    <w:p>
      <w:pPr>
        <w:spacing w:after="0" w:line="299" w:lineRule="exact"/>
        <w:rPr>
          <w:sz w:val="20"/>
          <w:szCs w:val="20"/>
          <w:color w:val="auto"/>
        </w:rPr>
      </w:pPr>
    </w:p>
    <w:p>
      <w:pPr>
        <w:ind w:left="1100"/>
        <w:spacing w:after="0"/>
        <w:rPr>
          <w:sz w:val="20"/>
          <w:szCs w:val="20"/>
          <w:color w:val="auto"/>
        </w:rPr>
      </w:pPr>
      <w:r>
        <w:rPr>
          <w:rFonts w:ascii="Arial" w:cs="Arial" w:eastAsia="Arial" w:hAnsi="Arial"/>
          <w:sz w:val="16"/>
          <w:szCs w:val="16"/>
          <w:color w:val="0C2940"/>
        </w:rPr>
        <w:t>REGULATED INDUSTRIES:</w:t>
      </w:r>
    </w:p>
    <w:p>
      <w:pPr>
        <w:spacing w:after="0" w:line="77" w:lineRule="exact"/>
        <w:rPr>
          <w:sz w:val="20"/>
          <w:szCs w:val="20"/>
          <w:color w:val="auto"/>
        </w:rPr>
      </w:pPr>
    </w:p>
    <w:p>
      <w:pPr>
        <w:ind w:left="1100" w:right="2740"/>
        <w:spacing w:after="0" w:line="285" w:lineRule="auto"/>
        <w:rPr>
          <w:sz w:val="20"/>
          <w:szCs w:val="20"/>
          <w:color w:val="auto"/>
        </w:rPr>
      </w:pPr>
      <w:r>
        <w:rPr>
          <w:rFonts w:ascii="Arial" w:cs="Arial" w:eastAsia="Arial" w:hAnsi="Arial"/>
          <w:sz w:val="14"/>
          <w:szCs w:val="14"/>
          <w:color w:val="auto"/>
        </w:rPr>
        <w:t>Directors bring valuable experience with regulated businesses, operating under regulatory requirements and relationships with regulatory agencies.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0C2940"/>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0"/>
        <w:spacing w:after="0"/>
        <w:rPr>
          <w:sz w:val="20"/>
          <w:szCs w:val="20"/>
          <w:color w:val="auto"/>
        </w:rPr>
      </w:pPr>
      <w:r>
        <w:rPr>
          <w:rFonts w:ascii="Arial" w:cs="Arial" w:eastAsia="Arial" w:hAnsi="Arial"/>
          <w:sz w:val="16"/>
          <w:szCs w:val="16"/>
          <w:color w:val="0C2940"/>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0C2940"/>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20"/>
        <w:spacing w:after="0"/>
        <w:rPr>
          <w:sz w:val="20"/>
          <w:szCs w:val="20"/>
          <w:color w:val="auto"/>
        </w:rPr>
      </w:pPr>
      <w:r>
        <w:rPr>
          <w:rFonts w:ascii="Arial" w:cs="Arial" w:eastAsia="Arial" w:hAnsi="Arial"/>
          <w:sz w:val="16"/>
          <w:szCs w:val="16"/>
          <w:color w:val="0C2940"/>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0C2940"/>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400"/>
        <w:spacing w:after="0"/>
        <w:rPr>
          <w:sz w:val="20"/>
          <w:szCs w:val="20"/>
          <w:color w:val="auto"/>
        </w:rPr>
      </w:pPr>
      <w:r>
        <w:rPr>
          <w:rFonts w:ascii="Arial" w:cs="Arial" w:eastAsia="Arial" w:hAnsi="Arial"/>
          <w:sz w:val="16"/>
          <w:szCs w:val="16"/>
          <w:color w:val="0C2940"/>
        </w:rPr>
        <w:t>9</w:t>
      </w:r>
    </w:p>
    <w:p>
      <w:pPr>
        <w:spacing w:after="0" w:line="565" w:lineRule="exact"/>
        <w:rPr>
          <w:sz w:val="20"/>
          <w:szCs w:val="20"/>
          <w:color w:val="auto"/>
        </w:rPr>
      </w:pPr>
    </w:p>
    <w:p>
      <w:pPr>
        <w:sectPr>
          <w:pgSz w:w="11900" w:h="16838" w:orient="portrait"/>
          <w:cols w:equalWidth="0" w:num="2">
            <w:col w:w="8520" w:space="720"/>
            <w:col w:w="198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BIOGRAPHIES OF THE DIRECTOR NOMINEES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provides information about each of our nine director nominees. Please also see page </w:t>
      </w:r>
      <w:r>
        <w:rPr>
          <w:rFonts w:ascii="Arial" w:cs="Arial" w:eastAsia="Arial" w:hAnsi="Arial"/>
          <w:sz w:val="16"/>
          <w:szCs w:val="16"/>
          <w:u w:val="single" w:color="auto"/>
          <w:color w:val="0000FF"/>
        </w:rPr>
        <w:t>4</w:t>
      </w:r>
      <w:r>
        <w:rPr>
          <w:rFonts w:ascii="Arial" w:cs="Arial" w:eastAsia="Arial" w:hAnsi="Arial"/>
          <w:sz w:val="16"/>
          <w:szCs w:val="16"/>
          <w:color w:val="auto"/>
        </w:rPr>
        <w:t xml:space="preserve"> for a summary chart of the nominees.</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In reaching its determination to recommend each of the director nominees for election at this Annual Meeting, the Board and the Governance and Nominating Committee considered the qualifications of these nominees and determined that each nominee meets the criteria listed on page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and is highly skilled and qualified to serve as a member of the Board and to work with management to guide and develop the Company as an industry leader in the private MI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328930</wp:posOffset>
            </wp:positionV>
            <wp:extent cx="2143125" cy="2091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43125" cy="2091690"/>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CHAIRMAN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-338455</wp:posOffset>
            </wp:positionV>
            <wp:extent cx="2168525" cy="21431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68525" cy="214312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CHAIRMAN OF THE BOARD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CHAIRMAN)</w:t>
      </w:r>
    </w:p>
    <w:p>
      <w:pPr>
        <w:spacing w:after="0" w:line="200" w:lineRule="exact"/>
        <w:rPr>
          <w:sz w:val="20"/>
          <w:szCs w:val="20"/>
          <w:color w:val="auto"/>
        </w:rPr>
      </w:pPr>
    </w:p>
    <w:p>
      <w:pPr>
        <w:spacing w:after="0" w:line="262"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71</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Bradley M. Shuster</w:t>
      </w:r>
    </w:p>
    <w:p>
      <w:pPr>
        <w:spacing w:after="0" w:line="136" w:lineRule="exact"/>
        <w:rPr>
          <w:sz w:val="20"/>
          <w:szCs w:val="20"/>
          <w:color w:val="auto"/>
        </w:rPr>
      </w:pPr>
    </w:p>
    <w:p>
      <w:pPr>
        <w:jc w:val="both"/>
        <w:ind w:right="1100"/>
        <w:spacing w:after="0" w:line="255" w:lineRule="auto"/>
        <w:rPr>
          <w:sz w:val="20"/>
          <w:szCs w:val="20"/>
          <w:color w:val="auto"/>
        </w:rPr>
      </w:pPr>
      <w:r>
        <w:rPr>
          <w:rFonts w:ascii="Arial" w:cs="Arial" w:eastAsia="Arial" w:hAnsi="Arial"/>
          <w:sz w:val="16"/>
          <w:szCs w:val="16"/>
          <w:color w:val="auto"/>
        </w:rPr>
        <w:t>Mr. Shuster has served as Executive Chairman of the Board since January 2012. Mr. Shuster served as our Chief Executive Officer from 2012 to 2018. From 2012 to 2014, Mr. Shuster also served as our President. From 2008 to 2011, Mr. Shuster held various consulting positions assisting private investors with evaluating opportunities in the insurance industry. Mr. Shuster was an executive of The PMI Group, Inc. (PMI) from 2003 to 2008, where he served as president of International and Strategic Investments and chief executive officer of PMI Capital Corporation. Prior to that, he served as PMI's executive vice president of Corporate Development and senior vice president, treasurer and chief investment officer. Before joining PMI in 1995, Mr. Shuster was a partner at Deloitte LLP, where he served as partner-in-charge of Deloitte's Northern California Insurance Practice and Mortgage Banking Practice. He holds a B.S. from the University of California, Berkeley and an M.B.A. from the University of California, Los Angeles. He is an independent director of McGrath RentCorp (NASDAQ: MGRC) (since 2017) and of WaFd, Inc. (NASDAQ: WAFD) (since 2024). Mr. Shuster also served on the board of Luther Burbank Corporation before its merger with WaFd, Inc. (1999-2024). Mr. Shuster completed the National Association of Corporate Directors Cyber-Risk Oversight Program, earning the CERT Certificate in Cybersecurity Oversight.</w:t>
      </w:r>
    </w:p>
    <w:p>
      <w:pPr>
        <w:spacing w:after="0" w:line="161" w:lineRule="exact"/>
        <w:rPr>
          <w:sz w:val="20"/>
          <w:szCs w:val="20"/>
          <w:color w:val="auto"/>
        </w:rPr>
      </w:pPr>
    </w:p>
    <w:p>
      <w:pPr>
        <w:jc w:val="both"/>
        <w:ind w:right="1100"/>
        <w:spacing w:after="0" w:line="288" w:lineRule="auto"/>
        <w:rPr>
          <w:sz w:val="20"/>
          <w:szCs w:val="20"/>
          <w:color w:val="auto"/>
        </w:rPr>
      </w:pPr>
      <w:r>
        <w:rPr>
          <w:rFonts w:ascii="Arial" w:cs="Arial" w:eastAsia="Arial" w:hAnsi="Arial"/>
          <w:sz w:val="16"/>
          <w:szCs w:val="16"/>
          <w:color w:val="005388"/>
        </w:rPr>
        <w:t>Mr. Shuster's vision and status as our founder and the Executive Chairman of the Board, as well as his previous tenure as our Chief Executive Officer, bring unique and invaluable experience to our Board. Further, his extensive experience developing and operating mortgage insurance companies and his insurance industry background, as well as his service on the boards of other publicly held companies, supports our conclusion he has the necessary and desired skills, experience and perspectives to serve on our Board, and to serve as the Chairman of our Board.</w:t>
      </w:r>
    </w:p>
    <w:p>
      <w:pPr>
        <w:spacing w:after="0" w:line="200" w:lineRule="exact"/>
        <w:rPr>
          <w:sz w:val="20"/>
          <w:szCs w:val="20"/>
          <w:color w:val="auto"/>
        </w:rPr>
      </w:pPr>
    </w:p>
    <w:p>
      <w:pPr>
        <w:sectPr>
          <w:pgSz w:w="11900" w:h="16838" w:orient="portrait"/>
          <w:cols w:equalWidth="0" w:num="2">
            <w:col w:w="4160" w:space="720"/>
            <w:col w:w="6360"/>
          </w:cols>
          <w:pgMar w:left="320" w:top="130" w:right="339" w:bottom="1440" w:gutter="0" w:footer="0" w:header="0"/>
          <w:type w:val="continuous"/>
        </w:sectPr>
      </w:pP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14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2168525" cy="3754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8525"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PRESIDENT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EXECUTIVE OFFICER</w:t>
      </w:r>
    </w:p>
    <w:p>
      <w:pPr>
        <w:spacing w:after="0" w:line="3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47</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501015</wp:posOffset>
            </wp:positionV>
            <wp:extent cx="2134235" cy="267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34235" cy="267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Adam S. Pollitzer</w:t>
      </w:r>
    </w:p>
    <w:p>
      <w:pPr>
        <w:spacing w:after="0" w:line="136" w:lineRule="exact"/>
        <w:rPr>
          <w:sz w:val="20"/>
          <w:szCs w:val="20"/>
          <w:color w:val="auto"/>
        </w:rPr>
      </w:pPr>
    </w:p>
    <w:p>
      <w:pPr>
        <w:jc w:val="both"/>
        <w:ind w:right="1080"/>
        <w:spacing w:after="0" w:line="257" w:lineRule="auto"/>
        <w:rPr>
          <w:sz w:val="20"/>
          <w:szCs w:val="20"/>
          <w:color w:val="auto"/>
        </w:rPr>
      </w:pPr>
      <w:r>
        <w:rPr>
          <w:rFonts w:ascii="Arial" w:cs="Arial" w:eastAsia="Arial" w:hAnsi="Arial"/>
          <w:sz w:val="16"/>
          <w:szCs w:val="16"/>
          <w:color w:val="auto"/>
        </w:rPr>
        <w:t>Mr. Pollitzer serves as our President and Chief Executive Officer (CEO). As President and CEO, Mr. Pollitzer is responsible for the Company’s day-to-day management, financial performance, and long-term growth strategy. Mr. Pollitzer joined NMI in May 2017 and served as our Executive Vice President and Chief Financial Officer from 2017 to 2021. Before joining the Company in 2017, Mr. Pollitzer was a Managing Director in the corporate and investment banking division of J.P. Morgan Securities, LLC, where he led advisory and capital raising efforts on behalf of North American insurance companies. Before serving as a Managing Director, Mr. Pollitzer held other senior leadership positions with J.P. Morgan. He holds a bachelor’s degree in business administration from the Stephen M. Ross School of Business at the University of Michigan.</w:t>
      </w:r>
    </w:p>
    <w:p>
      <w:pPr>
        <w:spacing w:after="0" w:line="336" w:lineRule="exact"/>
        <w:rPr>
          <w:sz w:val="20"/>
          <w:szCs w:val="20"/>
          <w:color w:val="auto"/>
        </w:rPr>
      </w:pPr>
    </w:p>
    <w:p>
      <w:pPr>
        <w:jc w:val="both"/>
        <w:ind w:right="1080"/>
        <w:spacing w:after="0" w:line="291" w:lineRule="auto"/>
        <w:rPr>
          <w:sz w:val="20"/>
          <w:szCs w:val="20"/>
          <w:color w:val="auto"/>
        </w:rPr>
      </w:pPr>
      <w:r>
        <w:rPr>
          <w:rFonts w:ascii="Arial" w:cs="Arial" w:eastAsia="Arial" w:hAnsi="Arial"/>
          <w:sz w:val="16"/>
          <w:szCs w:val="16"/>
          <w:color w:val="005388"/>
        </w:rPr>
        <w:t>A seasoned mortgage industry and finance executive, Mr. Pollitzer draws on over 20 years of broad mortgage insurance and industry knowledge, business development and financial expertise, and as our CEO, a day-to-day perspective on our Company’s strategy and operations. Mr. Pollitzer's extensive background, in addition to his experience in other senior positions, supports our conclusion Mr. Pollitzer has the necessary and desired skills, experience and perspective to serve on our Board.</w:t>
      </w:r>
    </w:p>
    <w:p>
      <w:pPr>
        <w:spacing w:after="0" w:line="1171" w:lineRule="exact"/>
        <w:rPr>
          <w:sz w:val="20"/>
          <w:szCs w:val="20"/>
          <w:color w:val="auto"/>
        </w:rPr>
      </w:pPr>
    </w:p>
    <w:p>
      <w:pPr>
        <w:sectPr>
          <w:pgSz w:w="11900" w:h="16838" w:orient="portrait"/>
          <w:cols w:equalWidth="0" w:num="2">
            <w:col w:w="4160" w:space="720"/>
            <w:col w:w="6340"/>
          </w:cols>
          <w:pgMar w:left="320" w:top="130" w:right="359" w:bottom="9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40"/>
        <w:spacing w:after="0"/>
        <w:rPr>
          <w:sz w:val="20"/>
          <w:szCs w:val="20"/>
          <w:color w:val="auto"/>
        </w:rPr>
      </w:pPr>
      <w:r>
        <w:rPr>
          <w:rFonts w:ascii="Arial" w:cs="Arial" w:eastAsia="Arial" w:hAnsi="Arial"/>
          <w:sz w:val="16"/>
          <w:szCs w:val="16"/>
          <w:color w:val="0C2940"/>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-313055</wp:posOffset>
            </wp:positionV>
            <wp:extent cx="2160270" cy="13627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60270" cy="1362710"/>
                    </a:xfrm>
                    <a:prstGeom prst="rect">
                      <a:avLst/>
                    </a:prstGeom>
                    <a:noFill/>
                  </pic:spPr>
                </pic:pic>
              </a:graphicData>
            </a:graphic>
          </wp:anchor>
        </w:drawing>
      </w:r>
    </w:p>
    <w:p>
      <w:pPr>
        <w:spacing w:after="0" w:line="363"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72</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2012</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Governance and</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6"/>
          <w:szCs w:val="16"/>
          <w:b w:val="1"/>
          <w:bCs w:val="1"/>
          <w:color w:val="005388"/>
        </w:rPr>
        <w:t>Nominating; 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Steven L. Scheid</w:t>
      </w:r>
    </w:p>
    <w:p>
      <w:pPr>
        <w:spacing w:after="0" w:line="136" w:lineRule="exact"/>
        <w:rPr>
          <w:sz w:val="20"/>
          <w:szCs w:val="20"/>
          <w:color w:val="auto"/>
        </w:rPr>
      </w:pPr>
    </w:p>
    <w:p>
      <w:pPr>
        <w:jc w:val="both"/>
        <w:ind w:right="1100"/>
        <w:spacing w:after="0" w:line="255" w:lineRule="auto"/>
        <w:rPr>
          <w:sz w:val="20"/>
          <w:szCs w:val="20"/>
          <w:color w:val="auto"/>
        </w:rPr>
      </w:pPr>
      <w:r>
        <w:rPr>
          <w:rFonts w:ascii="Arial" w:cs="Arial" w:eastAsia="Arial" w:hAnsi="Arial"/>
          <w:sz w:val="16"/>
          <w:szCs w:val="16"/>
          <w:color w:val="auto"/>
        </w:rPr>
        <w:t>Mr. Scheid has served as our Lead Independent Director since 2012. He served on the boards of Blue Nile Company, an online retailer of diamonds and fine jewelry (2007-2015); Janus Capital Group Inc., a global investment firm (2002-2012); and The PMI Group, Inc. (2002-2009). Mr. Scheid was previously a partner at Strategic Execution Group, a consulting firm, from 2007 to 2012. He served as the chairman of Janus Capital Group Inc. until 2012 and also served as the company's chief executive officer from 2004 to 2006. Mr. Scheid was an operating partner at Thoma Bravo, LLC, a private equity firm from 2008 to 2011. From 1996 to 2002, Mr. Scheid served in multiple senior executive positions for Charles Schwab Corporation. He was vice chairman of the Charles Schwab Corporation and president of the Schwab Retail Group. Prior to these roles, Mr. Scheid served as Schwab's chief financial officer and was the chief executive officer of Charles Schwab Investment Management. He served as the Federal Reserve Bank of San Francisco's representative on the Federal Advisory Council in Washington, D.C. from September 2000 to February 2002. Mr. Scheid is a certified public accountant and holds a B.S. in accounting from Michigan State University.</w:t>
      </w:r>
    </w:p>
    <w:p>
      <w:pPr>
        <w:spacing w:after="0" w:line="342" w:lineRule="exact"/>
        <w:rPr>
          <w:sz w:val="20"/>
          <w:szCs w:val="20"/>
          <w:color w:val="auto"/>
        </w:rPr>
      </w:pPr>
    </w:p>
    <w:p>
      <w:pPr>
        <w:jc w:val="both"/>
        <w:ind w:right="1100"/>
        <w:spacing w:after="0" w:line="296" w:lineRule="auto"/>
        <w:rPr>
          <w:sz w:val="20"/>
          <w:szCs w:val="20"/>
          <w:color w:val="auto"/>
        </w:rPr>
      </w:pPr>
      <w:r>
        <w:rPr>
          <w:rFonts w:ascii="Arial" w:cs="Arial" w:eastAsia="Arial" w:hAnsi="Arial"/>
          <w:sz w:val="16"/>
          <w:szCs w:val="16"/>
          <w:color w:val="005388"/>
        </w:rPr>
        <w:t>A veteran financial industry executive with over 40 years of experience, Mr. Scheid's extensive and deep background in finance, retail strategies, risk management and investment services, supports our conclusion Mr. Scheid has the necessary and desired skills, experience and perspective to serve on our Board.</w:t>
      </w:r>
    </w:p>
    <w:p>
      <w:pPr>
        <w:spacing w:after="0" w:line="723" w:lineRule="exact"/>
        <w:rPr>
          <w:sz w:val="20"/>
          <w:szCs w:val="20"/>
          <w:color w:val="auto"/>
        </w:rPr>
      </w:pPr>
    </w:p>
    <w:p>
      <w:pPr>
        <w:sectPr>
          <w:pgSz w:w="11900" w:h="16838" w:orient="portrait"/>
          <w:cols w:equalWidth="0" w:num="2">
            <w:col w:w="4120" w:space="720"/>
            <w:col w:w="6380"/>
          </w:cols>
          <w:pgMar w:left="320" w:top="130" w:right="359" w:bottom="9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974"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2160270" cy="39262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60270"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62</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2026</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Audit;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895350</wp:posOffset>
            </wp:positionV>
            <wp:extent cx="2168525" cy="47580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68525" cy="4758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32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61</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2012</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Audit (Chair);</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5388"/>
        </w:rPr>
        <w:t>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Renu Agrawal</w:t>
      </w:r>
    </w:p>
    <w:p>
      <w:pPr>
        <w:spacing w:after="0" w:line="136" w:lineRule="exact"/>
        <w:rPr>
          <w:sz w:val="20"/>
          <w:szCs w:val="20"/>
          <w:color w:val="auto"/>
        </w:rPr>
      </w:pPr>
    </w:p>
    <w:p>
      <w:pPr>
        <w:jc w:val="both"/>
        <w:ind w:right="1080"/>
        <w:spacing w:after="0" w:line="255" w:lineRule="auto"/>
        <w:rPr>
          <w:sz w:val="20"/>
          <w:szCs w:val="20"/>
          <w:color w:val="auto"/>
        </w:rPr>
      </w:pPr>
      <w:r>
        <w:rPr>
          <w:rFonts w:ascii="Arial" w:cs="Arial" w:eastAsia="Arial" w:hAnsi="Arial"/>
          <w:sz w:val="16"/>
          <w:szCs w:val="16"/>
          <w:color w:val="auto"/>
        </w:rPr>
        <w:t>Ms. Agrawal has served on our Board since February 2026. She is a seasoned executive with extensive board experience. Ms. Agrawal currently serves on the boards of First Interstate BancSystem, Inc. (from 2025), a financial and bank holding company focused on community banking, and Sunrise Produce (from 2023), a private equity–owned wholesale produce distributor. She previously served on the boards of Luther Burbank Corporation (from 2020-2024), where she was a member of the Audit &amp; Risk and Nominating &amp; Governance Committees until its acquisition by Washington Federal Bank, and Woodruff Sawyer (from 2022 to 2025), where she chaired the Audit &amp; Risk Committee and served on the Compensation Committee until its acquisition by AJ Gallagher &amp; Co. Ms. Agrawal served at Wells Fargo &amp; Company for over a decade in a variety of senior executive roles, including most recently as Chief Operating Officer &amp; EVP, Financial Institutions Group. After starting her career as a scientist at Polaroid, Ms. Agrawal worked at McKinsey and Company before serving as Chief Operating Officer of ValleyCrest Companies, a leading commercial landscape services company, and Quisic, an EdTech company. Ms. Agrawal holds a B.Tech. in Metallurgy from the Indian Institute of Technology and both a Ph.D. in Engineering and an M.B.A. from the Massachusetts Institute of Technology.</w:t>
      </w:r>
    </w:p>
    <w:p>
      <w:pPr>
        <w:spacing w:after="0" w:line="154" w:lineRule="exact"/>
        <w:rPr>
          <w:sz w:val="20"/>
          <w:szCs w:val="20"/>
          <w:color w:val="auto"/>
        </w:rPr>
      </w:pPr>
    </w:p>
    <w:p>
      <w:pPr>
        <w:jc w:val="both"/>
        <w:ind w:right="1080"/>
        <w:spacing w:after="0" w:line="296" w:lineRule="auto"/>
        <w:rPr>
          <w:sz w:val="20"/>
          <w:szCs w:val="20"/>
          <w:color w:val="auto"/>
        </w:rPr>
      </w:pPr>
      <w:r>
        <w:rPr>
          <w:rFonts w:ascii="Arial" w:cs="Arial" w:eastAsia="Arial" w:hAnsi="Arial"/>
          <w:sz w:val="16"/>
          <w:szCs w:val="16"/>
          <w:color w:val="005388"/>
        </w:rPr>
        <w:t>Ms. Agrawal’s extensive experience and background in business, management and financial services, as well as her service on the boards of other publicly held companies, supports our conclusion she has the necessary and desired skills, experience and perspectives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005388"/>
        </w:rPr>
        <w:t>Michael Embler</w:t>
      </w:r>
    </w:p>
    <w:p>
      <w:pPr>
        <w:spacing w:after="0" w:line="136" w:lineRule="exact"/>
        <w:rPr>
          <w:sz w:val="20"/>
          <w:szCs w:val="20"/>
          <w:color w:val="auto"/>
        </w:rPr>
      </w:pPr>
    </w:p>
    <w:p>
      <w:pPr>
        <w:jc w:val="both"/>
        <w:ind w:left="20" w:right="1080"/>
        <w:spacing w:after="0" w:line="254" w:lineRule="auto"/>
        <w:rPr>
          <w:sz w:val="20"/>
          <w:szCs w:val="20"/>
          <w:color w:val="auto"/>
        </w:rPr>
      </w:pPr>
      <w:r>
        <w:rPr>
          <w:rFonts w:ascii="Arial" w:cs="Arial" w:eastAsia="Arial" w:hAnsi="Arial"/>
          <w:sz w:val="16"/>
          <w:szCs w:val="16"/>
          <w:color w:val="auto"/>
        </w:rPr>
        <w:t>Mr. Embler has over 25 years of experience in investments and financial markets. Mr. Embler also serves on the board of Ventas, Inc. (NYSE: VTR) (from 2022). Previously, he was on the boards of American Airlines (2013-2025), Taubman Centers (2018-2020), Abovenet, Inc. (2003-2012), Dynegy Inc. (2011-2012), CIT Group (2009-2016), Kindred Healthcare (2001-2008) and Grand Union Company (1999-2000). Mr. Embler served as the chief investment officer of Franklin Mutual Advisers LLC, an asset management subsidiary of Franklin Resources, Inc., overseeing approximately $60 billion in assets and 25 investment professionals. He joined Franklin in 2001 and retired in 2009. Prior to serving as chief investment officer, he managed the firm's distressed investing strategy. Previously, from 1992 to 2001, he held various positions at Nomura Holdings America, culminating in a position as the managing director overseeing a team which invested a proprietary fund focused on distressed and other event-driven corporate investments. Mr. Embler received a B.S. in economics from the State University of New York at Albany and earned an M.B.A. in finance from George Washington University. Mr. Embler has also earned the CERT Certificate in Cybersecurity Oversight from the National Association of Corporate Directors Cyber-Risk Oversight Program, and a certificate in Environmental Conservation and Sustainability from The Earth Institute, Center for Environmental Research and Conservation at Columbia University.</w:t>
      </w:r>
    </w:p>
    <w:p>
      <w:pPr>
        <w:spacing w:after="0" w:line="165" w:lineRule="exact"/>
        <w:rPr>
          <w:sz w:val="20"/>
          <w:szCs w:val="20"/>
          <w:color w:val="auto"/>
        </w:rPr>
      </w:pPr>
    </w:p>
    <w:p>
      <w:pPr>
        <w:jc w:val="both"/>
        <w:ind w:left="20" w:right="1080"/>
        <w:spacing w:after="0" w:line="291" w:lineRule="auto"/>
        <w:rPr>
          <w:sz w:val="20"/>
          <w:szCs w:val="20"/>
          <w:color w:val="auto"/>
        </w:rPr>
      </w:pPr>
      <w:r>
        <w:rPr>
          <w:rFonts w:ascii="Arial" w:cs="Arial" w:eastAsia="Arial" w:hAnsi="Arial"/>
          <w:sz w:val="16"/>
          <w:szCs w:val="16"/>
          <w:color w:val="005388"/>
        </w:rPr>
        <w:t>Mr. Embler's extensive financial industry background and commitment to board-level cyber-risk oversight and sound conservation and sustainability practices, as well as his service on the boards of other publicly held companies, supports our conclusion he has the necessary and desired skills, experience and perspectives to serve on our Board.</w:t>
      </w:r>
    </w:p>
    <w:p>
      <w:pPr>
        <w:spacing w:after="0" w:line="200" w:lineRule="exact"/>
        <w:rPr>
          <w:sz w:val="20"/>
          <w:szCs w:val="20"/>
          <w:color w:val="auto"/>
        </w:rPr>
      </w:pPr>
    </w:p>
    <w:p>
      <w:pPr>
        <w:sectPr>
          <w:pgSz w:w="11900" w:h="16838" w:orient="portrait"/>
          <w:cols w:equalWidth="0" w:num="2">
            <w:col w:w="4140" w:space="720"/>
            <w:col w:w="6360"/>
          </w:cols>
          <w:pgMar w:left="320" w:top="130"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16</w:t>
      </w:r>
      <w:r>
        <w:rPr>
          <w:sz w:val="20"/>
          <w:szCs w:val="20"/>
          <w:color w:val="auto"/>
        </w:rPr>
        <w:tab/>
      </w:r>
      <w:r>
        <w:rPr>
          <w:rFonts w:ascii="Arial" w:cs="Arial" w:eastAsia="Arial" w:hAnsi="Arial"/>
          <w:sz w:val="14"/>
          <w:szCs w:val="14"/>
          <w:color w:val="auto"/>
        </w:rPr>
        <w:t>2026 Proxy Statement</w:t>
      </w:r>
    </w:p>
    <w:p>
      <w:pPr>
        <w:sectPr>
          <w:pgSz w:w="11900" w:h="16838" w:orient="portrait"/>
          <w:cols w:equalWidth="0" w:num="1">
            <w:col w:w="11220"/>
          </w:cols>
          <w:pgMar w:left="320" w:top="130" w:right="359" w:bottom="0" w:gutter="0" w:footer="0" w:header="0"/>
          <w:type w:val="continuous"/>
        </w:sectPr>
      </w:pPr>
    </w:p>
    <w:bookmarkStart w:id="20" w:name="page21"/>
    <w:bookmarkEnd w:id="20"/>
    <w:p>
      <w:pPr>
        <w:spacing w:after="0"/>
        <w:tabs>
          <w:tab w:leader="none" w:pos="5500" w:val="left"/>
          <w:tab w:leader="none" w:pos="97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247650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1997075" cy="3446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97075"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370"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AGE: </w:t>
      </w:r>
      <w:r>
        <w:rPr>
          <w:rFonts w:ascii="Arial" w:cs="Arial" w:eastAsia="Arial" w:hAnsi="Arial"/>
          <w:sz w:val="16"/>
          <w:szCs w:val="16"/>
          <w:color w:val="005388"/>
        </w:rPr>
        <w:t>64</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DIRECTOR SINCE: </w:t>
      </w:r>
      <w:r>
        <w:rPr>
          <w:rFonts w:ascii="Arial" w:cs="Arial" w:eastAsia="Arial" w:hAnsi="Arial"/>
          <w:sz w:val="16"/>
          <w:szCs w:val="16"/>
          <w:color w:val="005388"/>
        </w:rPr>
        <w:t>2023</w:t>
      </w:r>
    </w:p>
    <w:p>
      <w:pPr>
        <w:spacing w:after="0" w:line="73"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0C2940"/>
        </w:rPr>
        <w:t xml:space="preserve">COMMITTEE(S): </w:t>
      </w:r>
      <w:r>
        <w:rPr>
          <w:rFonts w:ascii="Arial" w:cs="Arial" w:eastAsia="Arial" w:hAnsi="Arial"/>
          <w:sz w:val="16"/>
          <w:szCs w:val="16"/>
          <w:color w:val="005388"/>
        </w:rPr>
        <w:t>Audit,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552450</wp:posOffset>
            </wp:positionV>
            <wp:extent cx="2143125" cy="2768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2768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John C. Erickson</w:t>
      </w:r>
    </w:p>
    <w:p>
      <w:pPr>
        <w:spacing w:after="0" w:line="136" w:lineRule="exact"/>
        <w:rPr>
          <w:sz w:val="20"/>
          <w:szCs w:val="20"/>
          <w:color w:val="auto"/>
        </w:rPr>
      </w:pPr>
    </w:p>
    <w:p>
      <w:pPr>
        <w:jc w:val="both"/>
        <w:ind w:right="1080"/>
        <w:spacing w:after="0" w:line="256" w:lineRule="auto"/>
        <w:rPr>
          <w:sz w:val="20"/>
          <w:szCs w:val="20"/>
          <w:color w:val="auto"/>
        </w:rPr>
      </w:pPr>
      <w:r>
        <w:rPr>
          <w:rFonts w:ascii="Arial" w:cs="Arial" w:eastAsia="Arial" w:hAnsi="Arial"/>
          <w:sz w:val="16"/>
          <w:szCs w:val="16"/>
          <w:color w:val="auto"/>
        </w:rPr>
        <w:t>Mr. Erickson is a seasoned finance executive with over four decades of experience in the financial services industry. Mr. Erickson served for over 30 years at Union Bank, N.A. where he held many executive roles, including two vice chairman positions of Chief Risk Officer and Chief Corporate Banking Officer between 2007 and 2014. Since 2019, Mr. Erickson has served on the board of Bank of Hawaii Corp. (NYSE: BOH), where he serves as Chair of the Audit Committee and as a member of the Risk Management Committee. He was a director of Luther Burbank Corp. from 2017 to February 2024, where he served on the Audit &amp; Risk Committee, and the Compensation Committee. He was also a director of Zions Bancorporation NA from 2014 to 2016, and was Chair of the Risk Oversight Committee as well as a member of the Audit Committee. He also served as President, Consumer Banking and President, California, for CIT Group, Inc. in 2016. Mr. Erickson received his bachelor’s degree with an emphasis in economics, and his M.B.A. with an emphasis in finance, from the University of Southern California.</w:t>
      </w:r>
    </w:p>
    <w:p>
      <w:pPr>
        <w:spacing w:after="0" w:line="337" w:lineRule="exact"/>
        <w:rPr>
          <w:sz w:val="20"/>
          <w:szCs w:val="20"/>
          <w:color w:val="auto"/>
        </w:rPr>
      </w:pPr>
    </w:p>
    <w:p>
      <w:pPr>
        <w:jc w:val="both"/>
        <w:ind w:right="1080"/>
        <w:spacing w:after="0" w:line="299" w:lineRule="auto"/>
        <w:rPr>
          <w:sz w:val="20"/>
          <w:szCs w:val="20"/>
          <w:color w:val="auto"/>
        </w:rPr>
      </w:pPr>
      <w:r>
        <w:rPr>
          <w:rFonts w:ascii="Arial" w:cs="Arial" w:eastAsia="Arial" w:hAnsi="Arial"/>
          <w:sz w:val="16"/>
          <w:szCs w:val="16"/>
          <w:color w:val="005388"/>
        </w:rPr>
        <w:t>Mr. Erickson’s extensive experience and background in business, management and financial services, as well as his service on the boards of other publicly held companies, supports our conclusion he has the necessary and desired skills, experience and perspectives to serve on our Board.</w:t>
      </w:r>
    </w:p>
    <w:p>
      <w:pPr>
        <w:spacing w:after="0" w:line="668" w:lineRule="exact"/>
        <w:rPr>
          <w:sz w:val="20"/>
          <w:szCs w:val="20"/>
          <w:color w:val="auto"/>
        </w:rPr>
      </w:pPr>
    </w:p>
    <w:p>
      <w:pPr>
        <w:sectPr>
          <w:pgSz w:w="11900" w:h="16838" w:orient="portrait"/>
          <w:cols w:equalWidth="0" w:num="2">
            <w:col w:w="3900" w:space="720"/>
            <w:col w:w="6600"/>
          </w:cols>
          <w:pgMar w:left="320" w:top="130" w:right="359" w:bottom="11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-313055</wp:posOffset>
            </wp:positionV>
            <wp:extent cx="2168525" cy="14916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68525" cy="14916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54</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2021</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Governance and</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5388"/>
        </w:rPr>
        <w:t>Nominating;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Priya Huskins</w:t>
      </w:r>
    </w:p>
    <w:p>
      <w:pPr>
        <w:spacing w:after="0" w:line="136" w:lineRule="exact"/>
        <w:rPr>
          <w:sz w:val="20"/>
          <w:szCs w:val="20"/>
          <w:color w:val="auto"/>
        </w:rPr>
      </w:pPr>
    </w:p>
    <w:p>
      <w:pPr>
        <w:jc w:val="both"/>
        <w:ind w:right="1080"/>
        <w:spacing w:after="0" w:line="254" w:lineRule="auto"/>
        <w:rPr>
          <w:sz w:val="20"/>
          <w:szCs w:val="20"/>
          <w:color w:val="auto"/>
        </w:rPr>
      </w:pPr>
      <w:r>
        <w:rPr>
          <w:rFonts w:ascii="Arial" w:cs="Arial" w:eastAsia="Arial" w:hAnsi="Arial"/>
          <w:sz w:val="16"/>
          <w:szCs w:val="16"/>
          <w:color w:val="auto"/>
        </w:rPr>
        <w:t>Ms. Huskins currently serves as a Senior Vice President and National Director of Arthur J. Gallagher &amp; Co., a commercial insurance brokerage. In 2025, Gallagher acquired Woodruff Sawyer &amp; Co., a commercial insurance brokerage and consulting firm, where Priya had served in various positions since 2003, including as a Partner and Senior Vice President, and as a member of the board since 2016. Prior to joining Woodruff Sawyer, Ms. Huskins served as a corporate and securities attorney at the law firm of Wilson Sonsini Goodrich &amp; Rosati from 1997 until 2003. Since 2007, Ms. Huskins has served as an independent director of the board of Realty Income Corporation (NYSE: O), a publicly traded REIT, currently serving as chair of its Compensation Committee and as a member of its Nominating and Corporate Governance Committee. She has served on the advisory board of the Stanford Rock Center for Corporate Governance since 2012. From 2021 to 2023, Ms. Huskins served as the lead independent director of the board of Anzu Special Acquisition Corp I, a publicly traded special purpose acquisition corporation. From 2022 to 2026, Ms. Huskins served as a director of the board of Long-Term Stock Exchange, an SEC-registered national securities exchange built to serve companies and investors who share a long-term vision. Ms. Huskins earned her undergraduate degree from Harvard College and J.D. from the University of Chicago Law School.</w:t>
      </w:r>
    </w:p>
    <w:p>
      <w:pPr>
        <w:spacing w:after="0" w:line="163" w:lineRule="exact"/>
        <w:rPr>
          <w:sz w:val="20"/>
          <w:szCs w:val="20"/>
          <w:color w:val="auto"/>
        </w:rPr>
      </w:pPr>
    </w:p>
    <w:p>
      <w:pPr>
        <w:jc w:val="both"/>
        <w:ind w:right="1080"/>
        <w:spacing w:after="0" w:line="295" w:lineRule="auto"/>
        <w:rPr>
          <w:sz w:val="20"/>
          <w:szCs w:val="20"/>
          <w:color w:val="auto"/>
        </w:rPr>
      </w:pPr>
      <w:r>
        <w:rPr>
          <w:rFonts w:ascii="Arial" w:cs="Arial" w:eastAsia="Arial" w:hAnsi="Arial"/>
          <w:sz w:val="16"/>
          <w:szCs w:val="16"/>
          <w:color w:val="005388"/>
        </w:rPr>
        <w:t>Ms. Huskins' extensive financial, legal and insurance industry background, as well as her service on the boards of other publicly held companies, supports our conclusion she has the necessary and desired skills, experience and perspectives to serve on our Board.</w:t>
      </w:r>
    </w:p>
    <w:p>
      <w:pPr>
        <w:spacing w:after="0" w:line="818" w:lineRule="exact"/>
        <w:rPr>
          <w:sz w:val="20"/>
          <w:szCs w:val="20"/>
          <w:color w:val="auto"/>
        </w:rPr>
      </w:pPr>
    </w:p>
    <w:p>
      <w:pPr>
        <w:sectPr>
          <w:pgSz w:w="11900" w:h="16838" w:orient="portrait"/>
          <w:cols w:equalWidth="0" w:num="2">
            <w:col w:w="4160" w:space="720"/>
            <w:col w:w="6340"/>
          </w:cols>
          <w:pgMar w:left="320" w:top="130" w:right="359" w:bottom="11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109"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2168525" cy="41833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6852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200" w:lineRule="exact"/>
        <w:rPr>
          <w:sz w:val="20"/>
          <w:szCs w:val="20"/>
          <w:color w:val="auto"/>
        </w:rPr>
      </w:pPr>
    </w:p>
    <w:p>
      <w:pPr>
        <w:spacing w:after="0" w:line="29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66</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2019</w:t>
      </w:r>
    </w:p>
    <w:p>
      <w:pPr>
        <w:spacing w:after="0" w:line="73"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Governance and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05388"/>
        </w:rPr>
        <w:t>Nominating (Chair);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344805</wp:posOffset>
            </wp:positionV>
            <wp:extent cx="2168525" cy="51695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68525" cy="516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DIRECTOR</w:t>
      </w:r>
    </w:p>
    <w:p>
      <w:pPr>
        <w:spacing w:after="0" w:line="200" w:lineRule="exact"/>
        <w:rPr>
          <w:sz w:val="20"/>
          <w:szCs w:val="20"/>
          <w:color w:val="auto"/>
        </w:rPr>
      </w:pPr>
    </w:p>
    <w:p>
      <w:pPr>
        <w:spacing w:after="0" w:line="22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70</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DIRECTOR SINCE: </w:t>
      </w:r>
      <w:r>
        <w:rPr>
          <w:rFonts w:ascii="Arial" w:cs="Arial" w:eastAsia="Arial" w:hAnsi="Arial"/>
          <w:sz w:val="16"/>
          <w:szCs w:val="16"/>
          <w:b w:val="1"/>
          <w:bCs w:val="1"/>
          <w:color w:val="005388"/>
        </w:rPr>
        <w:t>2012</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COMMITTEE(S): </w:t>
      </w:r>
      <w:r>
        <w:rPr>
          <w:rFonts w:ascii="Arial" w:cs="Arial" w:eastAsia="Arial" w:hAnsi="Arial"/>
          <w:sz w:val="16"/>
          <w:szCs w:val="16"/>
          <w:b w:val="1"/>
          <w:bCs w:val="1"/>
          <w:color w:val="005388"/>
        </w:rPr>
        <w:t>Audit;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005388"/>
        </w:rPr>
        <w:t>Lynn S. McCreary</w:t>
      </w:r>
    </w:p>
    <w:p>
      <w:pPr>
        <w:spacing w:after="0" w:line="136" w:lineRule="exact"/>
        <w:rPr>
          <w:sz w:val="20"/>
          <w:szCs w:val="20"/>
          <w:color w:val="auto"/>
        </w:rPr>
      </w:pPr>
    </w:p>
    <w:p>
      <w:pPr>
        <w:jc w:val="both"/>
        <w:ind w:left="20"/>
        <w:spacing w:after="0" w:line="256" w:lineRule="auto"/>
        <w:rPr>
          <w:sz w:val="20"/>
          <w:szCs w:val="20"/>
          <w:color w:val="auto"/>
        </w:rPr>
      </w:pPr>
      <w:r>
        <w:rPr>
          <w:rFonts w:ascii="Arial" w:cs="Arial" w:eastAsia="Arial" w:hAnsi="Arial"/>
          <w:sz w:val="16"/>
          <w:szCs w:val="16"/>
          <w:color w:val="auto"/>
        </w:rPr>
        <w:t>Ms. McCreary is a seasoned executive with extensive knowledge of the financial services and technology industries, including legal, enterprise risk management and governance. Until January 1, 2025, she advised the Sportradar CEO and Board of Directors after shepherding the company through its initial public offering, then serving as the Company’s Chief Legal Officer, Chief Administrative Officer and Corporate Secretary for this multinational company that aggregates and analyzes sports data and provides services to constituents in the sports world. Prior to joining Sportradar in June 2021, Ms. McCreary served as the Chief Legal Officer, Corporate Secretary and a member of the executive committee of Fiserv, Inc., a Fortune 500 global leader in payment and fintech. Prior to joining Fiserv in 2013, Ms. McCreary spent over 16 years in private practice at an international law firm representing commercial, retail, financial and insurance companies’ interests. Ms. McCreary earned a bachelor’s degree from Western New England College and a J.D., with distinction, from Washburn University School of Law.</w:t>
      </w:r>
    </w:p>
    <w:p>
      <w:pPr>
        <w:spacing w:after="0" w:line="140"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005388"/>
        </w:rPr>
        <w:t>Ms. McCreary's extensive experience and background in business, management, law and financial services support our conclusion she has the necessary and desired skills, experience and perspectives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005388"/>
        </w:rPr>
        <w:t>Michael Montgomery</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Mr. Montgomery has served on the boards of directors for numerous regulated entities, including FDIC-insured banks, mortgage origination companies, mortgage servicing companies, broker dealers and investment advisers. Mr. Montgomery was a member of the boards of directors of Barclays Bank Delaware from 2005 until 2012 and of Barclays Capital Inc. and Barclays Group US, Inc. from 2002 to 2012. From 2013 to 2018, Mr. Montgomery served as Glendon Capital Management's chief compliance officer. From 2010 to 2013, Mr. Montgomery served as chief compliance officer of Barclays Asset Management Group LLC (Barclays). Previously, Mr. Montgomery served as chief executive officer of Barclays Group US, Inc., the top-tier U.S. holding company for Barclays from 2003 to 2010, and he has significant experience as an audit committee member. From 2006 to 2010, he served as chief administrative officer of Mortgage Origination and Servicing at Barclays Capital, a position in which he managed mortgage origination and servicing activities and coordinated the underwriting, production, warehousing and servicing functions with its New York-based asset securitization business. From 1998 to 2000, Mr. Montgomery served as chief financial officer for Deutsche Bank Securities Inc. He served in various positions at Goldman Sachs &amp; Co. (Goldman Sachs) from 1987 to 1998, including as vice-president of UK Regulatory Reporting, vice-president of Subsidiary Accounting, vice-president and director of Regulatory Reporting and chief financial officer of Goldman Sachs Canada. Mr. Montgomery has also previously held operating roles as chief financial officer and chief administrative officer and has served on several industry-wide committees for the Securities Industry Association, the Bond Market Association and the Public Securities Association. Mr. Montgomery earned a B.A. in economics and French literature from the University of Virginia and a J.D. from Georgetown University Law Center.</w:t>
      </w:r>
    </w:p>
    <w:p>
      <w:pPr>
        <w:spacing w:after="0" w:line="200" w:lineRule="exact"/>
        <w:rPr>
          <w:sz w:val="20"/>
          <w:szCs w:val="20"/>
          <w:color w:val="auto"/>
        </w:rPr>
      </w:pPr>
    </w:p>
    <w:p>
      <w:pPr>
        <w:spacing w:after="0" w:line="34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005388"/>
        </w:rPr>
        <w:t>Mr. Montgomery's extensive experience in financial services and the mortgage industry supports our conclusion he has the necessary and desired skills, experience and perspectives to serve on our Board.</w:t>
      </w:r>
    </w:p>
    <w:p>
      <w:pPr>
        <w:sectPr>
          <w:pgSz w:w="11900" w:h="16838" w:orient="portrait"/>
          <w:cols w:equalWidth="0" w:num="2">
            <w:col w:w="4140" w:space="720"/>
            <w:col w:w="5280"/>
          </w:cols>
          <w:pgMar w:left="320" w:top="130" w:right="1439" w:bottom="1112" w:gutter="0" w:footer="0" w:header="0"/>
        </w:sectPr>
      </w:pPr>
    </w:p>
    <w:bookmarkStart w:id="23" w:name="page24"/>
    <w:bookmarkEnd w:id="23"/>
    <w:p>
      <w:pPr>
        <w:spacing w:after="0"/>
        <w:tabs>
          <w:tab w:leader="none" w:pos="5480" w:val="left"/>
          <w:tab w:leader="none" w:pos="976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18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227965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0"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2025 DIRECTOR COMPENSATION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independent directors annually review and determine the compensation of the non-employee directors after reviewing the Compensation Committee's recommendations, which take into account advice received from the Compensation Committee's independent compensation consultant. The annual compensation package of each non-employee director includes a cash retainer and equity award, the latter of which makes up a substantial portion of each non-employee director's annual compensation.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320" w:type="dxa"/>
            <w:vAlign w:val="bottom"/>
            <w:shd w:val="clear" w:color="auto" w:fill="0C2940"/>
          </w:tcPr>
          <w:p>
            <w:pPr>
              <w:spacing w:after="0"/>
              <w:rPr>
                <w:sz w:val="21"/>
                <w:szCs w:val="21"/>
                <w:color w:val="auto"/>
              </w:rPr>
            </w:pP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NON-EMPLOYEE</w:t>
            </w: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AUDIT COMMITTEE</w:t>
            </w:r>
          </w:p>
        </w:tc>
        <w:tc>
          <w:tcPr>
            <w:tcW w:w="1820" w:type="dxa"/>
            <w:vAlign w:val="bottom"/>
            <w:shd w:val="clear" w:color="auto" w:fill="0C2940"/>
          </w:tcPr>
          <w:p>
            <w:pPr>
              <w:jc w:val="right"/>
              <w:ind w:right="88"/>
              <w:spacing w:after="0"/>
              <w:rPr>
                <w:sz w:val="20"/>
                <w:szCs w:val="20"/>
                <w:color w:val="auto"/>
              </w:rPr>
            </w:pPr>
            <w:r>
              <w:rPr>
                <w:rFonts w:ascii="Arial" w:cs="Arial" w:eastAsia="Arial" w:hAnsi="Arial"/>
                <w:sz w:val="14"/>
                <w:szCs w:val="14"/>
                <w:color w:val="FFFFFF"/>
              </w:rPr>
              <w:t>OTHER COMMITTEE</w:t>
            </w:r>
          </w:p>
        </w:tc>
        <w:tc>
          <w:tcPr>
            <w:tcW w:w="17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LEAD INDEPENDENT</w:t>
            </w:r>
          </w:p>
        </w:tc>
      </w:tr>
      <w:tr>
        <w:trPr>
          <w:trHeight w:val="190"/>
        </w:trPr>
        <w:tc>
          <w:tcPr>
            <w:tcW w:w="4320" w:type="dxa"/>
            <w:vAlign w:val="bottom"/>
            <w:shd w:val="clear" w:color="auto" w:fill="0C2940"/>
          </w:tcPr>
          <w:p>
            <w:pPr>
              <w:spacing w:after="0"/>
              <w:rPr>
                <w:sz w:val="16"/>
                <w:szCs w:val="16"/>
                <w:color w:val="auto"/>
              </w:rPr>
            </w:pP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DIRECTORS</w:t>
            </w: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CHAIR</w:t>
            </w:r>
          </w:p>
        </w:tc>
        <w:tc>
          <w:tcPr>
            <w:tcW w:w="1820" w:type="dxa"/>
            <w:vAlign w:val="bottom"/>
            <w:shd w:val="clear" w:color="auto" w:fill="0C2940"/>
          </w:tcPr>
          <w:p>
            <w:pPr>
              <w:jc w:val="right"/>
              <w:ind w:right="88"/>
              <w:spacing w:after="0"/>
              <w:rPr>
                <w:sz w:val="20"/>
                <w:szCs w:val="20"/>
                <w:color w:val="auto"/>
              </w:rPr>
            </w:pPr>
            <w:r>
              <w:rPr>
                <w:rFonts w:ascii="Arial" w:cs="Arial" w:eastAsia="Arial" w:hAnsi="Arial"/>
                <w:sz w:val="14"/>
                <w:szCs w:val="14"/>
                <w:color w:val="FFFFFF"/>
              </w:rPr>
              <w:t>CHAIR</w:t>
            </w:r>
          </w:p>
        </w:tc>
        <w:tc>
          <w:tcPr>
            <w:tcW w:w="17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DIRECTOR</w:t>
            </w:r>
          </w:p>
        </w:tc>
      </w:tr>
      <w:tr>
        <w:trPr>
          <w:trHeight w:val="229"/>
        </w:trPr>
        <w:tc>
          <w:tcPr>
            <w:tcW w:w="432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ANNUAL COMPENSATION PACKAGE</w:t>
            </w: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6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820" w:type="dxa"/>
            <w:vAlign w:val="bottom"/>
            <w:shd w:val="clear" w:color="auto" w:fill="0C2940"/>
          </w:tcPr>
          <w:p>
            <w:pPr>
              <w:jc w:val="right"/>
              <w:ind w:right="88"/>
              <w:spacing w:after="0"/>
              <w:rPr>
                <w:sz w:val="20"/>
                <w:szCs w:val="20"/>
                <w:color w:val="auto"/>
              </w:rPr>
            </w:pPr>
            <w:r>
              <w:rPr>
                <w:rFonts w:ascii="Arial" w:cs="Arial" w:eastAsia="Arial" w:hAnsi="Arial"/>
                <w:sz w:val="14"/>
                <w:szCs w:val="14"/>
                <w:color w:val="FFFFFF"/>
              </w:rPr>
              <w:t>($)</w:t>
            </w:r>
          </w:p>
        </w:tc>
        <w:tc>
          <w:tcPr>
            <w:tcW w:w="17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r>
      <w:tr>
        <w:trPr>
          <w:trHeight w:val="76"/>
        </w:trPr>
        <w:tc>
          <w:tcPr>
            <w:tcW w:w="4320" w:type="dxa"/>
            <w:vAlign w:val="bottom"/>
            <w:shd w:val="clear" w:color="auto" w:fill="0C2940"/>
          </w:tcPr>
          <w:p>
            <w:pPr>
              <w:spacing w:after="0"/>
              <w:rPr>
                <w:sz w:val="6"/>
                <w:szCs w:val="6"/>
                <w:color w:val="auto"/>
              </w:rPr>
            </w:pPr>
          </w:p>
        </w:tc>
        <w:tc>
          <w:tcPr>
            <w:tcW w:w="1680" w:type="dxa"/>
            <w:vAlign w:val="bottom"/>
            <w:shd w:val="clear" w:color="auto" w:fill="0C2940"/>
          </w:tcPr>
          <w:p>
            <w:pPr>
              <w:spacing w:after="0"/>
              <w:rPr>
                <w:sz w:val="6"/>
                <w:szCs w:val="6"/>
                <w:color w:val="auto"/>
              </w:rPr>
            </w:pPr>
          </w:p>
        </w:tc>
        <w:tc>
          <w:tcPr>
            <w:tcW w:w="1680" w:type="dxa"/>
            <w:vAlign w:val="bottom"/>
            <w:shd w:val="clear" w:color="auto" w:fill="0C2940"/>
          </w:tcPr>
          <w:p>
            <w:pPr>
              <w:spacing w:after="0"/>
              <w:rPr>
                <w:sz w:val="6"/>
                <w:szCs w:val="6"/>
                <w:color w:val="auto"/>
              </w:rPr>
            </w:pPr>
          </w:p>
        </w:tc>
        <w:tc>
          <w:tcPr>
            <w:tcW w:w="1820" w:type="dxa"/>
            <w:vAlign w:val="bottom"/>
            <w:shd w:val="clear" w:color="auto" w:fill="0C2940"/>
          </w:tcPr>
          <w:p>
            <w:pPr>
              <w:spacing w:after="0"/>
              <w:rPr>
                <w:sz w:val="6"/>
                <w:szCs w:val="6"/>
                <w:color w:val="auto"/>
              </w:rPr>
            </w:pPr>
          </w:p>
        </w:tc>
        <w:tc>
          <w:tcPr>
            <w:tcW w:w="1740" w:type="dxa"/>
            <w:vAlign w:val="bottom"/>
            <w:shd w:val="clear" w:color="auto" w:fill="0C2940"/>
          </w:tcPr>
          <w:p>
            <w:pPr>
              <w:spacing w:after="0"/>
              <w:rPr>
                <w:sz w:val="6"/>
                <w:szCs w:val="6"/>
                <w:color w:val="auto"/>
              </w:rPr>
            </w:pPr>
          </w:p>
        </w:tc>
      </w:tr>
      <w:tr>
        <w:trPr>
          <w:trHeight w:val="208"/>
        </w:trPr>
        <w:tc>
          <w:tcPr>
            <w:tcW w:w="4320" w:type="dxa"/>
            <w:vAlign w:val="bottom"/>
            <w:shd w:val="clear" w:color="auto" w:fill="F5F5F5"/>
          </w:tcPr>
          <w:p>
            <w:pPr>
              <w:ind w:left="240"/>
              <w:spacing w:after="0"/>
              <w:rPr>
                <w:sz w:val="20"/>
                <w:szCs w:val="20"/>
                <w:color w:val="auto"/>
              </w:rPr>
            </w:pPr>
            <w:r>
              <w:rPr>
                <w:rFonts w:ascii="Arial" w:cs="Arial" w:eastAsia="Arial" w:hAnsi="Arial"/>
                <w:sz w:val="14"/>
                <w:szCs w:val="14"/>
                <w:color w:val="auto"/>
              </w:rPr>
              <w:t>Cash Retainer</w:t>
            </w:r>
          </w:p>
        </w:tc>
        <w:tc>
          <w:tcPr>
            <w:tcW w:w="16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120,000</w:t>
            </w:r>
          </w:p>
        </w:tc>
        <w:tc>
          <w:tcPr>
            <w:tcW w:w="16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35,000</w:t>
            </w:r>
          </w:p>
        </w:tc>
        <w:tc>
          <w:tcPr>
            <w:tcW w:w="18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25,000</w:t>
            </w:r>
          </w:p>
        </w:tc>
        <w:tc>
          <w:tcPr>
            <w:tcW w:w="174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50,000</w:t>
            </w:r>
          </w:p>
        </w:tc>
      </w:tr>
      <w:tr>
        <w:trPr>
          <w:trHeight w:val="76"/>
        </w:trPr>
        <w:tc>
          <w:tcPr>
            <w:tcW w:w="4320" w:type="dxa"/>
            <w:vAlign w:val="bottom"/>
            <w:shd w:val="clear" w:color="auto" w:fill="F5F5F5"/>
          </w:tcPr>
          <w:p>
            <w:pPr>
              <w:spacing w:after="0"/>
              <w:rPr>
                <w:sz w:val="6"/>
                <w:szCs w:val="6"/>
                <w:color w:val="auto"/>
              </w:rPr>
            </w:pPr>
          </w:p>
        </w:tc>
        <w:tc>
          <w:tcPr>
            <w:tcW w:w="1680" w:type="dxa"/>
            <w:vAlign w:val="bottom"/>
            <w:shd w:val="clear" w:color="auto" w:fill="F5F5F5"/>
          </w:tcPr>
          <w:p>
            <w:pPr>
              <w:spacing w:after="0"/>
              <w:rPr>
                <w:sz w:val="6"/>
                <w:szCs w:val="6"/>
                <w:color w:val="auto"/>
              </w:rPr>
            </w:pPr>
          </w:p>
        </w:tc>
        <w:tc>
          <w:tcPr>
            <w:tcW w:w="1680" w:type="dxa"/>
            <w:vAlign w:val="bottom"/>
            <w:shd w:val="clear" w:color="auto" w:fill="F5F5F5"/>
          </w:tcPr>
          <w:p>
            <w:pPr>
              <w:spacing w:after="0"/>
              <w:rPr>
                <w:sz w:val="6"/>
                <w:szCs w:val="6"/>
                <w:color w:val="auto"/>
              </w:rPr>
            </w:pPr>
          </w:p>
        </w:tc>
        <w:tc>
          <w:tcPr>
            <w:tcW w:w="1820" w:type="dxa"/>
            <w:vAlign w:val="bottom"/>
            <w:shd w:val="clear" w:color="auto" w:fill="F5F5F5"/>
          </w:tcPr>
          <w:p>
            <w:pPr>
              <w:spacing w:after="0"/>
              <w:rPr>
                <w:sz w:val="6"/>
                <w:szCs w:val="6"/>
                <w:color w:val="auto"/>
              </w:rPr>
            </w:pPr>
          </w:p>
        </w:tc>
        <w:tc>
          <w:tcPr>
            <w:tcW w:w="1740" w:type="dxa"/>
            <w:vAlign w:val="bottom"/>
            <w:shd w:val="clear" w:color="auto" w:fill="F5F5F5"/>
          </w:tcPr>
          <w:p>
            <w:pPr>
              <w:spacing w:after="0"/>
              <w:rPr>
                <w:sz w:val="6"/>
                <w:szCs w:val="6"/>
                <w:color w:val="auto"/>
              </w:rPr>
            </w:pPr>
          </w:p>
        </w:tc>
      </w:tr>
      <w:tr>
        <w:trPr>
          <w:trHeight w:val="208"/>
        </w:trPr>
        <w:tc>
          <w:tcPr>
            <w:tcW w:w="4320" w:type="dxa"/>
            <w:vAlign w:val="bottom"/>
          </w:tcPr>
          <w:p>
            <w:pPr>
              <w:ind w:left="240"/>
              <w:spacing w:after="0"/>
              <w:rPr>
                <w:sz w:val="20"/>
                <w:szCs w:val="20"/>
                <w:color w:val="auto"/>
              </w:rPr>
            </w:pPr>
            <w:r>
              <w:rPr>
                <w:rFonts w:ascii="Arial" w:cs="Arial" w:eastAsia="Arial" w:hAnsi="Arial"/>
                <w:sz w:val="14"/>
                <w:szCs w:val="14"/>
                <w:color w:val="auto"/>
              </w:rPr>
              <w:t>RSU Award</w:t>
            </w:r>
          </w:p>
        </w:tc>
        <w:tc>
          <w:tcPr>
            <w:tcW w:w="1680" w:type="dxa"/>
            <w:vAlign w:val="bottom"/>
          </w:tcPr>
          <w:p>
            <w:pPr>
              <w:jc w:val="right"/>
              <w:spacing w:after="0"/>
              <w:rPr>
                <w:sz w:val="20"/>
                <w:szCs w:val="20"/>
                <w:color w:val="auto"/>
              </w:rPr>
            </w:pPr>
            <w:r>
              <w:rPr>
                <w:rFonts w:ascii="Arial" w:cs="Arial" w:eastAsia="Arial" w:hAnsi="Arial"/>
                <w:sz w:val="14"/>
                <w:szCs w:val="14"/>
                <w:color w:val="auto"/>
              </w:rPr>
              <w:t>170,000</w:t>
            </w:r>
          </w:p>
        </w:tc>
        <w:tc>
          <w:tcPr>
            <w:tcW w:w="1680" w:type="dxa"/>
            <w:vAlign w:val="bottom"/>
          </w:tcPr>
          <w:p>
            <w:pPr>
              <w:jc w:val="right"/>
              <w:spacing w:after="0"/>
              <w:rPr>
                <w:sz w:val="20"/>
                <w:szCs w:val="20"/>
                <w:color w:val="auto"/>
              </w:rPr>
            </w:pPr>
            <w:r>
              <w:rPr>
                <w:rFonts w:ascii="Arial" w:cs="Arial" w:eastAsia="Arial" w:hAnsi="Arial"/>
                <w:sz w:val="14"/>
                <w:szCs w:val="14"/>
                <w:color w:val="auto"/>
              </w:rPr>
              <w:t>N/A</w:t>
            </w:r>
          </w:p>
        </w:tc>
        <w:tc>
          <w:tcPr>
            <w:tcW w:w="1820" w:type="dxa"/>
            <w:vAlign w:val="bottom"/>
          </w:tcPr>
          <w:p>
            <w:pPr>
              <w:jc w:val="right"/>
              <w:ind w:right="88"/>
              <w:spacing w:after="0"/>
              <w:rPr>
                <w:sz w:val="20"/>
                <w:szCs w:val="20"/>
                <w:color w:val="auto"/>
              </w:rPr>
            </w:pPr>
            <w:r>
              <w:rPr>
                <w:rFonts w:ascii="Arial" w:cs="Arial" w:eastAsia="Arial" w:hAnsi="Arial"/>
                <w:sz w:val="14"/>
                <w:szCs w:val="14"/>
                <w:color w:val="auto"/>
              </w:rPr>
              <w:t>N/A</w:t>
            </w:r>
          </w:p>
        </w:tc>
        <w:tc>
          <w:tcPr>
            <w:tcW w:w="1740" w:type="dxa"/>
            <w:vAlign w:val="bottom"/>
          </w:tcPr>
          <w:p>
            <w:pPr>
              <w:jc w:val="right"/>
              <w:ind w:right="48"/>
              <w:spacing w:after="0"/>
              <w:rPr>
                <w:sz w:val="20"/>
                <w:szCs w:val="20"/>
                <w:color w:val="auto"/>
              </w:rPr>
            </w:pPr>
            <w:r>
              <w:rPr>
                <w:rFonts w:ascii="Arial" w:cs="Arial" w:eastAsia="Arial" w:hAnsi="Arial"/>
                <w:sz w:val="14"/>
                <w:szCs w:val="14"/>
                <w:color w:val="auto"/>
              </w:rPr>
              <w:t>N/A</w:t>
            </w:r>
          </w:p>
        </w:tc>
      </w:tr>
      <w:tr>
        <w:trPr>
          <w:trHeight w:val="76"/>
        </w:trPr>
        <w:tc>
          <w:tcPr>
            <w:tcW w:w="4320" w:type="dxa"/>
            <w:vAlign w:val="bottom"/>
            <w:tcBorders>
              <w:bottom w:val="single" w:sz="8" w:color="DE762B"/>
            </w:tcBorders>
          </w:tcPr>
          <w:p>
            <w:pPr>
              <w:spacing w:after="0"/>
              <w:rPr>
                <w:sz w:val="6"/>
                <w:szCs w:val="6"/>
                <w:color w:val="auto"/>
              </w:rPr>
            </w:pPr>
          </w:p>
        </w:tc>
        <w:tc>
          <w:tcPr>
            <w:tcW w:w="1680" w:type="dxa"/>
            <w:vAlign w:val="bottom"/>
            <w:tcBorders>
              <w:bottom w:val="single" w:sz="8" w:color="DE762B"/>
            </w:tcBorders>
          </w:tcPr>
          <w:p>
            <w:pPr>
              <w:spacing w:after="0"/>
              <w:rPr>
                <w:sz w:val="6"/>
                <w:szCs w:val="6"/>
                <w:color w:val="auto"/>
              </w:rPr>
            </w:pPr>
          </w:p>
        </w:tc>
        <w:tc>
          <w:tcPr>
            <w:tcW w:w="1680" w:type="dxa"/>
            <w:vAlign w:val="bottom"/>
            <w:tcBorders>
              <w:bottom w:val="single" w:sz="8" w:color="DE762B"/>
            </w:tcBorders>
          </w:tcPr>
          <w:p>
            <w:pPr>
              <w:spacing w:after="0"/>
              <w:rPr>
                <w:sz w:val="6"/>
                <w:szCs w:val="6"/>
                <w:color w:val="auto"/>
              </w:rPr>
            </w:pPr>
          </w:p>
        </w:tc>
        <w:tc>
          <w:tcPr>
            <w:tcW w:w="1820" w:type="dxa"/>
            <w:vAlign w:val="bottom"/>
            <w:tcBorders>
              <w:bottom w:val="single" w:sz="8" w:color="DE762B"/>
            </w:tcBorders>
          </w:tcPr>
          <w:p>
            <w:pPr>
              <w:spacing w:after="0"/>
              <w:rPr>
                <w:sz w:val="6"/>
                <w:szCs w:val="6"/>
                <w:color w:val="auto"/>
              </w:rPr>
            </w:pPr>
          </w:p>
        </w:tc>
        <w:tc>
          <w:tcPr>
            <w:tcW w:w="1740" w:type="dxa"/>
            <w:vAlign w:val="bottom"/>
            <w:tcBorders>
              <w:bottom w:val="single" w:sz="8" w:color="DE762B"/>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5924550</wp:posOffset>
            </wp:positionH>
            <wp:positionV relativeFrom="paragraph">
              <wp:posOffset>-380365</wp:posOffset>
            </wp:positionV>
            <wp:extent cx="34290" cy="3854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385445"/>
                    </a:xfrm>
                    <a:prstGeom prst="rect">
                      <a:avLst/>
                    </a:prstGeom>
                    <a:noFill/>
                  </pic:spPr>
                </pic:pic>
              </a:graphicData>
            </a:graphic>
          </wp:anchor>
        </w:drawing>
        <w:drawing>
          <wp:anchor simplePos="0" relativeHeight="251657728" behindDoc="1" locked="0" layoutInCell="0" allowOverlap="1">
            <wp:simplePos x="0" y="0"/>
            <wp:positionH relativeFrom="column">
              <wp:posOffset>4861560</wp:posOffset>
            </wp:positionH>
            <wp:positionV relativeFrom="paragraph">
              <wp:posOffset>-380365</wp:posOffset>
            </wp:positionV>
            <wp:extent cx="33655" cy="3854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38544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-380365</wp:posOffset>
            </wp:positionV>
            <wp:extent cx="33655" cy="3854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38544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-380365</wp:posOffset>
            </wp:positionV>
            <wp:extent cx="34290" cy="3854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385445"/>
                    </a:xfrm>
                    <a:prstGeom prst="rect">
                      <a:avLst/>
                    </a:prstGeom>
                    <a:noFill/>
                  </pic:spPr>
                </pic:pic>
              </a:graphicData>
            </a:graphic>
          </wp:anchor>
        </w:drawing>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grant our non-employee directors annual RSU awards that vest on the first anniversary of the grant date for their board service (RSU annual retainer). We also grant any new director a sign-on RSU award with a target grant date fair value equal to the then-applicable RSU annual retainer. The sign-on RSU award is eligible to vest equally on the second and third anniversaries of the grant date, subject to the director's continued service to the Company. We designed the three-year sign-on RSU award for our new non-employee director compensation package to strengthen the alignment between director pay and the long-term interest of our stockholders. We do not pay our directors additional monetary compensation for attending our Board or committee meetings. We do, however, pay or reimburse travel and other expenses incurred by our non-employee directors when they attend our Board meetings and/or directorship-related continuing education training. In 2025, Mr. Shuster and Mr. Pollitzer were named executive officers (NEOs) of the Company in addition to serving as directors. Both Mr. Shuster and Mr. Pollitzer receive compensation as our NEOs rather than as directors, as described below in "</w:t>
      </w:r>
      <w:r>
        <w:rPr>
          <w:rFonts w:ascii="Arial" w:cs="Arial" w:eastAsia="Arial" w:hAnsi="Arial"/>
          <w:sz w:val="16"/>
          <w:szCs w:val="16"/>
          <w:i w:val="1"/>
          <w:iCs w:val="1"/>
          <w:color w:val="auto"/>
        </w:rPr>
        <w:t>Compensation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Named Executive Officers</w:t>
      </w:r>
      <w:r>
        <w:rPr>
          <w:rFonts w:ascii="Arial" w:cs="Arial" w:eastAsia="Arial" w:hAnsi="Arial"/>
          <w:sz w:val="16"/>
          <w:szCs w:val="16"/>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our non-employee directors during 2025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40" w:type="dxa"/>
            <w:vAlign w:val="bottom"/>
            <w:shd w:val="clear" w:color="auto" w:fill="0C2940"/>
          </w:tcPr>
          <w:p>
            <w:pPr>
              <w:spacing w:after="0"/>
              <w:rPr>
                <w:sz w:val="24"/>
                <w:szCs w:val="24"/>
                <w:color w:val="auto"/>
              </w:rPr>
            </w:pPr>
          </w:p>
        </w:tc>
        <w:tc>
          <w:tcPr>
            <w:tcW w:w="3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 xml:space="preserve">FEES EARNED OR PAID IN CASH </w:t>
            </w:r>
            <w:r>
              <w:rPr>
                <w:rFonts w:ascii="Arial" w:cs="Arial" w:eastAsia="Arial" w:hAnsi="Arial"/>
                <w:sz w:val="18"/>
                <w:szCs w:val="18"/>
                <w:color w:val="FFFFFF"/>
                <w:vertAlign w:val="superscript"/>
              </w:rPr>
              <w:t>(1)</w:t>
            </w:r>
          </w:p>
        </w:tc>
        <w:tc>
          <w:tcPr>
            <w:tcW w:w="2380" w:type="dxa"/>
            <w:vAlign w:val="bottom"/>
            <w:shd w:val="clear" w:color="auto" w:fill="0C2940"/>
          </w:tcPr>
          <w:p>
            <w:pPr>
              <w:jc w:val="right"/>
              <w:ind w:right="308"/>
              <w:spacing w:after="0"/>
              <w:rPr>
                <w:sz w:val="20"/>
                <w:szCs w:val="20"/>
                <w:color w:val="auto"/>
              </w:rPr>
            </w:pPr>
            <w:r>
              <w:rPr>
                <w:rFonts w:ascii="Arial" w:cs="Arial" w:eastAsia="Arial" w:hAnsi="Arial"/>
                <w:sz w:val="14"/>
                <w:szCs w:val="14"/>
                <w:color w:val="FFFFFF"/>
              </w:rPr>
              <w:t xml:space="preserve">RSU AWARDS </w:t>
            </w:r>
            <w:r>
              <w:rPr>
                <w:rFonts w:ascii="Arial" w:cs="Arial" w:eastAsia="Arial" w:hAnsi="Arial"/>
                <w:sz w:val="18"/>
                <w:szCs w:val="18"/>
                <w:color w:val="FFFFFF"/>
                <w:vertAlign w:val="superscript"/>
              </w:rPr>
              <w:t>(2)</w:t>
            </w:r>
          </w:p>
        </w:tc>
        <w:tc>
          <w:tcPr>
            <w:tcW w:w="216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TOTAL COMPENSATION</w:t>
            </w:r>
          </w:p>
        </w:tc>
      </w:tr>
      <w:tr>
        <w:trPr>
          <w:trHeight w:val="208"/>
        </w:trPr>
        <w:tc>
          <w:tcPr>
            <w:tcW w:w="354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NAME</w:t>
            </w:r>
          </w:p>
        </w:tc>
        <w:tc>
          <w:tcPr>
            <w:tcW w:w="3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2380" w:type="dxa"/>
            <w:vAlign w:val="bottom"/>
            <w:shd w:val="clear" w:color="auto" w:fill="0C2940"/>
          </w:tcPr>
          <w:p>
            <w:pPr>
              <w:jc w:val="right"/>
              <w:ind w:right="308"/>
              <w:spacing w:after="0"/>
              <w:rPr>
                <w:sz w:val="20"/>
                <w:szCs w:val="20"/>
                <w:color w:val="auto"/>
              </w:rPr>
            </w:pPr>
            <w:r>
              <w:rPr>
                <w:rFonts w:ascii="Arial" w:cs="Arial" w:eastAsia="Arial" w:hAnsi="Arial"/>
                <w:sz w:val="14"/>
                <w:szCs w:val="14"/>
                <w:color w:val="FFFFFF"/>
              </w:rPr>
              <w:t>($)</w:t>
            </w:r>
          </w:p>
        </w:tc>
        <w:tc>
          <w:tcPr>
            <w:tcW w:w="216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r>
      <w:tr>
        <w:trPr>
          <w:trHeight w:val="76"/>
        </w:trPr>
        <w:tc>
          <w:tcPr>
            <w:tcW w:w="3540" w:type="dxa"/>
            <w:vAlign w:val="bottom"/>
            <w:shd w:val="clear" w:color="auto" w:fill="0C2940"/>
          </w:tcPr>
          <w:p>
            <w:pPr>
              <w:spacing w:after="0"/>
              <w:rPr>
                <w:sz w:val="6"/>
                <w:szCs w:val="6"/>
                <w:color w:val="auto"/>
              </w:rPr>
            </w:pPr>
          </w:p>
        </w:tc>
        <w:tc>
          <w:tcPr>
            <w:tcW w:w="3160" w:type="dxa"/>
            <w:vAlign w:val="bottom"/>
            <w:shd w:val="clear" w:color="auto" w:fill="0C2940"/>
          </w:tcPr>
          <w:p>
            <w:pPr>
              <w:spacing w:after="0"/>
              <w:rPr>
                <w:sz w:val="6"/>
                <w:szCs w:val="6"/>
                <w:color w:val="auto"/>
              </w:rPr>
            </w:pPr>
          </w:p>
        </w:tc>
        <w:tc>
          <w:tcPr>
            <w:tcW w:w="2380" w:type="dxa"/>
            <w:vAlign w:val="bottom"/>
            <w:shd w:val="clear" w:color="auto" w:fill="0C2940"/>
          </w:tcPr>
          <w:p>
            <w:pPr>
              <w:spacing w:after="0"/>
              <w:rPr>
                <w:sz w:val="6"/>
                <w:szCs w:val="6"/>
                <w:color w:val="auto"/>
              </w:rPr>
            </w:pPr>
          </w:p>
        </w:tc>
        <w:tc>
          <w:tcPr>
            <w:tcW w:w="2160" w:type="dxa"/>
            <w:vAlign w:val="bottom"/>
            <w:shd w:val="clear" w:color="auto" w:fill="0C2940"/>
          </w:tcPr>
          <w:p>
            <w:pPr>
              <w:spacing w:after="0"/>
              <w:rPr>
                <w:sz w:val="6"/>
                <w:szCs w:val="6"/>
                <w:color w:val="auto"/>
              </w:rPr>
            </w:pPr>
          </w:p>
        </w:tc>
      </w:tr>
      <w:tr>
        <w:trPr>
          <w:trHeight w:val="377"/>
        </w:trPr>
        <w:tc>
          <w:tcPr>
            <w:tcW w:w="354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Renu Agrawal</w:t>
            </w:r>
            <w:r>
              <w:rPr>
                <w:rFonts w:ascii="Arial" w:cs="Arial" w:eastAsia="Arial" w:hAnsi="Arial"/>
                <w:sz w:val="18"/>
                <w:szCs w:val="18"/>
                <w:b w:val="1"/>
                <w:bCs w:val="1"/>
                <w:color w:val="005388"/>
                <w:vertAlign w:val="superscript"/>
              </w:rPr>
              <w:t>3</w:t>
            </w:r>
          </w:p>
        </w:tc>
        <w:tc>
          <w:tcPr>
            <w:tcW w:w="3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0</w:t>
            </w:r>
          </w:p>
        </w:tc>
        <w:tc>
          <w:tcPr>
            <w:tcW w:w="23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0</w:t>
            </w:r>
          </w:p>
        </w:tc>
        <w:tc>
          <w:tcPr>
            <w:tcW w:w="216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0</w:t>
            </w:r>
          </w:p>
        </w:tc>
      </w:tr>
      <w:tr>
        <w:trPr>
          <w:trHeight w:val="68"/>
        </w:trPr>
        <w:tc>
          <w:tcPr>
            <w:tcW w:w="3540" w:type="dxa"/>
            <w:vAlign w:val="bottom"/>
            <w:shd w:val="clear" w:color="auto" w:fill="F5F5F5"/>
          </w:tcPr>
          <w:p>
            <w:pPr>
              <w:spacing w:after="0"/>
              <w:rPr>
                <w:sz w:val="5"/>
                <w:szCs w:val="5"/>
                <w:color w:val="auto"/>
              </w:rPr>
            </w:pPr>
          </w:p>
        </w:tc>
        <w:tc>
          <w:tcPr>
            <w:tcW w:w="3160" w:type="dxa"/>
            <w:vAlign w:val="bottom"/>
            <w:shd w:val="clear" w:color="auto" w:fill="F5F5F5"/>
          </w:tcPr>
          <w:p>
            <w:pPr>
              <w:spacing w:after="0"/>
              <w:rPr>
                <w:sz w:val="5"/>
                <w:szCs w:val="5"/>
                <w:color w:val="auto"/>
              </w:rPr>
            </w:pPr>
          </w:p>
        </w:tc>
        <w:tc>
          <w:tcPr>
            <w:tcW w:w="2380" w:type="dxa"/>
            <w:vAlign w:val="bottom"/>
            <w:shd w:val="clear" w:color="auto" w:fill="F5F5F5"/>
          </w:tcPr>
          <w:p>
            <w:pPr>
              <w:spacing w:after="0"/>
              <w:rPr>
                <w:sz w:val="5"/>
                <w:szCs w:val="5"/>
                <w:color w:val="auto"/>
              </w:rPr>
            </w:pPr>
          </w:p>
        </w:tc>
        <w:tc>
          <w:tcPr>
            <w:tcW w:w="2160" w:type="dxa"/>
            <w:vAlign w:val="bottom"/>
            <w:shd w:val="clear" w:color="auto" w:fill="F5F5F5"/>
          </w:tcPr>
          <w:p>
            <w:pPr>
              <w:spacing w:after="0"/>
              <w:rPr>
                <w:sz w:val="5"/>
                <w:szCs w:val="5"/>
                <w:color w:val="auto"/>
              </w:rPr>
            </w:pPr>
          </w:p>
        </w:tc>
      </w:tr>
      <w:tr>
        <w:trPr>
          <w:trHeight w:val="377"/>
        </w:trPr>
        <w:tc>
          <w:tcPr>
            <w:tcW w:w="3540" w:type="dxa"/>
            <w:vAlign w:val="bottom"/>
          </w:tcPr>
          <w:p>
            <w:pPr>
              <w:ind w:left="140"/>
              <w:spacing w:after="0"/>
              <w:rPr>
                <w:sz w:val="20"/>
                <w:szCs w:val="20"/>
                <w:color w:val="auto"/>
              </w:rPr>
            </w:pPr>
            <w:r>
              <w:rPr>
                <w:rFonts w:ascii="Arial" w:cs="Arial" w:eastAsia="Arial" w:hAnsi="Arial"/>
                <w:sz w:val="14"/>
                <w:szCs w:val="14"/>
                <w:b w:val="1"/>
                <w:bCs w:val="1"/>
                <w:color w:val="005388"/>
              </w:rPr>
              <w:t>Michael Embler</w:t>
            </w:r>
            <w:r>
              <w:rPr>
                <w:rFonts w:ascii="Arial" w:cs="Arial" w:eastAsia="Arial" w:hAnsi="Arial"/>
                <w:sz w:val="18"/>
                <w:szCs w:val="18"/>
                <w:b w:val="1"/>
                <w:bCs w:val="1"/>
                <w:color w:val="005388"/>
                <w:vertAlign w:val="superscript"/>
              </w:rPr>
              <w:t>4</w:t>
            </w:r>
          </w:p>
        </w:tc>
        <w:tc>
          <w:tcPr>
            <w:tcW w:w="3160" w:type="dxa"/>
            <w:vAlign w:val="bottom"/>
          </w:tcPr>
          <w:p>
            <w:pPr>
              <w:jc w:val="right"/>
              <w:spacing w:after="0"/>
              <w:rPr>
                <w:sz w:val="20"/>
                <w:szCs w:val="20"/>
                <w:color w:val="auto"/>
              </w:rPr>
            </w:pPr>
            <w:r>
              <w:rPr>
                <w:rFonts w:ascii="Arial" w:cs="Arial" w:eastAsia="Arial" w:hAnsi="Arial"/>
                <w:sz w:val="14"/>
                <w:szCs w:val="14"/>
                <w:color w:val="auto"/>
              </w:rPr>
              <w:t>147,967</w:t>
            </w:r>
          </w:p>
        </w:tc>
        <w:tc>
          <w:tcPr>
            <w:tcW w:w="2380" w:type="dxa"/>
            <w:vAlign w:val="bottom"/>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317,936</w:t>
            </w:r>
          </w:p>
        </w:tc>
      </w:tr>
      <w:tr>
        <w:trPr>
          <w:trHeight w:val="68"/>
        </w:trPr>
        <w:tc>
          <w:tcPr>
            <w:tcW w:w="3540" w:type="dxa"/>
            <w:vAlign w:val="bottom"/>
          </w:tcPr>
          <w:p>
            <w:pPr>
              <w:spacing w:after="0"/>
              <w:rPr>
                <w:sz w:val="5"/>
                <w:szCs w:val="5"/>
                <w:color w:val="auto"/>
              </w:rPr>
            </w:pPr>
          </w:p>
        </w:tc>
        <w:tc>
          <w:tcPr>
            <w:tcW w:w="31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2160" w:type="dxa"/>
            <w:vAlign w:val="bottom"/>
          </w:tcPr>
          <w:p>
            <w:pPr>
              <w:spacing w:after="0"/>
              <w:rPr>
                <w:sz w:val="5"/>
                <w:szCs w:val="5"/>
                <w:color w:val="auto"/>
              </w:rPr>
            </w:pPr>
          </w:p>
        </w:tc>
      </w:tr>
      <w:tr>
        <w:trPr>
          <w:trHeight w:val="322"/>
        </w:trPr>
        <w:tc>
          <w:tcPr>
            <w:tcW w:w="354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John C. Erickson</w:t>
            </w:r>
          </w:p>
        </w:tc>
        <w:tc>
          <w:tcPr>
            <w:tcW w:w="3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116,484</w:t>
            </w:r>
          </w:p>
        </w:tc>
        <w:tc>
          <w:tcPr>
            <w:tcW w:w="23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286,453</w:t>
            </w:r>
          </w:p>
        </w:tc>
      </w:tr>
      <w:tr>
        <w:trPr>
          <w:trHeight w:val="123"/>
        </w:trPr>
        <w:tc>
          <w:tcPr>
            <w:tcW w:w="3540" w:type="dxa"/>
            <w:vAlign w:val="bottom"/>
            <w:shd w:val="clear" w:color="auto" w:fill="F5F5F5"/>
          </w:tcPr>
          <w:p>
            <w:pPr>
              <w:spacing w:after="0"/>
              <w:rPr>
                <w:sz w:val="10"/>
                <w:szCs w:val="10"/>
                <w:color w:val="auto"/>
              </w:rPr>
            </w:pPr>
          </w:p>
        </w:tc>
        <w:tc>
          <w:tcPr>
            <w:tcW w:w="3160" w:type="dxa"/>
            <w:vAlign w:val="bottom"/>
            <w:shd w:val="clear" w:color="auto" w:fill="F5F5F5"/>
          </w:tcPr>
          <w:p>
            <w:pPr>
              <w:spacing w:after="0"/>
              <w:rPr>
                <w:sz w:val="10"/>
                <w:szCs w:val="10"/>
                <w:color w:val="auto"/>
              </w:rPr>
            </w:pPr>
          </w:p>
        </w:tc>
        <w:tc>
          <w:tcPr>
            <w:tcW w:w="2380" w:type="dxa"/>
            <w:vAlign w:val="bottom"/>
            <w:shd w:val="clear" w:color="auto" w:fill="F5F5F5"/>
          </w:tcPr>
          <w:p>
            <w:pPr>
              <w:spacing w:after="0"/>
              <w:rPr>
                <w:sz w:val="10"/>
                <w:szCs w:val="10"/>
                <w:color w:val="auto"/>
              </w:rPr>
            </w:pPr>
          </w:p>
        </w:tc>
        <w:tc>
          <w:tcPr>
            <w:tcW w:w="2160" w:type="dxa"/>
            <w:vAlign w:val="bottom"/>
            <w:shd w:val="clear" w:color="auto" w:fill="F5F5F5"/>
          </w:tcPr>
          <w:p>
            <w:pPr>
              <w:spacing w:after="0"/>
              <w:rPr>
                <w:sz w:val="10"/>
                <w:szCs w:val="10"/>
                <w:color w:val="auto"/>
              </w:rPr>
            </w:pPr>
          </w:p>
        </w:tc>
      </w:tr>
      <w:tr>
        <w:trPr>
          <w:trHeight w:val="322"/>
        </w:trPr>
        <w:tc>
          <w:tcPr>
            <w:tcW w:w="3540" w:type="dxa"/>
            <w:vAlign w:val="bottom"/>
          </w:tcPr>
          <w:p>
            <w:pPr>
              <w:ind w:left="140"/>
              <w:spacing w:after="0"/>
              <w:rPr>
                <w:sz w:val="20"/>
                <w:szCs w:val="20"/>
                <w:color w:val="auto"/>
              </w:rPr>
            </w:pPr>
            <w:r>
              <w:rPr>
                <w:rFonts w:ascii="Arial" w:cs="Arial" w:eastAsia="Arial" w:hAnsi="Arial"/>
                <w:sz w:val="14"/>
                <w:szCs w:val="14"/>
                <w:b w:val="1"/>
                <w:bCs w:val="1"/>
                <w:color w:val="005388"/>
              </w:rPr>
              <w:t>Priya Huskins</w:t>
            </w:r>
          </w:p>
        </w:tc>
        <w:tc>
          <w:tcPr>
            <w:tcW w:w="3160" w:type="dxa"/>
            <w:vAlign w:val="bottom"/>
          </w:tcPr>
          <w:p>
            <w:pPr>
              <w:jc w:val="right"/>
              <w:spacing w:after="0"/>
              <w:rPr>
                <w:sz w:val="20"/>
                <w:szCs w:val="20"/>
                <w:color w:val="auto"/>
              </w:rPr>
            </w:pPr>
            <w:r>
              <w:rPr>
                <w:rFonts w:ascii="Arial" w:cs="Arial" w:eastAsia="Arial" w:hAnsi="Arial"/>
                <w:sz w:val="14"/>
                <w:szCs w:val="14"/>
                <w:color w:val="auto"/>
              </w:rPr>
              <w:t>116,484</w:t>
            </w:r>
          </w:p>
        </w:tc>
        <w:tc>
          <w:tcPr>
            <w:tcW w:w="2380" w:type="dxa"/>
            <w:vAlign w:val="bottom"/>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286,453</w:t>
            </w:r>
          </w:p>
        </w:tc>
      </w:tr>
      <w:tr>
        <w:trPr>
          <w:trHeight w:val="123"/>
        </w:trPr>
        <w:tc>
          <w:tcPr>
            <w:tcW w:w="35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377"/>
        </w:trPr>
        <w:tc>
          <w:tcPr>
            <w:tcW w:w="354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Lynn S. McCreary</w:t>
            </w:r>
            <w:r>
              <w:rPr>
                <w:rFonts w:ascii="Arial" w:cs="Arial" w:eastAsia="Arial" w:hAnsi="Arial"/>
                <w:sz w:val="18"/>
                <w:szCs w:val="18"/>
                <w:b w:val="1"/>
                <w:bCs w:val="1"/>
                <w:color w:val="005388"/>
                <w:vertAlign w:val="superscript"/>
              </w:rPr>
              <w:t>5</w:t>
            </w:r>
          </w:p>
        </w:tc>
        <w:tc>
          <w:tcPr>
            <w:tcW w:w="3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139,725</w:t>
            </w:r>
          </w:p>
        </w:tc>
        <w:tc>
          <w:tcPr>
            <w:tcW w:w="23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309,694</w:t>
            </w:r>
          </w:p>
        </w:tc>
      </w:tr>
      <w:tr>
        <w:trPr>
          <w:trHeight w:val="68"/>
        </w:trPr>
        <w:tc>
          <w:tcPr>
            <w:tcW w:w="3540" w:type="dxa"/>
            <w:vAlign w:val="bottom"/>
            <w:shd w:val="clear" w:color="auto" w:fill="F5F5F5"/>
          </w:tcPr>
          <w:p>
            <w:pPr>
              <w:spacing w:after="0"/>
              <w:rPr>
                <w:sz w:val="5"/>
                <w:szCs w:val="5"/>
                <w:color w:val="auto"/>
              </w:rPr>
            </w:pPr>
          </w:p>
        </w:tc>
        <w:tc>
          <w:tcPr>
            <w:tcW w:w="3160" w:type="dxa"/>
            <w:vAlign w:val="bottom"/>
            <w:shd w:val="clear" w:color="auto" w:fill="F5F5F5"/>
          </w:tcPr>
          <w:p>
            <w:pPr>
              <w:spacing w:after="0"/>
              <w:rPr>
                <w:sz w:val="5"/>
                <w:szCs w:val="5"/>
                <w:color w:val="auto"/>
              </w:rPr>
            </w:pPr>
          </w:p>
        </w:tc>
        <w:tc>
          <w:tcPr>
            <w:tcW w:w="2380" w:type="dxa"/>
            <w:vAlign w:val="bottom"/>
            <w:shd w:val="clear" w:color="auto" w:fill="F5F5F5"/>
          </w:tcPr>
          <w:p>
            <w:pPr>
              <w:spacing w:after="0"/>
              <w:rPr>
                <w:sz w:val="5"/>
                <w:szCs w:val="5"/>
                <w:color w:val="auto"/>
              </w:rPr>
            </w:pPr>
          </w:p>
        </w:tc>
        <w:tc>
          <w:tcPr>
            <w:tcW w:w="2160" w:type="dxa"/>
            <w:vAlign w:val="bottom"/>
            <w:shd w:val="clear" w:color="auto" w:fill="F5F5F5"/>
          </w:tcPr>
          <w:p>
            <w:pPr>
              <w:spacing w:after="0"/>
              <w:rPr>
                <w:sz w:val="5"/>
                <w:szCs w:val="5"/>
                <w:color w:val="auto"/>
              </w:rPr>
            </w:pPr>
          </w:p>
        </w:tc>
      </w:tr>
      <w:tr>
        <w:trPr>
          <w:trHeight w:val="322"/>
        </w:trPr>
        <w:tc>
          <w:tcPr>
            <w:tcW w:w="3540" w:type="dxa"/>
            <w:vAlign w:val="bottom"/>
          </w:tcPr>
          <w:p>
            <w:pPr>
              <w:ind w:left="140"/>
              <w:spacing w:after="0"/>
              <w:rPr>
                <w:sz w:val="20"/>
                <w:szCs w:val="20"/>
                <w:color w:val="auto"/>
              </w:rPr>
            </w:pPr>
            <w:r>
              <w:rPr>
                <w:rFonts w:ascii="Arial" w:cs="Arial" w:eastAsia="Arial" w:hAnsi="Arial"/>
                <w:sz w:val="14"/>
                <w:szCs w:val="14"/>
                <w:b w:val="1"/>
                <w:bCs w:val="1"/>
                <w:color w:val="005388"/>
              </w:rPr>
              <w:t>Michael Montgomery</w:t>
            </w:r>
          </w:p>
        </w:tc>
        <w:tc>
          <w:tcPr>
            <w:tcW w:w="3160" w:type="dxa"/>
            <w:vAlign w:val="bottom"/>
          </w:tcPr>
          <w:p>
            <w:pPr>
              <w:jc w:val="right"/>
              <w:spacing w:after="0"/>
              <w:rPr>
                <w:sz w:val="20"/>
                <w:szCs w:val="20"/>
                <w:color w:val="auto"/>
              </w:rPr>
            </w:pPr>
            <w:r>
              <w:rPr>
                <w:rFonts w:ascii="Arial" w:cs="Arial" w:eastAsia="Arial" w:hAnsi="Arial"/>
                <w:sz w:val="14"/>
                <w:szCs w:val="14"/>
                <w:color w:val="auto"/>
              </w:rPr>
              <w:t>116,484</w:t>
            </w:r>
          </w:p>
        </w:tc>
        <w:tc>
          <w:tcPr>
            <w:tcW w:w="2380" w:type="dxa"/>
            <w:vAlign w:val="bottom"/>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286,453</w:t>
            </w:r>
          </w:p>
        </w:tc>
      </w:tr>
      <w:tr>
        <w:trPr>
          <w:trHeight w:val="124"/>
        </w:trPr>
        <w:tc>
          <w:tcPr>
            <w:tcW w:w="35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2160" w:type="dxa"/>
            <w:vAlign w:val="bottom"/>
          </w:tcPr>
          <w:p>
            <w:pPr>
              <w:spacing w:after="0"/>
              <w:rPr>
                <w:sz w:val="10"/>
                <w:szCs w:val="10"/>
                <w:color w:val="auto"/>
              </w:rPr>
            </w:pPr>
          </w:p>
        </w:tc>
      </w:tr>
      <w:tr>
        <w:trPr>
          <w:trHeight w:val="377"/>
        </w:trPr>
        <w:tc>
          <w:tcPr>
            <w:tcW w:w="354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Regina Muehlhauser</w:t>
            </w:r>
            <w:r>
              <w:rPr>
                <w:rFonts w:ascii="Arial" w:cs="Arial" w:eastAsia="Arial" w:hAnsi="Arial"/>
                <w:sz w:val="18"/>
                <w:szCs w:val="18"/>
                <w:b w:val="1"/>
                <w:bCs w:val="1"/>
                <w:color w:val="005388"/>
                <w:vertAlign w:val="superscript"/>
              </w:rPr>
              <w:t>6</w:t>
            </w:r>
          </w:p>
        </w:tc>
        <w:tc>
          <w:tcPr>
            <w:tcW w:w="3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139,725</w:t>
            </w:r>
          </w:p>
        </w:tc>
        <w:tc>
          <w:tcPr>
            <w:tcW w:w="2380" w:type="dxa"/>
            <w:vAlign w:val="bottom"/>
            <w:shd w:val="clear" w:color="auto" w:fill="F5F5F5"/>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309,694</w:t>
            </w:r>
          </w:p>
        </w:tc>
      </w:tr>
      <w:tr>
        <w:trPr>
          <w:trHeight w:val="68"/>
        </w:trPr>
        <w:tc>
          <w:tcPr>
            <w:tcW w:w="3540" w:type="dxa"/>
            <w:vAlign w:val="bottom"/>
            <w:shd w:val="clear" w:color="auto" w:fill="F5F5F5"/>
          </w:tcPr>
          <w:p>
            <w:pPr>
              <w:spacing w:after="0"/>
              <w:rPr>
                <w:sz w:val="5"/>
                <w:szCs w:val="5"/>
                <w:color w:val="auto"/>
              </w:rPr>
            </w:pPr>
          </w:p>
        </w:tc>
        <w:tc>
          <w:tcPr>
            <w:tcW w:w="3160" w:type="dxa"/>
            <w:vAlign w:val="bottom"/>
            <w:shd w:val="clear" w:color="auto" w:fill="F5F5F5"/>
          </w:tcPr>
          <w:p>
            <w:pPr>
              <w:spacing w:after="0"/>
              <w:rPr>
                <w:sz w:val="5"/>
                <w:szCs w:val="5"/>
                <w:color w:val="auto"/>
              </w:rPr>
            </w:pPr>
          </w:p>
        </w:tc>
        <w:tc>
          <w:tcPr>
            <w:tcW w:w="2380" w:type="dxa"/>
            <w:vAlign w:val="bottom"/>
            <w:shd w:val="clear" w:color="auto" w:fill="F5F5F5"/>
          </w:tcPr>
          <w:p>
            <w:pPr>
              <w:spacing w:after="0"/>
              <w:rPr>
                <w:sz w:val="5"/>
                <w:szCs w:val="5"/>
                <w:color w:val="auto"/>
              </w:rPr>
            </w:pPr>
          </w:p>
        </w:tc>
        <w:tc>
          <w:tcPr>
            <w:tcW w:w="2160" w:type="dxa"/>
            <w:vAlign w:val="bottom"/>
            <w:shd w:val="clear" w:color="auto" w:fill="F5F5F5"/>
          </w:tcPr>
          <w:p>
            <w:pPr>
              <w:spacing w:after="0"/>
              <w:rPr>
                <w:sz w:val="5"/>
                <w:szCs w:val="5"/>
                <w:color w:val="auto"/>
              </w:rPr>
            </w:pPr>
          </w:p>
        </w:tc>
      </w:tr>
      <w:tr>
        <w:trPr>
          <w:trHeight w:val="377"/>
        </w:trPr>
        <w:tc>
          <w:tcPr>
            <w:tcW w:w="3540" w:type="dxa"/>
            <w:vAlign w:val="bottom"/>
          </w:tcPr>
          <w:p>
            <w:pPr>
              <w:ind w:left="140"/>
              <w:spacing w:after="0"/>
              <w:rPr>
                <w:sz w:val="20"/>
                <w:szCs w:val="20"/>
                <w:color w:val="auto"/>
              </w:rPr>
            </w:pPr>
            <w:r>
              <w:rPr>
                <w:rFonts w:ascii="Arial" w:cs="Arial" w:eastAsia="Arial" w:hAnsi="Arial"/>
                <w:sz w:val="14"/>
                <w:szCs w:val="14"/>
                <w:b w:val="1"/>
                <w:bCs w:val="1"/>
                <w:color w:val="005388"/>
              </w:rPr>
              <w:t>Steven L. Scheid</w:t>
            </w:r>
            <w:r>
              <w:rPr>
                <w:rFonts w:ascii="Arial" w:cs="Arial" w:eastAsia="Arial" w:hAnsi="Arial"/>
                <w:sz w:val="18"/>
                <w:szCs w:val="18"/>
                <w:b w:val="1"/>
                <w:bCs w:val="1"/>
                <w:color w:val="005388"/>
                <w:vertAlign w:val="superscript"/>
              </w:rPr>
              <w:t>7</w:t>
            </w:r>
          </w:p>
        </w:tc>
        <w:tc>
          <w:tcPr>
            <w:tcW w:w="3160" w:type="dxa"/>
            <w:vAlign w:val="bottom"/>
          </w:tcPr>
          <w:p>
            <w:pPr>
              <w:jc w:val="right"/>
              <w:spacing w:after="0"/>
              <w:rPr>
                <w:sz w:val="20"/>
                <w:szCs w:val="20"/>
                <w:color w:val="auto"/>
              </w:rPr>
            </w:pPr>
            <w:r>
              <w:rPr>
                <w:rFonts w:ascii="Arial" w:cs="Arial" w:eastAsia="Arial" w:hAnsi="Arial"/>
                <w:sz w:val="14"/>
                <w:szCs w:val="14"/>
                <w:color w:val="auto"/>
              </w:rPr>
              <w:t>186,209</w:t>
            </w:r>
          </w:p>
        </w:tc>
        <w:tc>
          <w:tcPr>
            <w:tcW w:w="2380" w:type="dxa"/>
            <w:vAlign w:val="bottom"/>
          </w:tcPr>
          <w:p>
            <w:pPr>
              <w:jc w:val="right"/>
              <w:ind w:right="308"/>
              <w:spacing w:after="0"/>
              <w:rPr>
                <w:sz w:val="20"/>
                <w:szCs w:val="20"/>
                <w:color w:val="auto"/>
              </w:rPr>
            </w:pPr>
            <w:r>
              <w:rPr>
                <w:rFonts w:ascii="Arial" w:cs="Arial" w:eastAsia="Arial" w:hAnsi="Arial"/>
                <w:sz w:val="14"/>
                <w:szCs w:val="14"/>
                <w:color w:val="auto"/>
              </w:rPr>
              <w:t>169,969</w:t>
            </w:r>
          </w:p>
        </w:tc>
        <w:tc>
          <w:tcPr>
            <w:tcW w:w="2160" w:type="dxa"/>
            <w:vAlign w:val="bottom"/>
          </w:tcPr>
          <w:p>
            <w:pPr>
              <w:jc w:val="right"/>
              <w:ind w:right="48"/>
              <w:spacing w:after="0"/>
              <w:rPr>
                <w:sz w:val="20"/>
                <w:szCs w:val="20"/>
                <w:color w:val="auto"/>
              </w:rPr>
            </w:pPr>
            <w:r>
              <w:rPr>
                <w:rFonts w:ascii="Arial" w:cs="Arial" w:eastAsia="Arial" w:hAnsi="Arial"/>
                <w:sz w:val="14"/>
                <w:szCs w:val="14"/>
                <w:color w:val="auto"/>
              </w:rPr>
              <w:t>356,178</w:t>
            </w:r>
          </w:p>
        </w:tc>
      </w:tr>
      <w:tr>
        <w:trPr>
          <w:trHeight w:val="68"/>
        </w:trPr>
        <w:tc>
          <w:tcPr>
            <w:tcW w:w="3540" w:type="dxa"/>
            <w:vAlign w:val="bottom"/>
            <w:tcBorders>
              <w:bottom w:val="single" w:sz="8" w:color="DE762B"/>
            </w:tcBorders>
          </w:tcPr>
          <w:p>
            <w:pPr>
              <w:spacing w:after="0"/>
              <w:rPr>
                <w:sz w:val="5"/>
                <w:szCs w:val="5"/>
                <w:color w:val="auto"/>
              </w:rPr>
            </w:pPr>
          </w:p>
        </w:tc>
        <w:tc>
          <w:tcPr>
            <w:tcW w:w="3160" w:type="dxa"/>
            <w:vAlign w:val="bottom"/>
            <w:tcBorders>
              <w:bottom w:val="single" w:sz="8" w:color="DE762B"/>
            </w:tcBorders>
          </w:tcPr>
          <w:p>
            <w:pPr>
              <w:spacing w:after="0"/>
              <w:rPr>
                <w:sz w:val="5"/>
                <w:szCs w:val="5"/>
                <w:color w:val="auto"/>
              </w:rPr>
            </w:pPr>
          </w:p>
        </w:tc>
        <w:tc>
          <w:tcPr>
            <w:tcW w:w="2380" w:type="dxa"/>
            <w:vAlign w:val="bottom"/>
            <w:tcBorders>
              <w:bottom w:val="single" w:sz="8" w:color="DE762B"/>
            </w:tcBorders>
          </w:tcPr>
          <w:p>
            <w:pPr>
              <w:spacing w:after="0"/>
              <w:rPr>
                <w:sz w:val="5"/>
                <w:szCs w:val="5"/>
                <w:color w:val="auto"/>
              </w:rPr>
            </w:pPr>
          </w:p>
        </w:tc>
        <w:tc>
          <w:tcPr>
            <w:tcW w:w="2160" w:type="dxa"/>
            <w:vAlign w:val="bottom"/>
            <w:tcBorders>
              <w:bottom w:val="single" w:sz="8" w:color="DE762B"/>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5521325</wp:posOffset>
            </wp:positionH>
            <wp:positionV relativeFrom="paragraph">
              <wp:posOffset>-2283460</wp:posOffset>
            </wp:positionV>
            <wp:extent cx="33655" cy="2288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2288540"/>
                    </a:xfrm>
                    <a:prstGeom prst="rect">
                      <a:avLst/>
                    </a:prstGeom>
                    <a:noFill/>
                  </pic:spPr>
                </pic:pic>
              </a:graphicData>
            </a:graphic>
          </wp:anchor>
        </w:drawing>
        <w:drawing>
          <wp:anchor simplePos="0" relativeHeight="251657728" behindDoc="1" locked="0" layoutInCell="0" allowOverlap="1">
            <wp:simplePos x="0" y="0"/>
            <wp:positionH relativeFrom="column">
              <wp:posOffset>4244340</wp:posOffset>
            </wp:positionH>
            <wp:positionV relativeFrom="paragraph">
              <wp:posOffset>-2283460</wp:posOffset>
            </wp:positionV>
            <wp:extent cx="34290" cy="22885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2288540"/>
                    </a:xfrm>
                    <a:prstGeom prst="rect">
                      <a:avLst/>
                    </a:prstGeom>
                    <a:noFill/>
                  </pic:spPr>
                </pic:pic>
              </a:graphicData>
            </a:graphic>
          </wp:anchor>
        </w:drawing>
        <w:drawing>
          <wp:anchor simplePos="0" relativeHeight="251657728" behindDoc="1" locked="0" layoutInCell="0" allowOverlap="1">
            <wp:simplePos x="0" y="0"/>
            <wp:positionH relativeFrom="column">
              <wp:posOffset>2229485</wp:posOffset>
            </wp:positionH>
            <wp:positionV relativeFrom="paragraph">
              <wp:posOffset>-2283460</wp:posOffset>
            </wp:positionV>
            <wp:extent cx="34290" cy="22885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2288540"/>
                    </a:xfrm>
                    <a:prstGeom prst="rect">
                      <a:avLst/>
                    </a:prstGeom>
                    <a:noFill/>
                  </pic:spPr>
                </pic:pic>
              </a:graphicData>
            </a:graphic>
          </wp:anchor>
        </w:drawing>
      </w:r>
    </w:p>
    <w:p>
      <w:pPr>
        <w:spacing w:after="0" w:line="151" w:lineRule="exact"/>
        <w:rPr>
          <w:sz w:val="20"/>
          <w:szCs w:val="20"/>
          <w:color w:val="auto"/>
        </w:rPr>
      </w:pPr>
    </w:p>
    <w:p>
      <w:pPr>
        <w:ind w:left="240" w:hanging="232"/>
        <w:spacing w:after="0"/>
        <w:tabs>
          <w:tab w:leader="none" w:pos="240"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Amounts reflect the cash retainers we paid to our non-employee directors in 2025, including increased cash retainer amounts effective as of May 8, 2025.</w:t>
      </w:r>
    </w:p>
    <w:p>
      <w:pPr>
        <w:spacing w:after="0" w:line="66" w:lineRule="exact"/>
        <w:rPr>
          <w:rFonts w:ascii="Arial" w:cs="Arial" w:eastAsia="Arial" w:hAnsi="Arial"/>
          <w:sz w:val="13"/>
          <w:szCs w:val="13"/>
          <w:color w:val="6D6D6D"/>
        </w:rPr>
      </w:pPr>
    </w:p>
    <w:p>
      <w:pPr>
        <w:jc w:val="both"/>
        <w:ind w:left="260" w:hanging="252"/>
        <w:spacing w:after="0" w:line="247" w:lineRule="auto"/>
        <w:tabs>
          <w:tab w:leader="none" w:pos="257"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Amounts in this column represent the grant date fair value of the RSUs granted to our non-employee directors in fiscal year 2025, calculated in accordance with FASB ASC Topic 718 Compensation-Stock Compensation (ASC Topic 718). See Note 10, "</w:t>
      </w:r>
      <w:r>
        <w:rPr>
          <w:rFonts w:ascii="Arial" w:cs="Arial" w:eastAsia="Arial" w:hAnsi="Arial"/>
          <w:sz w:val="13"/>
          <w:szCs w:val="13"/>
          <w:i w:val="1"/>
          <w:iCs w:val="1"/>
          <w:color w:val="6D6D6D"/>
        </w:rPr>
        <w:t>Share-Based Compensation</w:t>
      </w:r>
      <w:r>
        <w:rPr>
          <w:rFonts w:ascii="Arial" w:cs="Arial" w:eastAsia="Arial" w:hAnsi="Arial"/>
          <w:sz w:val="13"/>
          <w:szCs w:val="13"/>
          <w:color w:val="6D6D6D"/>
        </w:rPr>
        <w:t>" of our consolidated financial statements filed with the SEC on Form 10-K for the fiscal year ended December 31, 2025 for an explanation of the assumptions made in valuing these awards. As of December 31, 2025, each of Mses. Huskins, McCreary and Muehlhauser and Messrs. Embler, Erickson, Montgomery and Scheid held 4,439 unvested RSUs.</w:t>
      </w:r>
    </w:p>
    <w:p>
      <w:pPr>
        <w:spacing w:after="0" w:line="32" w:lineRule="exact"/>
        <w:rPr>
          <w:rFonts w:ascii="Arial" w:cs="Arial" w:eastAsia="Arial" w:hAnsi="Arial"/>
          <w:sz w:val="13"/>
          <w:szCs w:val="13"/>
          <w:color w:val="6D6D6D"/>
        </w:rPr>
      </w:pPr>
    </w:p>
    <w:p>
      <w:pPr>
        <w:ind w:left="240" w:hanging="232"/>
        <w:spacing w:after="0"/>
        <w:tabs>
          <w:tab w:leader="none" w:pos="240"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Ms. Agrawal did not earn any fees in 2025 as she joined the Board in February 2026.</w:t>
      </w:r>
    </w:p>
    <w:p>
      <w:pPr>
        <w:spacing w:after="0" w:line="66" w:lineRule="exact"/>
        <w:rPr>
          <w:rFonts w:ascii="Arial" w:cs="Arial" w:eastAsia="Arial" w:hAnsi="Arial"/>
          <w:sz w:val="13"/>
          <w:szCs w:val="13"/>
          <w:color w:val="6D6D6D"/>
        </w:rPr>
      </w:pPr>
    </w:p>
    <w:p>
      <w:pPr>
        <w:ind w:left="240" w:hanging="232"/>
        <w:spacing w:after="0"/>
        <w:tabs>
          <w:tab w:leader="none" w:pos="240"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Fees earned include additional cash retainer (in the prorated amount of $31,484) earned in 2025 by Mr. Embler as the chair of the Audit Committee.</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Fees earned include additional cash retainer (in the prorated amount of $23,242) earned in 2025 by Ms. McCreary as chair of the Governance and Nominating Committee.</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Fees earned include additional cash retainer (in the amount of $23,242) earned in 2025 by Ms. Muehlhauser as chair of the Risk Committee.</w:t>
      </w:r>
    </w:p>
    <w:p>
      <w:pPr>
        <w:spacing w:after="0" w:line="53" w:lineRule="exact"/>
        <w:rPr>
          <w:rFonts w:ascii="Arial" w:cs="Arial" w:eastAsia="Arial" w:hAnsi="Arial"/>
          <w:sz w:val="13"/>
          <w:szCs w:val="13"/>
          <w:color w:val="6D6D6D"/>
        </w:rPr>
      </w:pPr>
    </w:p>
    <w:p>
      <w:pPr>
        <w:ind w:left="260" w:right="780" w:hanging="252"/>
        <w:spacing w:after="0" w:line="264" w:lineRule="auto"/>
        <w:tabs>
          <w:tab w:leader="none" w:pos="257" w:val="left"/>
        </w:tabs>
        <w:numPr>
          <w:ilvl w:val="0"/>
          <w:numId w:val="17"/>
        </w:numPr>
        <w:rPr>
          <w:rFonts w:ascii="Arial" w:cs="Arial" w:eastAsia="Arial" w:hAnsi="Arial"/>
          <w:sz w:val="13"/>
          <w:szCs w:val="13"/>
          <w:color w:val="6D6D6D"/>
        </w:rPr>
      </w:pPr>
      <w:r>
        <w:rPr>
          <w:rFonts w:ascii="Arial" w:cs="Arial" w:eastAsia="Arial" w:hAnsi="Arial"/>
          <w:sz w:val="13"/>
          <w:szCs w:val="13"/>
          <w:color w:val="6D6D6D"/>
        </w:rPr>
        <w:t>Fees earned include additional cash retainers (in the prorated amounts of $46,484 and $23,242) earned in 2025 by Mr. Scheid as the Lead Independent Director and as the chair of the Compensation Committee, respectively.</w:t>
      </w:r>
    </w:p>
    <w:p>
      <w:pPr>
        <w:spacing w:after="0" w:line="292"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19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Minimum Stock Ownership and Holding Period (Directors)</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has adopted a written Stock Ownership Policy applicable to the Company's executive officers and directors (other than any non-employee director who serves on the Board in fulfillment of his or her employment obligations to a non-affiliate of the Company and is required to transfer all or a portion of their equity awards granted by the Company to their employer). None of our directors is currently serving on the Board in fulfillment of employment obligations to a non-affiliate of the Company.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shd w:val="clear" w:color="auto" w:fill="0C2940"/>
          </w:tcPr>
          <w:p>
            <w:pPr>
              <w:jc w:val="center"/>
              <w:ind w:left="148"/>
              <w:spacing w:after="0"/>
              <w:rPr>
                <w:sz w:val="20"/>
                <w:szCs w:val="20"/>
                <w:color w:val="auto"/>
              </w:rPr>
            </w:pPr>
            <w:r>
              <w:rPr>
                <w:rFonts w:ascii="Arial" w:cs="Arial" w:eastAsia="Arial" w:hAnsi="Arial"/>
                <w:sz w:val="14"/>
                <w:szCs w:val="14"/>
                <w:color w:val="FFFFFF"/>
              </w:rPr>
              <w:t>TITLE</w:t>
            </w:r>
          </w:p>
        </w:tc>
        <w:tc>
          <w:tcPr>
            <w:tcW w:w="5820" w:type="dxa"/>
            <w:vAlign w:val="bottom"/>
            <w:shd w:val="clear" w:color="auto" w:fill="0C2940"/>
          </w:tcPr>
          <w:p>
            <w:pPr>
              <w:jc w:val="center"/>
              <w:ind w:left="128"/>
              <w:spacing w:after="0"/>
              <w:rPr>
                <w:sz w:val="20"/>
                <w:szCs w:val="20"/>
                <w:color w:val="auto"/>
              </w:rPr>
            </w:pPr>
            <w:r>
              <w:rPr>
                <w:rFonts w:ascii="Arial" w:cs="Arial" w:eastAsia="Arial" w:hAnsi="Arial"/>
                <w:sz w:val="14"/>
                <w:szCs w:val="14"/>
                <w:color w:val="FFFFFF"/>
              </w:rPr>
              <w:t>STOCK OWNERSHIP GUIDELINES</w:t>
            </w:r>
          </w:p>
        </w:tc>
      </w:tr>
      <w:tr>
        <w:trPr>
          <w:trHeight w:val="208"/>
        </w:trPr>
        <w:tc>
          <w:tcPr>
            <w:tcW w:w="5420" w:type="dxa"/>
            <w:vAlign w:val="bottom"/>
          </w:tcPr>
          <w:p>
            <w:pPr>
              <w:jc w:val="center"/>
              <w:ind w:left="128"/>
              <w:spacing w:after="0"/>
              <w:rPr>
                <w:sz w:val="20"/>
                <w:szCs w:val="20"/>
                <w:color w:val="auto"/>
              </w:rPr>
            </w:pPr>
            <w:r>
              <w:rPr>
                <w:rFonts w:ascii="Arial" w:cs="Arial" w:eastAsia="Arial" w:hAnsi="Arial"/>
                <w:sz w:val="14"/>
                <w:szCs w:val="14"/>
                <w:color w:val="auto"/>
              </w:rPr>
              <w:t>Non-Employee Director</w:t>
            </w:r>
          </w:p>
        </w:tc>
        <w:tc>
          <w:tcPr>
            <w:tcW w:w="5820" w:type="dxa"/>
            <w:vAlign w:val="bottom"/>
          </w:tcPr>
          <w:p>
            <w:pPr>
              <w:jc w:val="center"/>
              <w:ind w:left="148"/>
              <w:spacing w:after="0"/>
              <w:rPr>
                <w:sz w:val="20"/>
                <w:szCs w:val="20"/>
                <w:color w:val="auto"/>
              </w:rPr>
            </w:pPr>
            <w:r>
              <w:rPr>
                <w:rFonts w:ascii="Arial" w:cs="Arial" w:eastAsia="Arial" w:hAnsi="Arial"/>
                <w:sz w:val="14"/>
                <w:szCs w:val="14"/>
                <w:color w:val="auto"/>
              </w:rPr>
              <w:t>5.0 x Annual Cash Retainer</w:t>
            </w:r>
          </w:p>
        </w:tc>
      </w:tr>
      <w:tr>
        <w:trPr>
          <w:trHeight w:val="76"/>
        </w:trPr>
        <w:tc>
          <w:tcPr>
            <w:tcW w:w="5420" w:type="dxa"/>
            <w:vAlign w:val="bottom"/>
            <w:tcBorders>
              <w:bottom w:val="single" w:sz="8" w:color="DE762B"/>
            </w:tcBorders>
          </w:tcPr>
          <w:p>
            <w:pPr>
              <w:spacing w:after="0"/>
              <w:rPr>
                <w:sz w:val="6"/>
                <w:szCs w:val="6"/>
                <w:color w:val="auto"/>
              </w:rPr>
            </w:pPr>
          </w:p>
        </w:tc>
        <w:tc>
          <w:tcPr>
            <w:tcW w:w="5820" w:type="dxa"/>
            <w:vAlign w:val="bottom"/>
            <w:tcBorders>
              <w:bottom w:val="single" w:sz="8" w:color="DE762B"/>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-200660</wp:posOffset>
            </wp:positionV>
            <wp:extent cx="33655" cy="2051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205105"/>
                    </a:xfrm>
                    <a:prstGeom prst="rect">
                      <a:avLst/>
                    </a:prstGeom>
                    <a:noFill/>
                  </pic:spPr>
                </pic:pic>
              </a:graphicData>
            </a:graphic>
          </wp:anchor>
        </w:drawing>
      </w:r>
    </w:p>
    <w:p>
      <w:pPr>
        <w:spacing w:after="0" w:line="2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director is required to hold 50% of shares delivered by the Company upon vesting or exercise of equity awards granted to them under the Company's equity plans until the applicable stock ownership threshold has been met. As of December 31, 2025, each of our directors had met the stock ownership requirement. Ms. Agrawal joined the Board in February 2026 and will have until February 2031 to meet the stock ownership requirement.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C2940"/>
        </w:rPr>
        <w:t>STOCKHOLDER VOTE REQUIRED</w:t>
      </w:r>
    </w:p>
    <w:p>
      <w:pPr>
        <w:spacing w:after="0" w:line="5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Directors are elected by a plurality of the votes cast. Accordingly, the nine director nominees that receive the greatest number of votes at the Annual Meeting will be elected. In an uncontested election of directors, a director will be elected if he or she receives at least one vote.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45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23" w:lineRule="exact"/>
        <w:rPr>
          <w:sz w:val="20"/>
          <w:szCs w:val="20"/>
          <w:color w:val="auto"/>
        </w:rPr>
      </w:pPr>
    </w:p>
    <w:p>
      <w:pPr>
        <w:ind w:left="240"/>
        <w:spacing w:after="0"/>
        <w:rPr>
          <w:sz w:val="20"/>
          <w:szCs w:val="20"/>
          <w:color w:val="auto"/>
        </w:rPr>
      </w:pPr>
      <w:r>
        <w:rPr>
          <w:rFonts w:ascii="Arial" w:cs="Arial" w:eastAsia="Arial" w:hAnsi="Arial"/>
          <w:sz w:val="16"/>
          <w:szCs w:val="16"/>
          <w:color w:val="0C2940"/>
        </w:rPr>
        <w:t xml:space="preserve">The Board unanimously recommends that you vote </w:t>
      </w:r>
      <w:r>
        <w:rPr>
          <w:rFonts w:ascii="Arial" w:cs="Arial" w:eastAsia="Arial" w:hAnsi="Arial"/>
          <w:sz w:val="16"/>
          <w:szCs w:val="16"/>
          <w:color w:val="00B8FC"/>
        </w:rPr>
        <w:t>FOR</w:t>
      </w:r>
      <w:r>
        <w:rPr>
          <w:rFonts w:ascii="Arial" w:cs="Arial" w:eastAsia="Arial" w:hAnsi="Arial"/>
          <w:sz w:val="16"/>
          <w:szCs w:val="16"/>
          <w:color w:val="0C2940"/>
        </w:rPr>
        <w:t xml:space="preserve"> each of the director nominees.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20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CORPORATE GOVERNANCE AND BOARD MATTERS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led by our Executive Chairman (whose role is separate from our CEO and Lead Independent Director), oversees the management of the Company and our business. The Board selects our CEO and, in conjunction with our CEO, selects the rest of our senior management team, which is responsible for operating our business.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directors are expected to regularly attend meetings of the Board and its committees of which they are members. Our policy is: (i) Board members must attend at least 75% of all Board and committee meetings held during a calendar year, and (ii) all Board members are expected to attend our annual stockholder meeting. All of our directors met our policy in 2025.</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Board met eight times during 2025. In 2025, all of our directors attended 100% of the meetings of the Board. All of our directors serving in 2025 attended 100% of the meetings of committees of the Board on which they served. All of our directors attended our annual stockholder meeting in 2025.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BOARD LEADERSHIP</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Board believes that at the current time, having a separate Executive Chairman, CEO, and engaged Lead Independent Director allows for the most effective alignment of corporate governance with stockholder interests.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5388"/>
        </w:rPr>
        <w:t>Our Executive Chairman and Our CEO Roles Are Separated</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part of our ongoing commitment to corporate governance best practices, the Board periodically considers the Company's leadership structure and adapts the Company's leadership structure as circumstances warrant. We believe that separating the roles of CEO and Chairman of the Board is appropriate and in the best interests of the Company and its stockholders at this time.</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Board believes separating the Executive Chairman role and CEO role:</w:t>
      </w:r>
    </w:p>
    <w:p>
      <w:pPr>
        <w:spacing w:after="0" w:line="12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6"/>
          <w:szCs w:val="16"/>
          <w:color w:val="005388"/>
        </w:rPr>
      </w:pPr>
      <w:r>
        <w:rPr>
          <w:rFonts w:ascii="Arial" w:cs="Arial" w:eastAsia="Arial" w:hAnsi="Arial"/>
          <w:sz w:val="16"/>
          <w:szCs w:val="16"/>
          <w:color w:val="auto"/>
        </w:rPr>
        <w:t>leverages our Executive Chairman's leadership, financial, governance and regulatory experience; and</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18"/>
        </w:numPr>
        <w:rPr>
          <w:rFonts w:ascii="Arial" w:cs="Arial" w:eastAsia="Arial" w:hAnsi="Arial"/>
          <w:sz w:val="16"/>
          <w:szCs w:val="16"/>
          <w:color w:val="005388"/>
        </w:rPr>
      </w:pPr>
      <w:r>
        <w:rPr>
          <w:rFonts w:ascii="Arial" w:cs="Arial" w:eastAsia="Arial" w:hAnsi="Arial"/>
          <w:sz w:val="16"/>
          <w:szCs w:val="16"/>
          <w:color w:val="auto"/>
        </w:rPr>
        <w:t>enhances the ability of the Company’s most senior leaders to engage with customers, regulators, government agencies, investors and other stakeholders.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Under this structure, Mr. Shuster is our Executive Chairman and Chairman of the Board. The Executive Chairman's responsibilities include:</w:t>
      </w:r>
    </w:p>
    <w:p>
      <w:pPr>
        <w:spacing w:after="0" w:line="127"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6"/>
          <w:szCs w:val="16"/>
          <w:color w:val="005388"/>
        </w:rPr>
      </w:pPr>
      <w:r>
        <w:rPr>
          <w:rFonts w:ascii="Arial" w:cs="Arial" w:eastAsia="Arial" w:hAnsi="Arial"/>
          <w:sz w:val="16"/>
          <w:szCs w:val="16"/>
          <w:color w:val="auto"/>
        </w:rPr>
        <w:t>managing the overall Board function;</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9"/>
        </w:numPr>
        <w:rPr>
          <w:rFonts w:ascii="Arial" w:cs="Arial" w:eastAsia="Arial" w:hAnsi="Arial"/>
          <w:sz w:val="16"/>
          <w:szCs w:val="16"/>
          <w:color w:val="005388"/>
        </w:rPr>
      </w:pPr>
      <w:r>
        <w:rPr>
          <w:rFonts w:ascii="Arial" w:cs="Arial" w:eastAsia="Arial" w:hAnsi="Arial"/>
          <w:sz w:val="16"/>
          <w:szCs w:val="16"/>
          <w:color w:val="auto"/>
        </w:rPr>
        <w:t>collaborating with the CEO to develop and implement the Company's strategic plan; and</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19"/>
        </w:numPr>
        <w:rPr>
          <w:rFonts w:ascii="Arial" w:cs="Arial" w:eastAsia="Arial" w:hAnsi="Arial"/>
          <w:sz w:val="16"/>
          <w:szCs w:val="16"/>
          <w:color w:val="005388"/>
        </w:rPr>
      </w:pPr>
      <w:r>
        <w:rPr>
          <w:rFonts w:ascii="Arial" w:cs="Arial" w:eastAsia="Arial" w:hAnsi="Arial"/>
          <w:sz w:val="16"/>
          <w:szCs w:val="16"/>
          <w:color w:val="auto"/>
        </w:rPr>
        <w:t>chairing Board meetings and serving as a mentor to the CEO.</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Mr. Pollitzer is our President and CEO, and a director. The CEO's responsibilities include:</w:t>
      </w:r>
    </w:p>
    <w:p>
      <w:pPr>
        <w:spacing w:after="0" w:line="127"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leading the executive team;</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leading the development and implementation of the Company's strategic plan;</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maintaining operational responsibilities for the Company;</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fostering open and transparent communication with stockholders, and actively engaging with them to understand their perspectives and concerns;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planning for the future leadership of the Company through succession planning;</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identifying, assessing and mitigating risks that could impact the Company; and</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0"/>
        </w:numPr>
        <w:rPr>
          <w:rFonts w:ascii="Arial" w:cs="Arial" w:eastAsia="Arial" w:hAnsi="Arial"/>
          <w:sz w:val="16"/>
          <w:szCs w:val="16"/>
          <w:color w:val="005388"/>
        </w:rPr>
      </w:pPr>
      <w:r>
        <w:rPr>
          <w:rFonts w:ascii="Arial" w:cs="Arial" w:eastAsia="Arial" w:hAnsi="Arial"/>
          <w:sz w:val="16"/>
          <w:szCs w:val="16"/>
          <w:color w:val="auto"/>
        </w:rPr>
        <w:t>executing strategic corporate initiatives.</w:t>
      </w:r>
    </w:p>
    <w:p>
      <w:pPr>
        <w:spacing w:after="0" w:line="200" w:lineRule="exact"/>
        <w:rPr>
          <w:sz w:val="20"/>
          <w:szCs w:val="20"/>
          <w:color w:val="auto"/>
        </w:rPr>
      </w:pPr>
    </w:p>
    <w:p>
      <w:pPr>
        <w:spacing w:after="0" w:line="395"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21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We Have a Lead Independent Director</w:t>
      </w:r>
    </w:p>
    <w:p>
      <w:pPr>
        <w:spacing w:after="0" w:line="7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Board believes that strong, independent board leadership is a critical aspect of effective corporate governance. Our Board established the position of Lead Independent Director to provide independent leadership. The Lead Independent Director is an independent director selected by the independent directors. Mr. Scheid has served as the Lead Independent Director since the position was established in May 2012. The Lead Independent Director's responsibilities include:</w:t>
      </w:r>
    </w:p>
    <w:p>
      <w:pPr>
        <w:spacing w:after="0" w:line="275" w:lineRule="exact"/>
        <w:rPr>
          <w:sz w:val="20"/>
          <w:szCs w:val="20"/>
          <w:color w:val="auto"/>
        </w:rPr>
      </w:pPr>
    </w:p>
    <w:p>
      <w:pPr>
        <w:ind w:left="260" w:hanging="252"/>
        <w:spacing w:after="0" w:line="286" w:lineRule="auto"/>
        <w:tabs>
          <w:tab w:leader="none" w:pos="222" w:val="left"/>
        </w:tabs>
        <w:numPr>
          <w:ilvl w:val="0"/>
          <w:numId w:val="21"/>
        </w:numPr>
        <w:rPr>
          <w:rFonts w:ascii="Arial" w:cs="Arial" w:eastAsia="Arial" w:hAnsi="Arial"/>
          <w:sz w:val="16"/>
          <w:szCs w:val="16"/>
          <w:color w:val="005388"/>
        </w:rPr>
      </w:pPr>
      <w:r>
        <w:rPr>
          <w:rFonts w:ascii="Arial" w:cs="Arial" w:eastAsia="Arial" w:hAnsi="Arial"/>
          <w:sz w:val="16"/>
          <w:szCs w:val="16"/>
          <w:color w:val="auto"/>
        </w:rPr>
        <w:t>acting as the primary contact between the Company and the independent directors, such as undertaking to meet or confer periodically with members of the Company's executive team regarding matters related to the business of the Company;</w:t>
      </w:r>
    </w:p>
    <w:p>
      <w:pPr>
        <w:spacing w:after="0" w:line="34" w:lineRule="exact"/>
        <w:rPr>
          <w:rFonts w:ascii="Arial" w:cs="Arial" w:eastAsia="Arial" w:hAnsi="Arial"/>
          <w:sz w:val="16"/>
          <w:szCs w:val="16"/>
          <w:color w:val="005388"/>
        </w:rPr>
      </w:pPr>
    </w:p>
    <w:p>
      <w:pPr>
        <w:ind w:left="220" w:hanging="212"/>
        <w:spacing w:after="0"/>
        <w:tabs>
          <w:tab w:leader="none" w:pos="220" w:val="left"/>
        </w:tabs>
        <w:numPr>
          <w:ilvl w:val="0"/>
          <w:numId w:val="21"/>
        </w:numPr>
        <w:rPr>
          <w:rFonts w:ascii="Arial" w:cs="Arial" w:eastAsia="Arial" w:hAnsi="Arial"/>
          <w:sz w:val="16"/>
          <w:szCs w:val="16"/>
          <w:color w:val="005388"/>
        </w:rPr>
      </w:pPr>
      <w:r>
        <w:rPr>
          <w:rFonts w:ascii="Arial" w:cs="Arial" w:eastAsia="Arial" w:hAnsi="Arial"/>
          <w:sz w:val="16"/>
          <w:szCs w:val="16"/>
          <w:color w:val="auto"/>
        </w:rPr>
        <w:t>assisting the Chairman of the Board, as necessary, with conducting Board meetings;</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1"/>
        </w:numPr>
        <w:rPr>
          <w:rFonts w:ascii="Arial" w:cs="Arial" w:eastAsia="Arial" w:hAnsi="Arial"/>
          <w:sz w:val="16"/>
          <w:szCs w:val="16"/>
          <w:color w:val="005388"/>
        </w:rPr>
      </w:pPr>
      <w:r>
        <w:rPr>
          <w:rFonts w:ascii="Arial" w:cs="Arial" w:eastAsia="Arial" w:hAnsi="Arial"/>
          <w:sz w:val="16"/>
          <w:szCs w:val="16"/>
          <w:color w:val="auto"/>
        </w:rPr>
        <w:t>assisting with preparation of agenda items for meetings of the Board and its Committees; and</w:t>
      </w:r>
    </w:p>
    <w:p>
      <w:pPr>
        <w:spacing w:after="0" w:line="99" w:lineRule="exact"/>
        <w:rPr>
          <w:rFonts w:ascii="Arial" w:cs="Arial" w:eastAsia="Arial" w:hAnsi="Arial"/>
          <w:sz w:val="16"/>
          <w:szCs w:val="16"/>
          <w:color w:val="005388"/>
        </w:rPr>
      </w:pPr>
    </w:p>
    <w:p>
      <w:pPr>
        <w:ind w:left="220" w:hanging="212"/>
        <w:spacing w:after="0"/>
        <w:tabs>
          <w:tab w:leader="none" w:pos="220" w:val="left"/>
        </w:tabs>
        <w:numPr>
          <w:ilvl w:val="0"/>
          <w:numId w:val="21"/>
        </w:numPr>
        <w:rPr>
          <w:rFonts w:ascii="Arial" w:cs="Arial" w:eastAsia="Arial" w:hAnsi="Arial"/>
          <w:sz w:val="16"/>
          <w:szCs w:val="16"/>
          <w:color w:val="005388"/>
        </w:rPr>
      </w:pPr>
      <w:r>
        <w:rPr>
          <w:rFonts w:ascii="Arial" w:cs="Arial" w:eastAsia="Arial" w:hAnsi="Arial"/>
          <w:sz w:val="16"/>
          <w:szCs w:val="16"/>
          <w:color w:val="auto"/>
        </w:rPr>
        <w:t>such other duties as the Board may from time to time assign to the Lead Independent Director.</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0C2940"/>
        </w:rPr>
        <w:t>BOARD COMMITTEES</w:t>
      </w:r>
    </w:p>
    <w:p>
      <w:pPr>
        <w:spacing w:after="0" w:line="5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 xml:space="preserve">The Board has four committees: Audit, Governance and Nominating, Risk and Compensation. Information on these committees, including their purposes, responsibilities and authorities, is provided below. Each of these committees is governed by a written charter available on our website at </w:t>
      </w:r>
      <w:r>
        <w:rPr>
          <w:rFonts w:ascii="Arial" w:cs="Arial" w:eastAsia="Arial" w:hAnsi="Arial"/>
          <w:sz w:val="16"/>
          <w:szCs w:val="16"/>
          <w:i w:val="1"/>
          <w:iCs w:val="1"/>
          <w:color w:val="0C2940"/>
        </w:rPr>
        <w:t>https://</w:t>
      </w:r>
      <w:r>
        <w:rPr>
          <w:rFonts w:ascii="Arial" w:cs="Arial" w:eastAsia="Arial" w:hAnsi="Arial"/>
          <w:sz w:val="16"/>
          <w:szCs w:val="16"/>
          <w:b w:val="1"/>
          <w:bCs w:val="1"/>
          <w:i w:val="1"/>
          <w:iCs w:val="1"/>
          <w:color w:val="000000"/>
        </w:rPr>
        <w:t>ir.nationalmi.com/governance.cfm</w:t>
      </w:r>
      <w:r>
        <w:rPr>
          <w:rFonts w:ascii="Arial" w:cs="Arial" w:eastAsia="Arial" w:hAnsi="Arial"/>
          <w:sz w:val="16"/>
          <w:szCs w:val="16"/>
          <w:color w:val="000000"/>
        </w:rPr>
        <w:t>, and we will send copies to any stockholder who submits a written request to our Corporate Secretary.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current composition of the Board's four committees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shd w:val="clear" w:color="auto" w:fill="0C2940"/>
          </w:tcPr>
          <w:p>
            <w:pPr>
              <w:spacing w:after="0"/>
              <w:rPr>
                <w:sz w:val="20"/>
                <w:szCs w:val="20"/>
                <w:color w:val="auto"/>
              </w:rPr>
            </w:pPr>
          </w:p>
        </w:tc>
        <w:tc>
          <w:tcPr>
            <w:tcW w:w="60" w:type="dxa"/>
            <w:vAlign w:val="bottom"/>
            <w:shd w:val="clear" w:color="auto" w:fill="0C2940"/>
          </w:tcPr>
          <w:p>
            <w:pPr>
              <w:spacing w:after="0"/>
              <w:rPr>
                <w:sz w:val="20"/>
                <w:szCs w:val="20"/>
                <w:color w:val="auto"/>
              </w:rPr>
            </w:pPr>
          </w:p>
        </w:tc>
        <w:tc>
          <w:tcPr>
            <w:tcW w:w="60" w:type="dxa"/>
            <w:vAlign w:val="bottom"/>
            <w:shd w:val="clear" w:color="auto" w:fill="0C2940"/>
          </w:tcPr>
          <w:p>
            <w:pPr>
              <w:spacing w:after="0"/>
              <w:rPr>
                <w:sz w:val="20"/>
                <w:szCs w:val="20"/>
                <w:color w:val="auto"/>
              </w:rPr>
            </w:pPr>
          </w:p>
        </w:tc>
        <w:tc>
          <w:tcPr>
            <w:tcW w:w="520" w:type="dxa"/>
            <w:vAlign w:val="bottom"/>
            <w:shd w:val="clear" w:color="auto" w:fill="0C2940"/>
          </w:tcPr>
          <w:p>
            <w:pPr>
              <w:spacing w:after="0"/>
              <w:rPr>
                <w:sz w:val="20"/>
                <w:szCs w:val="20"/>
                <w:color w:val="auto"/>
              </w:rPr>
            </w:pPr>
          </w:p>
        </w:tc>
        <w:tc>
          <w:tcPr>
            <w:tcW w:w="120" w:type="dxa"/>
            <w:vAlign w:val="bottom"/>
            <w:shd w:val="clear" w:color="auto" w:fill="0C2940"/>
          </w:tcPr>
          <w:p>
            <w:pPr>
              <w:spacing w:after="0"/>
              <w:rPr>
                <w:sz w:val="20"/>
                <w:szCs w:val="20"/>
                <w:color w:val="auto"/>
              </w:rPr>
            </w:pPr>
          </w:p>
        </w:tc>
        <w:tc>
          <w:tcPr>
            <w:tcW w:w="2000" w:type="dxa"/>
            <w:vAlign w:val="bottom"/>
            <w:shd w:val="clear" w:color="auto" w:fill="0C2940"/>
          </w:tcPr>
          <w:p>
            <w:pPr>
              <w:spacing w:after="0"/>
              <w:rPr>
                <w:sz w:val="20"/>
                <w:szCs w:val="20"/>
                <w:color w:val="auto"/>
              </w:rPr>
            </w:pPr>
          </w:p>
        </w:tc>
        <w:tc>
          <w:tcPr>
            <w:tcW w:w="980" w:type="dxa"/>
            <w:vAlign w:val="bottom"/>
            <w:shd w:val="clear" w:color="auto" w:fill="0C2940"/>
          </w:tcPr>
          <w:p>
            <w:pPr>
              <w:spacing w:after="0"/>
              <w:rPr>
                <w:sz w:val="20"/>
                <w:szCs w:val="20"/>
                <w:color w:val="auto"/>
              </w:rPr>
            </w:pPr>
          </w:p>
        </w:tc>
        <w:tc>
          <w:tcPr>
            <w:tcW w:w="120" w:type="dxa"/>
            <w:vAlign w:val="bottom"/>
            <w:shd w:val="clear" w:color="auto" w:fill="0C2940"/>
          </w:tcPr>
          <w:p>
            <w:pPr>
              <w:spacing w:after="0"/>
              <w:rPr>
                <w:sz w:val="20"/>
                <w:szCs w:val="20"/>
                <w:color w:val="auto"/>
              </w:rPr>
            </w:pPr>
          </w:p>
        </w:tc>
        <w:tc>
          <w:tcPr>
            <w:tcW w:w="900" w:type="dxa"/>
            <w:vAlign w:val="bottom"/>
            <w:shd w:val="clear" w:color="auto" w:fill="0C2940"/>
          </w:tcPr>
          <w:p>
            <w:pPr>
              <w:spacing w:after="0"/>
              <w:rPr>
                <w:sz w:val="20"/>
                <w:szCs w:val="20"/>
                <w:color w:val="auto"/>
              </w:rPr>
            </w:pPr>
          </w:p>
        </w:tc>
        <w:tc>
          <w:tcPr>
            <w:tcW w:w="2420" w:type="dxa"/>
            <w:vAlign w:val="bottom"/>
            <w:gridSpan w:val="3"/>
            <w:shd w:val="clear" w:color="auto" w:fill="0C2940"/>
          </w:tcPr>
          <w:p>
            <w:pPr>
              <w:jc w:val="center"/>
              <w:ind w:right="20"/>
              <w:spacing w:after="0"/>
              <w:rPr>
                <w:sz w:val="20"/>
                <w:szCs w:val="20"/>
                <w:color w:val="auto"/>
              </w:rPr>
            </w:pPr>
            <w:r>
              <w:rPr>
                <w:rFonts w:ascii="Arial" w:cs="Arial" w:eastAsia="Arial" w:hAnsi="Arial"/>
                <w:sz w:val="14"/>
                <w:szCs w:val="14"/>
                <w:color w:val="FFFFFF"/>
              </w:rPr>
              <w:t>GOVERNANCE AND</w:t>
            </w:r>
          </w:p>
        </w:tc>
        <w:tc>
          <w:tcPr>
            <w:tcW w:w="900" w:type="dxa"/>
            <w:vAlign w:val="bottom"/>
            <w:shd w:val="clear" w:color="auto" w:fill="0C2940"/>
          </w:tcPr>
          <w:p>
            <w:pPr>
              <w:spacing w:after="0"/>
              <w:rPr>
                <w:sz w:val="20"/>
                <w:szCs w:val="20"/>
                <w:color w:val="auto"/>
              </w:rPr>
            </w:pPr>
          </w:p>
        </w:tc>
        <w:tc>
          <w:tcPr>
            <w:tcW w:w="120" w:type="dxa"/>
            <w:vAlign w:val="bottom"/>
            <w:shd w:val="clear" w:color="auto" w:fill="0C2940"/>
          </w:tcPr>
          <w:p>
            <w:pPr>
              <w:spacing w:after="0"/>
              <w:rPr>
                <w:sz w:val="20"/>
                <w:szCs w:val="20"/>
                <w:color w:val="auto"/>
              </w:rPr>
            </w:pPr>
          </w:p>
        </w:tc>
        <w:tc>
          <w:tcPr>
            <w:tcW w:w="980" w:type="dxa"/>
            <w:vAlign w:val="bottom"/>
            <w:shd w:val="clear" w:color="auto" w:fill="0C2940"/>
          </w:tcPr>
          <w:p>
            <w:pPr>
              <w:spacing w:after="0"/>
              <w:rPr>
                <w:sz w:val="20"/>
                <w:szCs w:val="20"/>
                <w:color w:val="auto"/>
              </w:rPr>
            </w:pPr>
          </w:p>
        </w:tc>
        <w:tc>
          <w:tcPr>
            <w:tcW w:w="2040" w:type="dxa"/>
            <w:vAlign w:val="bottom"/>
            <w:gridSpan w:val="3"/>
            <w:shd w:val="clear" w:color="auto" w:fill="0C2940"/>
          </w:tcPr>
          <w:p>
            <w:pPr>
              <w:jc w:val="center"/>
              <w:ind w:right="40"/>
              <w:spacing w:after="0"/>
              <w:rPr>
                <w:sz w:val="20"/>
                <w:szCs w:val="20"/>
                <w:color w:val="auto"/>
              </w:rPr>
            </w:pPr>
            <w:r>
              <w:rPr>
                <w:rFonts w:ascii="Arial" w:cs="Arial" w:eastAsia="Arial" w:hAnsi="Arial"/>
                <w:sz w:val="14"/>
                <w:szCs w:val="14"/>
                <w:color w:val="FFFFFF"/>
              </w:rPr>
              <w:t>COMPENSATION</w:t>
            </w:r>
          </w:p>
        </w:tc>
        <w:tc>
          <w:tcPr>
            <w:tcW w:w="0" w:type="dxa"/>
            <w:vAlign w:val="bottom"/>
          </w:tcPr>
          <w:p>
            <w:pPr>
              <w:spacing w:after="0"/>
              <w:rPr>
                <w:sz w:val="1"/>
                <w:szCs w:val="1"/>
                <w:color w:val="auto"/>
              </w:rPr>
            </w:pPr>
          </w:p>
        </w:tc>
      </w:tr>
      <w:tr>
        <w:trPr>
          <w:trHeight w:val="204"/>
        </w:trPr>
        <w:tc>
          <w:tcPr>
            <w:tcW w:w="20" w:type="dxa"/>
            <w:vAlign w:val="bottom"/>
            <w:shd w:val="clear" w:color="auto" w:fill="0C2940"/>
          </w:tcPr>
          <w:p>
            <w:pPr>
              <w:spacing w:after="0"/>
              <w:rPr>
                <w:sz w:val="17"/>
                <w:szCs w:val="17"/>
                <w:color w:val="auto"/>
              </w:rPr>
            </w:pPr>
          </w:p>
        </w:tc>
        <w:tc>
          <w:tcPr>
            <w:tcW w:w="60" w:type="dxa"/>
            <w:vAlign w:val="bottom"/>
            <w:shd w:val="clear" w:color="auto" w:fill="0C2940"/>
          </w:tcPr>
          <w:p>
            <w:pPr>
              <w:spacing w:after="0"/>
              <w:rPr>
                <w:sz w:val="17"/>
                <w:szCs w:val="17"/>
                <w:color w:val="auto"/>
              </w:rPr>
            </w:pPr>
          </w:p>
        </w:tc>
        <w:tc>
          <w:tcPr>
            <w:tcW w:w="2700" w:type="dxa"/>
            <w:vAlign w:val="bottom"/>
            <w:gridSpan w:val="4"/>
            <w:shd w:val="clear" w:color="auto" w:fill="0C2940"/>
          </w:tcPr>
          <w:p>
            <w:pPr>
              <w:ind w:left="20"/>
              <w:spacing w:after="0"/>
              <w:rPr>
                <w:sz w:val="20"/>
                <w:szCs w:val="20"/>
                <w:color w:val="auto"/>
              </w:rPr>
            </w:pPr>
            <w:r>
              <w:rPr>
                <w:rFonts w:ascii="Arial" w:cs="Arial" w:eastAsia="Arial" w:hAnsi="Arial"/>
                <w:sz w:val="14"/>
                <w:szCs w:val="14"/>
                <w:color w:val="FFFFFF"/>
              </w:rPr>
              <w:t>DIRECTOR NAME</w:t>
            </w:r>
          </w:p>
        </w:tc>
        <w:tc>
          <w:tcPr>
            <w:tcW w:w="2000" w:type="dxa"/>
            <w:vAlign w:val="bottom"/>
            <w:gridSpan w:val="3"/>
            <w:shd w:val="clear" w:color="auto" w:fill="0C2940"/>
          </w:tcPr>
          <w:p>
            <w:pPr>
              <w:jc w:val="center"/>
              <w:spacing w:after="0"/>
              <w:rPr>
                <w:sz w:val="20"/>
                <w:szCs w:val="20"/>
                <w:color w:val="auto"/>
              </w:rPr>
            </w:pPr>
            <w:r>
              <w:rPr>
                <w:rFonts w:ascii="Arial" w:cs="Arial" w:eastAsia="Arial" w:hAnsi="Arial"/>
                <w:sz w:val="14"/>
                <w:szCs w:val="14"/>
                <w:color w:val="FFFFFF"/>
              </w:rPr>
              <w:t>AUDIT COMMITTEE</w:t>
            </w:r>
          </w:p>
        </w:tc>
        <w:tc>
          <w:tcPr>
            <w:tcW w:w="2420" w:type="dxa"/>
            <w:vAlign w:val="bottom"/>
            <w:gridSpan w:val="3"/>
            <w:shd w:val="clear" w:color="auto" w:fill="0C2940"/>
          </w:tcPr>
          <w:p>
            <w:pPr>
              <w:jc w:val="center"/>
              <w:ind w:right="40"/>
              <w:spacing w:after="0"/>
              <w:rPr>
                <w:sz w:val="20"/>
                <w:szCs w:val="20"/>
                <w:color w:val="auto"/>
              </w:rPr>
            </w:pPr>
            <w:r>
              <w:rPr>
                <w:rFonts w:ascii="Arial" w:cs="Arial" w:eastAsia="Arial" w:hAnsi="Arial"/>
                <w:sz w:val="14"/>
                <w:szCs w:val="14"/>
                <w:color w:val="FFFFFF"/>
              </w:rPr>
              <w:t>NOMINATING COMMITTEE</w:t>
            </w:r>
          </w:p>
        </w:tc>
        <w:tc>
          <w:tcPr>
            <w:tcW w:w="2000" w:type="dxa"/>
            <w:vAlign w:val="bottom"/>
            <w:gridSpan w:val="3"/>
            <w:shd w:val="clear" w:color="auto" w:fill="0C2940"/>
          </w:tcPr>
          <w:p>
            <w:pPr>
              <w:jc w:val="center"/>
              <w:ind w:right="120"/>
              <w:spacing w:after="0"/>
              <w:rPr>
                <w:sz w:val="20"/>
                <w:szCs w:val="20"/>
                <w:color w:val="auto"/>
              </w:rPr>
            </w:pPr>
            <w:r>
              <w:rPr>
                <w:rFonts w:ascii="Arial" w:cs="Arial" w:eastAsia="Arial" w:hAnsi="Arial"/>
                <w:sz w:val="14"/>
                <w:szCs w:val="14"/>
                <w:color w:val="FFFFFF"/>
              </w:rPr>
              <w:t>RISK COMMITTEE</w:t>
            </w:r>
          </w:p>
        </w:tc>
        <w:tc>
          <w:tcPr>
            <w:tcW w:w="2040" w:type="dxa"/>
            <w:vAlign w:val="bottom"/>
            <w:gridSpan w:val="3"/>
            <w:shd w:val="clear" w:color="auto" w:fill="0C2940"/>
          </w:tcPr>
          <w:p>
            <w:pPr>
              <w:jc w:val="center"/>
              <w:ind w:right="20"/>
              <w:spacing w:after="0"/>
              <w:rPr>
                <w:sz w:val="20"/>
                <w:szCs w:val="20"/>
                <w:color w:val="auto"/>
              </w:rPr>
            </w:pPr>
            <w:r>
              <w:rPr>
                <w:rFonts w:ascii="Arial" w:cs="Arial" w:eastAsia="Arial" w:hAnsi="Arial"/>
                <w:sz w:val="14"/>
                <w:szCs w:val="14"/>
                <w:color w:val="FFFFFF"/>
              </w:rPr>
              <w:t>COMMITTEE</w:t>
            </w:r>
          </w:p>
        </w:tc>
        <w:tc>
          <w:tcPr>
            <w:tcW w:w="0" w:type="dxa"/>
            <w:vAlign w:val="bottom"/>
          </w:tcPr>
          <w:p>
            <w:pPr>
              <w:spacing w:after="0"/>
              <w:rPr>
                <w:sz w:val="1"/>
                <w:szCs w:val="1"/>
                <w:color w:val="auto"/>
              </w:rPr>
            </w:pPr>
          </w:p>
        </w:tc>
      </w:tr>
      <w:tr>
        <w:trPr>
          <w:trHeight w:val="76"/>
        </w:trPr>
        <w:tc>
          <w:tcPr>
            <w:tcW w:w="20" w:type="dxa"/>
            <w:vAlign w:val="bottom"/>
            <w:shd w:val="clear" w:color="auto" w:fill="0C2940"/>
          </w:tcPr>
          <w:p>
            <w:pPr>
              <w:spacing w:after="0"/>
              <w:rPr>
                <w:sz w:val="6"/>
                <w:szCs w:val="6"/>
                <w:color w:val="auto"/>
              </w:rPr>
            </w:pPr>
          </w:p>
        </w:tc>
        <w:tc>
          <w:tcPr>
            <w:tcW w:w="60" w:type="dxa"/>
            <w:vAlign w:val="bottom"/>
            <w:shd w:val="clear" w:color="auto" w:fill="0C2940"/>
          </w:tcPr>
          <w:p>
            <w:pPr>
              <w:spacing w:after="0"/>
              <w:rPr>
                <w:sz w:val="6"/>
                <w:szCs w:val="6"/>
                <w:color w:val="auto"/>
              </w:rPr>
            </w:pPr>
          </w:p>
        </w:tc>
        <w:tc>
          <w:tcPr>
            <w:tcW w:w="60" w:type="dxa"/>
            <w:vAlign w:val="bottom"/>
            <w:shd w:val="clear" w:color="auto" w:fill="0C2940"/>
          </w:tcPr>
          <w:p>
            <w:pPr>
              <w:spacing w:after="0"/>
              <w:rPr>
                <w:sz w:val="6"/>
                <w:szCs w:val="6"/>
                <w:color w:val="auto"/>
              </w:rPr>
            </w:pPr>
          </w:p>
        </w:tc>
        <w:tc>
          <w:tcPr>
            <w:tcW w:w="520" w:type="dxa"/>
            <w:vAlign w:val="bottom"/>
            <w:shd w:val="clear" w:color="auto" w:fill="0C2940"/>
          </w:tcPr>
          <w:p>
            <w:pPr>
              <w:spacing w:after="0"/>
              <w:rPr>
                <w:sz w:val="6"/>
                <w:szCs w:val="6"/>
                <w:color w:val="auto"/>
              </w:rPr>
            </w:pPr>
          </w:p>
        </w:tc>
        <w:tc>
          <w:tcPr>
            <w:tcW w:w="120" w:type="dxa"/>
            <w:vAlign w:val="bottom"/>
            <w:shd w:val="clear" w:color="auto" w:fill="0C2940"/>
          </w:tcPr>
          <w:p>
            <w:pPr>
              <w:spacing w:after="0"/>
              <w:rPr>
                <w:sz w:val="6"/>
                <w:szCs w:val="6"/>
                <w:color w:val="auto"/>
              </w:rPr>
            </w:pPr>
          </w:p>
        </w:tc>
        <w:tc>
          <w:tcPr>
            <w:tcW w:w="2000" w:type="dxa"/>
            <w:vAlign w:val="bottom"/>
            <w:shd w:val="clear" w:color="auto" w:fill="0C2940"/>
          </w:tcPr>
          <w:p>
            <w:pPr>
              <w:spacing w:after="0"/>
              <w:rPr>
                <w:sz w:val="6"/>
                <w:szCs w:val="6"/>
                <w:color w:val="auto"/>
              </w:rPr>
            </w:pPr>
          </w:p>
        </w:tc>
        <w:tc>
          <w:tcPr>
            <w:tcW w:w="980" w:type="dxa"/>
            <w:vAlign w:val="bottom"/>
            <w:shd w:val="clear" w:color="auto" w:fill="0C2940"/>
          </w:tcPr>
          <w:p>
            <w:pPr>
              <w:spacing w:after="0"/>
              <w:rPr>
                <w:sz w:val="6"/>
                <w:szCs w:val="6"/>
                <w:color w:val="auto"/>
              </w:rPr>
            </w:pPr>
          </w:p>
        </w:tc>
        <w:tc>
          <w:tcPr>
            <w:tcW w:w="120" w:type="dxa"/>
            <w:vAlign w:val="bottom"/>
            <w:shd w:val="clear" w:color="auto" w:fill="0C2940"/>
          </w:tcPr>
          <w:p>
            <w:pPr>
              <w:spacing w:after="0"/>
              <w:rPr>
                <w:sz w:val="6"/>
                <w:szCs w:val="6"/>
                <w:color w:val="auto"/>
              </w:rPr>
            </w:pPr>
          </w:p>
        </w:tc>
        <w:tc>
          <w:tcPr>
            <w:tcW w:w="900" w:type="dxa"/>
            <w:vAlign w:val="bottom"/>
            <w:shd w:val="clear" w:color="auto" w:fill="0C2940"/>
          </w:tcPr>
          <w:p>
            <w:pPr>
              <w:spacing w:after="0"/>
              <w:rPr>
                <w:sz w:val="6"/>
                <w:szCs w:val="6"/>
                <w:color w:val="auto"/>
              </w:rPr>
            </w:pPr>
          </w:p>
        </w:tc>
        <w:tc>
          <w:tcPr>
            <w:tcW w:w="1140" w:type="dxa"/>
            <w:vAlign w:val="bottom"/>
            <w:shd w:val="clear" w:color="auto" w:fill="0C2940"/>
          </w:tcPr>
          <w:p>
            <w:pPr>
              <w:spacing w:after="0"/>
              <w:rPr>
                <w:sz w:val="6"/>
                <w:szCs w:val="6"/>
                <w:color w:val="auto"/>
              </w:rPr>
            </w:pPr>
          </w:p>
        </w:tc>
        <w:tc>
          <w:tcPr>
            <w:tcW w:w="120" w:type="dxa"/>
            <w:vAlign w:val="bottom"/>
            <w:shd w:val="clear" w:color="auto" w:fill="0C2940"/>
          </w:tcPr>
          <w:p>
            <w:pPr>
              <w:spacing w:after="0"/>
              <w:rPr>
                <w:sz w:val="6"/>
                <w:szCs w:val="6"/>
                <w:color w:val="auto"/>
              </w:rPr>
            </w:pPr>
          </w:p>
        </w:tc>
        <w:tc>
          <w:tcPr>
            <w:tcW w:w="1160" w:type="dxa"/>
            <w:vAlign w:val="bottom"/>
            <w:shd w:val="clear" w:color="auto" w:fill="0C2940"/>
          </w:tcPr>
          <w:p>
            <w:pPr>
              <w:spacing w:after="0"/>
              <w:rPr>
                <w:sz w:val="6"/>
                <w:szCs w:val="6"/>
                <w:color w:val="auto"/>
              </w:rPr>
            </w:pPr>
          </w:p>
        </w:tc>
        <w:tc>
          <w:tcPr>
            <w:tcW w:w="900" w:type="dxa"/>
            <w:vAlign w:val="bottom"/>
            <w:shd w:val="clear" w:color="auto" w:fill="0C2940"/>
          </w:tcPr>
          <w:p>
            <w:pPr>
              <w:spacing w:after="0"/>
              <w:rPr>
                <w:sz w:val="6"/>
                <w:szCs w:val="6"/>
                <w:color w:val="auto"/>
              </w:rPr>
            </w:pPr>
          </w:p>
        </w:tc>
        <w:tc>
          <w:tcPr>
            <w:tcW w:w="120" w:type="dxa"/>
            <w:vAlign w:val="bottom"/>
            <w:shd w:val="clear" w:color="auto" w:fill="0C2940"/>
          </w:tcPr>
          <w:p>
            <w:pPr>
              <w:spacing w:after="0"/>
              <w:rPr>
                <w:sz w:val="6"/>
                <w:szCs w:val="6"/>
                <w:color w:val="auto"/>
              </w:rPr>
            </w:pPr>
          </w:p>
        </w:tc>
        <w:tc>
          <w:tcPr>
            <w:tcW w:w="980" w:type="dxa"/>
            <w:vAlign w:val="bottom"/>
            <w:shd w:val="clear" w:color="auto" w:fill="0C2940"/>
          </w:tcPr>
          <w:p>
            <w:pPr>
              <w:spacing w:after="0"/>
              <w:rPr>
                <w:sz w:val="6"/>
                <w:szCs w:val="6"/>
                <w:color w:val="auto"/>
              </w:rPr>
            </w:pPr>
          </w:p>
        </w:tc>
        <w:tc>
          <w:tcPr>
            <w:tcW w:w="960" w:type="dxa"/>
            <w:vAlign w:val="bottom"/>
            <w:shd w:val="clear" w:color="auto" w:fill="0C2940"/>
          </w:tcPr>
          <w:p>
            <w:pPr>
              <w:spacing w:after="0"/>
              <w:rPr>
                <w:sz w:val="6"/>
                <w:szCs w:val="6"/>
                <w:color w:val="auto"/>
              </w:rPr>
            </w:pPr>
          </w:p>
        </w:tc>
        <w:tc>
          <w:tcPr>
            <w:tcW w:w="120" w:type="dxa"/>
            <w:vAlign w:val="bottom"/>
            <w:shd w:val="clear" w:color="auto" w:fill="0C2940"/>
          </w:tcPr>
          <w:p>
            <w:pPr>
              <w:spacing w:after="0"/>
              <w:rPr>
                <w:sz w:val="6"/>
                <w:szCs w:val="6"/>
                <w:color w:val="auto"/>
              </w:rPr>
            </w:pPr>
          </w:p>
        </w:tc>
        <w:tc>
          <w:tcPr>
            <w:tcW w:w="960" w:type="dxa"/>
            <w:vAlign w:val="bottom"/>
            <w:shd w:val="clear" w:color="auto" w:fill="0C2940"/>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20" w:type="dxa"/>
            <w:vAlign w:val="bottom"/>
            <w:shd w:val="clear" w:color="auto" w:fill="F5F5F5"/>
          </w:tcPr>
          <w:p>
            <w:pPr>
              <w:spacing w:after="0"/>
              <w:rPr>
                <w:sz w:val="24"/>
                <w:szCs w:val="24"/>
                <w:color w:val="auto"/>
              </w:rPr>
            </w:pPr>
          </w:p>
        </w:tc>
        <w:tc>
          <w:tcPr>
            <w:tcW w:w="60" w:type="dxa"/>
            <w:vAlign w:val="bottom"/>
            <w:shd w:val="clear" w:color="auto" w:fill="F5F5F5"/>
          </w:tcPr>
          <w:p>
            <w:pPr>
              <w:spacing w:after="0"/>
              <w:rPr>
                <w:sz w:val="24"/>
                <w:szCs w:val="24"/>
                <w:color w:val="auto"/>
              </w:rPr>
            </w:pPr>
          </w:p>
        </w:tc>
        <w:tc>
          <w:tcPr>
            <w:tcW w:w="2700" w:type="dxa"/>
            <w:vAlign w:val="bottom"/>
            <w:gridSpan w:val="4"/>
            <w:shd w:val="clear" w:color="auto" w:fill="F5F5F5"/>
          </w:tcPr>
          <w:p>
            <w:pPr>
              <w:ind w:left="20"/>
              <w:spacing w:after="0"/>
              <w:rPr>
                <w:sz w:val="20"/>
                <w:szCs w:val="20"/>
                <w:color w:val="auto"/>
              </w:rPr>
            </w:pPr>
            <w:r>
              <w:rPr>
                <w:rFonts w:ascii="Arial" w:cs="Arial" w:eastAsia="Arial" w:hAnsi="Arial"/>
                <w:sz w:val="14"/>
                <w:szCs w:val="14"/>
                <w:b w:val="1"/>
                <w:bCs w:val="1"/>
                <w:color w:val="005388"/>
              </w:rPr>
              <w:t>Bradley M. Shuster</w:t>
            </w:r>
          </w:p>
        </w:tc>
        <w:tc>
          <w:tcPr>
            <w:tcW w:w="98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114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116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980" w:type="dxa"/>
            <w:vAlign w:val="bottom"/>
            <w:shd w:val="clear" w:color="auto" w:fill="F5F5F5"/>
          </w:tcPr>
          <w:p>
            <w:pPr>
              <w:spacing w:after="0"/>
              <w:rPr>
                <w:sz w:val="24"/>
                <w:szCs w:val="24"/>
                <w:color w:val="auto"/>
              </w:rPr>
            </w:pPr>
          </w:p>
        </w:tc>
        <w:tc>
          <w:tcPr>
            <w:tcW w:w="960" w:type="dxa"/>
            <w:vAlign w:val="bottom"/>
            <w:shd w:val="clear" w:color="auto" w:fill="F5F5F5"/>
          </w:tcPr>
          <w:p>
            <w:pPr>
              <w:spacing w:after="0"/>
              <w:rPr>
                <w:sz w:val="24"/>
                <w:szCs w:val="24"/>
                <w:color w:val="auto"/>
              </w:rPr>
            </w:pPr>
          </w:p>
        </w:tc>
        <w:tc>
          <w:tcPr>
            <w:tcW w:w="120" w:type="dxa"/>
            <w:vAlign w:val="bottom"/>
            <w:shd w:val="clear" w:color="auto" w:fill="F5F5F5"/>
          </w:tcPr>
          <w:p>
            <w:pPr>
              <w:spacing w:after="0"/>
              <w:rPr>
                <w:sz w:val="24"/>
                <w:szCs w:val="24"/>
                <w:color w:val="auto"/>
              </w:rPr>
            </w:pPr>
          </w:p>
        </w:tc>
        <w:tc>
          <w:tcPr>
            <w:tcW w:w="96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F5F5F5"/>
          </w:tcPr>
          <w:p>
            <w:pPr>
              <w:spacing w:after="0"/>
              <w:rPr>
                <w:sz w:val="10"/>
                <w:szCs w:val="10"/>
                <w:color w:val="auto"/>
              </w:rPr>
            </w:pPr>
          </w:p>
        </w:tc>
        <w:tc>
          <w:tcPr>
            <w:tcW w:w="60" w:type="dxa"/>
            <w:vAlign w:val="bottom"/>
            <w:shd w:val="clear" w:color="auto" w:fill="F5F5F5"/>
          </w:tcPr>
          <w:p>
            <w:pPr>
              <w:spacing w:after="0"/>
              <w:rPr>
                <w:sz w:val="10"/>
                <w:szCs w:val="10"/>
                <w:color w:val="auto"/>
              </w:rPr>
            </w:pPr>
          </w:p>
        </w:tc>
        <w:tc>
          <w:tcPr>
            <w:tcW w:w="60" w:type="dxa"/>
            <w:vAlign w:val="bottom"/>
            <w:shd w:val="clear" w:color="auto" w:fill="F5F5F5"/>
          </w:tcPr>
          <w:p>
            <w:pPr>
              <w:spacing w:after="0"/>
              <w:rPr>
                <w:sz w:val="10"/>
                <w:szCs w:val="10"/>
                <w:color w:val="auto"/>
              </w:rPr>
            </w:pPr>
          </w:p>
        </w:tc>
        <w:tc>
          <w:tcPr>
            <w:tcW w:w="52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2000" w:type="dxa"/>
            <w:vAlign w:val="bottom"/>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14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1160" w:type="dxa"/>
            <w:vAlign w:val="bottom"/>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96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6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4"/>
          </w:tcPr>
          <w:p>
            <w:pPr>
              <w:ind w:left="20"/>
              <w:spacing w:after="0"/>
              <w:rPr>
                <w:sz w:val="20"/>
                <w:szCs w:val="20"/>
                <w:color w:val="auto"/>
              </w:rPr>
            </w:pPr>
            <w:r>
              <w:rPr>
                <w:rFonts w:ascii="Arial" w:cs="Arial" w:eastAsia="Arial" w:hAnsi="Arial"/>
                <w:sz w:val="14"/>
                <w:szCs w:val="14"/>
                <w:b w:val="1"/>
                <w:bCs w:val="1"/>
                <w:color w:val="005388"/>
              </w:rPr>
              <w:t>Adam S. Pollitzer</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F5F5F5"/>
          </w:tcPr>
          <w:p>
            <w:pPr>
              <w:spacing w:after="0"/>
              <w:rPr>
                <w:sz w:val="15"/>
                <w:szCs w:val="15"/>
                <w:color w:val="auto"/>
              </w:rPr>
            </w:pPr>
          </w:p>
        </w:tc>
        <w:tc>
          <w:tcPr>
            <w:tcW w:w="60" w:type="dxa"/>
            <w:vAlign w:val="bottom"/>
            <w:shd w:val="clear" w:color="auto" w:fill="F5F5F5"/>
          </w:tcPr>
          <w:p>
            <w:pPr>
              <w:spacing w:after="0"/>
              <w:rPr>
                <w:sz w:val="15"/>
                <w:szCs w:val="15"/>
                <w:color w:val="auto"/>
              </w:rPr>
            </w:pPr>
          </w:p>
        </w:tc>
        <w:tc>
          <w:tcPr>
            <w:tcW w:w="2700" w:type="dxa"/>
            <w:vAlign w:val="bottom"/>
            <w:gridSpan w:val="4"/>
            <w:vMerge w:val="restart"/>
            <w:shd w:val="clear" w:color="auto" w:fill="F5F5F5"/>
          </w:tcPr>
          <w:p>
            <w:pPr>
              <w:ind w:left="20"/>
              <w:spacing w:after="0"/>
              <w:rPr>
                <w:sz w:val="20"/>
                <w:szCs w:val="20"/>
                <w:color w:val="auto"/>
              </w:rPr>
            </w:pPr>
            <w:r>
              <w:rPr>
                <w:rFonts w:ascii="Arial" w:cs="Arial" w:eastAsia="Arial" w:hAnsi="Arial"/>
                <w:sz w:val="14"/>
                <w:szCs w:val="14"/>
                <w:b w:val="1"/>
                <w:bCs w:val="1"/>
                <w:color w:val="005388"/>
              </w:rPr>
              <w:t>Steven L. Scheid*</w:t>
            </w:r>
          </w:p>
        </w:tc>
        <w:tc>
          <w:tcPr>
            <w:tcW w:w="98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00" w:type="dxa"/>
            <w:vAlign w:val="bottom"/>
            <w:shd w:val="clear" w:color="auto" w:fill="F5F5F5"/>
          </w:tcPr>
          <w:p>
            <w:pPr>
              <w:spacing w:after="0"/>
              <w:rPr>
                <w:sz w:val="15"/>
                <w:szCs w:val="15"/>
                <w:color w:val="auto"/>
              </w:rPr>
            </w:pPr>
          </w:p>
        </w:tc>
        <w:tc>
          <w:tcPr>
            <w:tcW w:w="114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1160" w:type="dxa"/>
            <w:vAlign w:val="bottom"/>
            <w:vMerge w:val="restart"/>
            <w:shd w:val="clear" w:color="auto" w:fill="F5F5F5"/>
          </w:tcPr>
          <w:p>
            <w:pPr>
              <w:spacing w:after="0"/>
              <w:rPr>
                <w:sz w:val="15"/>
                <w:szCs w:val="15"/>
                <w:color w:val="auto"/>
              </w:rPr>
            </w:pPr>
          </w:p>
        </w:tc>
        <w:tc>
          <w:tcPr>
            <w:tcW w:w="90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80" w:type="dxa"/>
            <w:vAlign w:val="bottom"/>
            <w:shd w:val="clear" w:color="auto" w:fill="F5F5F5"/>
          </w:tcPr>
          <w:p>
            <w:pPr>
              <w:spacing w:after="0"/>
              <w:rPr>
                <w:sz w:val="15"/>
                <w:szCs w:val="15"/>
                <w:color w:val="auto"/>
              </w:rPr>
            </w:pPr>
          </w:p>
        </w:tc>
        <w:tc>
          <w:tcPr>
            <w:tcW w:w="96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60" w:type="dxa"/>
            <w:vAlign w:val="bottom"/>
            <w:vMerge w:val="restart"/>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F5F5F5"/>
            </w:tcBorders>
            <w:shd w:val="clear" w:color="auto" w:fill="F5F5F5"/>
          </w:tcPr>
          <w:p>
            <w:pPr>
              <w:spacing w:after="0"/>
              <w:rPr>
                <w:sz w:val="13"/>
                <w:szCs w:val="13"/>
                <w:color w:val="auto"/>
              </w:rPr>
            </w:pPr>
          </w:p>
        </w:tc>
        <w:tc>
          <w:tcPr>
            <w:tcW w:w="60" w:type="dxa"/>
            <w:vAlign w:val="bottom"/>
            <w:tcBorders>
              <w:bottom w:val="single" w:sz="8" w:color="F5F5F5"/>
            </w:tcBorders>
            <w:shd w:val="clear" w:color="auto" w:fill="F5F5F5"/>
          </w:tcPr>
          <w:p>
            <w:pPr>
              <w:spacing w:after="0"/>
              <w:rPr>
                <w:sz w:val="13"/>
                <w:szCs w:val="13"/>
                <w:color w:val="auto"/>
              </w:rPr>
            </w:pPr>
          </w:p>
        </w:tc>
        <w:tc>
          <w:tcPr>
            <w:tcW w:w="2700" w:type="dxa"/>
            <w:vAlign w:val="bottom"/>
            <w:tcBorders>
              <w:bottom w:val="single" w:sz="8" w:color="F5F5F5"/>
            </w:tcBorders>
            <w:gridSpan w:val="4"/>
            <w:vMerge w:val="continue"/>
            <w:shd w:val="clear" w:color="auto" w:fill="F5F5F5"/>
          </w:tcPr>
          <w:p>
            <w:pPr>
              <w:spacing w:after="0"/>
              <w:rPr>
                <w:sz w:val="13"/>
                <w:szCs w:val="13"/>
                <w:color w:val="auto"/>
              </w:rPr>
            </w:pPr>
          </w:p>
        </w:tc>
        <w:tc>
          <w:tcPr>
            <w:tcW w:w="98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900" w:type="dxa"/>
            <w:vAlign w:val="bottom"/>
            <w:tcBorders>
              <w:bottom w:val="single" w:sz="8" w:color="F5F5F5"/>
            </w:tcBorders>
            <w:shd w:val="clear" w:color="auto" w:fill="F5F5F5"/>
          </w:tcPr>
          <w:p>
            <w:pPr>
              <w:spacing w:after="0"/>
              <w:rPr>
                <w:sz w:val="13"/>
                <w:szCs w:val="13"/>
                <w:color w:val="auto"/>
              </w:rPr>
            </w:pPr>
          </w:p>
        </w:tc>
        <w:tc>
          <w:tcPr>
            <w:tcW w:w="114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1160" w:type="dxa"/>
            <w:vAlign w:val="bottom"/>
            <w:tcBorders>
              <w:bottom w:val="single" w:sz="8" w:color="F5F5F5"/>
            </w:tcBorders>
            <w:vMerge w:val="continue"/>
            <w:shd w:val="clear" w:color="auto" w:fill="F5F5F5"/>
          </w:tcPr>
          <w:p>
            <w:pPr>
              <w:spacing w:after="0"/>
              <w:rPr>
                <w:sz w:val="13"/>
                <w:szCs w:val="13"/>
                <w:color w:val="auto"/>
              </w:rPr>
            </w:pPr>
          </w:p>
        </w:tc>
        <w:tc>
          <w:tcPr>
            <w:tcW w:w="90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980" w:type="dxa"/>
            <w:vAlign w:val="bottom"/>
            <w:tcBorders>
              <w:bottom w:val="single" w:sz="8" w:color="F5F5F5"/>
            </w:tcBorders>
            <w:shd w:val="clear" w:color="auto" w:fill="F5F5F5"/>
          </w:tcPr>
          <w:p>
            <w:pPr>
              <w:spacing w:after="0"/>
              <w:rPr>
                <w:sz w:val="13"/>
                <w:szCs w:val="13"/>
                <w:color w:val="auto"/>
              </w:rPr>
            </w:pPr>
          </w:p>
        </w:tc>
        <w:tc>
          <w:tcPr>
            <w:tcW w:w="96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00B8FC"/>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960" w:type="dxa"/>
            <w:vAlign w:val="bottom"/>
            <w:tcBorders>
              <w:bottom w:val="single" w:sz="8" w:color="F5F5F5"/>
            </w:tcBorders>
            <w:vMerge w:val="continue"/>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200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14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116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005388"/>
              </w:rPr>
              <w:t>Renu Agrawal*</w:t>
            </w:r>
          </w:p>
        </w:tc>
        <w:tc>
          <w:tcPr>
            <w:tcW w:w="9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gridSpan w:val="4"/>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F5F5F5"/>
          </w:tcPr>
          <w:p>
            <w:pPr>
              <w:spacing w:after="0"/>
              <w:rPr>
                <w:sz w:val="15"/>
                <w:szCs w:val="15"/>
                <w:color w:val="auto"/>
              </w:rPr>
            </w:pPr>
          </w:p>
        </w:tc>
        <w:tc>
          <w:tcPr>
            <w:tcW w:w="60" w:type="dxa"/>
            <w:vAlign w:val="bottom"/>
            <w:shd w:val="clear" w:color="auto" w:fill="F5F5F5"/>
          </w:tcPr>
          <w:p>
            <w:pPr>
              <w:spacing w:after="0"/>
              <w:rPr>
                <w:sz w:val="15"/>
                <w:szCs w:val="15"/>
                <w:color w:val="auto"/>
              </w:rPr>
            </w:pPr>
          </w:p>
        </w:tc>
        <w:tc>
          <w:tcPr>
            <w:tcW w:w="2700" w:type="dxa"/>
            <w:vAlign w:val="bottom"/>
            <w:gridSpan w:val="4"/>
            <w:vMerge w:val="restart"/>
            <w:shd w:val="clear" w:color="auto" w:fill="F5F5F5"/>
          </w:tcPr>
          <w:p>
            <w:pPr>
              <w:ind w:left="20"/>
              <w:spacing w:after="0"/>
              <w:rPr>
                <w:sz w:val="20"/>
                <w:szCs w:val="20"/>
                <w:color w:val="auto"/>
              </w:rPr>
            </w:pPr>
            <w:r>
              <w:rPr>
                <w:rFonts w:ascii="Arial" w:cs="Arial" w:eastAsia="Arial" w:hAnsi="Arial"/>
                <w:sz w:val="14"/>
                <w:szCs w:val="14"/>
                <w:b w:val="1"/>
                <w:bCs w:val="1"/>
                <w:color w:val="005388"/>
              </w:rPr>
              <w:t>Michael Embler*</w:t>
            </w:r>
          </w:p>
        </w:tc>
        <w:tc>
          <w:tcPr>
            <w:tcW w:w="98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00" w:type="dxa"/>
            <w:vAlign w:val="bottom"/>
            <w:vMerge w:val="restart"/>
            <w:shd w:val="clear" w:color="auto" w:fill="F5F5F5"/>
          </w:tcPr>
          <w:p>
            <w:pPr>
              <w:spacing w:after="0"/>
              <w:rPr>
                <w:sz w:val="15"/>
                <w:szCs w:val="15"/>
                <w:color w:val="auto"/>
              </w:rPr>
            </w:pPr>
          </w:p>
        </w:tc>
        <w:tc>
          <w:tcPr>
            <w:tcW w:w="114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1160" w:type="dxa"/>
            <w:vAlign w:val="bottom"/>
            <w:shd w:val="clear" w:color="auto" w:fill="F5F5F5"/>
          </w:tcPr>
          <w:p>
            <w:pPr>
              <w:spacing w:after="0"/>
              <w:rPr>
                <w:sz w:val="15"/>
                <w:szCs w:val="15"/>
                <w:color w:val="auto"/>
              </w:rPr>
            </w:pPr>
          </w:p>
        </w:tc>
        <w:tc>
          <w:tcPr>
            <w:tcW w:w="90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80" w:type="dxa"/>
            <w:vAlign w:val="bottom"/>
            <w:shd w:val="clear" w:color="auto" w:fill="F5F5F5"/>
          </w:tcPr>
          <w:p>
            <w:pPr>
              <w:spacing w:after="0"/>
              <w:rPr>
                <w:sz w:val="15"/>
                <w:szCs w:val="15"/>
                <w:color w:val="auto"/>
              </w:rPr>
            </w:pPr>
          </w:p>
        </w:tc>
        <w:tc>
          <w:tcPr>
            <w:tcW w:w="96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60" w:type="dxa"/>
            <w:vAlign w:val="bottom"/>
            <w:vMerge w:val="restart"/>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F5F5F5"/>
            </w:tcBorders>
            <w:shd w:val="clear" w:color="auto" w:fill="F5F5F5"/>
          </w:tcPr>
          <w:p>
            <w:pPr>
              <w:spacing w:after="0"/>
              <w:rPr>
                <w:sz w:val="13"/>
                <w:szCs w:val="13"/>
                <w:color w:val="auto"/>
              </w:rPr>
            </w:pPr>
          </w:p>
        </w:tc>
        <w:tc>
          <w:tcPr>
            <w:tcW w:w="60" w:type="dxa"/>
            <w:vAlign w:val="bottom"/>
            <w:tcBorders>
              <w:bottom w:val="single" w:sz="8" w:color="F5F5F5"/>
            </w:tcBorders>
            <w:shd w:val="clear" w:color="auto" w:fill="F5F5F5"/>
          </w:tcPr>
          <w:p>
            <w:pPr>
              <w:spacing w:after="0"/>
              <w:rPr>
                <w:sz w:val="13"/>
                <w:szCs w:val="13"/>
                <w:color w:val="auto"/>
              </w:rPr>
            </w:pPr>
          </w:p>
        </w:tc>
        <w:tc>
          <w:tcPr>
            <w:tcW w:w="2700" w:type="dxa"/>
            <w:vAlign w:val="bottom"/>
            <w:tcBorders>
              <w:bottom w:val="single" w:sz="8" w:color="F5F5F5"/>
            </w:tcBorders>
            <w:gridSpan w:val="4"/>
            <w:vMerge w:val="continue"/>
            <w:shd w:val="clear" w:color="auto" w:fill="F5F5F5"/>
          </w:tcPr>
          <w:p>
            <w:pPr>
              <w:spacing w:after="0"/>
              <w:rPr>
                <w:sz w:val="13"/>
                <w:szCs w:val="13"/>
                <w:color w:val="auto"/>
              </w:rPr>
            </w:pPr>
          </w:p>
        </w:tc>
        <w:tc>
          <w:tcPr>
            <w:tcW w:w="98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00B8FC"/>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900" w:type="dxa"/>
            <w:vAlign w:val="bottom"/>
            <w:tcBorders>
              <w:bottom w:val="single" w:sz="8" w:color="F5F5F5"/>
            </w:tcBorders>
            <w:vMerge w:val="continue"/>
            <w:shd w:val="clear" w:color="auto" w:fill="F5F5F5"/>
          </w:tcPr>
          <w:p>
            <w:pPr>
              <w:spacing w:after="0"/>
              <w:rPr>
                <w:sz w:val="13"/>
                <w:szCs w:val="13"/>
                <w:color w:val="auto"/>
              </w:rPr>
            </w:pPr>
          </w:p>
        </w:tc>
        <w:tc>
          <w:tcPr>
            <w:tcW w:w="114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1160" w:type="dxa"/>
            <w:vAlign w:val="bottom"/>
            <w:tcBorders>
              <w:bottom w:val="single" w:sz="8" w:color="F5F5F5"/>
            </w:tcBorders>
            <w:shd w:val="clear" w:color="auto" w:fill="F5F5F5"/>
          </w:tcPr>
          <w:p>
            <w:pPr>
              <w:spacing w:after="0"/>
              <w:rPr>
                <w:sz w:val="13"/>
                <w:szCs w:val="13"/>
                <w:color w:val="auto"/>
              </w:rPr>
            </w:pPr>
          </w:p>
        </w:tc>
        <w:tc>
          <w:tcPr>
            <w:tcW w:w="90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980" w:type="dxa"/>
            <w:vAlign w:val="bottom"/>
            <w:tcBorders>
              <w:bottom w:val="single" w:sz="8" w:color="F5F5F5"/>
            </w:tcBorders>
            <w:shd w:val="clear" w:color="auto" w:fill="F5F5F5"/>
          </w:tcPr>
          <w:p>
            <w:pPr>
              <w:spacing w:after="0"/>
              <w:rPr>
                <w:sz w:val="13"/>
                <w:szCs w:val="13"/>
                <w:color w:val="auto"/>
              </w:rPr>
            </w:pPr>
          </w:p>
        </w:tc>
        <w:tc>
          <w:tcPr>
            <w:tcW w:w="96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60" w:type="dxa"/>
            <w:vAlign w:val="bottom"/>
            <w:tcBorders>
              <w:bottom w:val="single" w:sz="8" w:color="F5F5F5"/>
            </w:tcBorders>
            <w:vMerge w:val="continue"/>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200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14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116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005388"/>
              </w:rPr>
              <w:t>John C. Erickson*</w:t>
            </w:r>
          </w:p>
        </w:tc>
        <w:tc>
          <w:tcPr>
            <w:tcW w:w="9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700" w:type="dxa"/>
            <w:vAlign w:val="bottom"/>
            <w:gridSpan w:val="4"/>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F5F5F5"/>
          </w:tcPr>
          <w:p>
            <w:pPr>
              <w:spacing w:after="0"/>
              <w:rPr>
                <w:sz w:val="11"/>
                <w:szCs w:val="11"/>
                <w:color w:val="auto"/>
              </w:rPr>
            </w:pPr>
          </w:p>
        </w:tc>
        <w:tc>
          <w:tcPr>
            <w:tcW w:w="60" w:type="dxa"/>
            <w:vAlign w:val="bottom"/>
            <w:shd w:val="clear" w:color="auto" w:fill="F5F5F5"/>
          </w:tcPr>
          <w:p>
            <w:pPr>
              <w:spacing w:after="0"/>
              <w:rPr>
                <w:sz w:val="11"/>
                <w:szCs w:val="11"/>
                <w:color w:val="auto"/>
              </w:rPr>
            </w:pPr>
          </w:p>
        </w:tc>
        <w:tc>
          <w:tcPr>
            <w:tcW w:w="2700" w:type="dxa"/>
            <w:vAlign w:val="bottom"/>
            <w:gridSpan w:val="4"/>
            <w:vMerge w:val="restart"/>
            <w:shd w:val="clear" w:color="auto" w:fill="F5F5F5"/>
          </w:tcPr>
          <w:p>
            <w:pPr>
              <w:ind w:left="20"/>
              <w:spacing w:after="0"/>
              <w:rPr>
                <w:sz w:val="20"/>
                <w:szCs w:val="20"/>
                <w:color w:val="auto"/>
              </w:rPr>
            </w:pPr>
            <w:r>
              <w:rPr>
                <w:rFonts w:ascii="Arial" w:cs="Arial" w:eastAsia="Arial" w:hAnsi="Arial"/>
                <w:sz w:val="14"/>
                <w:szCs w:val="14"/>
                <w:b w:val="1"/>
                <w:bCs w:val="1"/>
                <w:color w:val="005388"/>
              </w:rPr>
              <w:t>Priya Huskins</w:t>
            </w:r>
          </w:p>
        </w:tc>
        <w:tc>
          <w:tcPr>
            <w:tcW w:w="980" w:type="dxa"/>
            <w:vAlign w:val="bottom"/>
            <w:shd w:val="clear" w:color="auto" w:fill="F5F5F5"/>
          </w:tcPr>
          <w:p>
            <w:pPr>
              <w:spacing w:after="0"/>
              <w:rPr>
                <w:sz w:val="11"/>
                <w:szCs w:val="11"/>
                <w:color w:val="auto"/>
              </w:rPr>
            </w:pPr>
          </w:p>
        </w:tc>
        <w:tc>
          <w:tcPr>
            <w:tcW w:w="120" w:type="dxa"/>
            <w:vAlign w:val="bottom"/>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140" w:type="dxa"/>
            <w:vAlign w:val="bottom"/>
            <w:vMerge w:val="restart"/>
            <w:shd w:val="clear" w:color="auto" w:fill="F5F5F5"/>
          </w:tcPr>
          <w:p>
            <w:pPr>
              <w:spacing w:after="0"/>
              <w:rPr>
                <w:sz w:val="11"/>
                <w:szCs w:val="11"/>
                <w:color w:val="auto"/>
              </w:rPr>
            </w:pPr>
          </w:p>
        </w:tc>
        <w:tc>
          <w:tcPr>
            <w:tcW w:w="120" w:type="dxa"/>
            <w:vAlign w:val="bottom"/>
            <w:shd w:val="clear" w:color="auto" w:fill="F5F5F5"/>
          </w:tcPr>
          <w:p>
            <w:pPr>
              <w:spacing w:after="0"/>
              <w:rPr>
                <w:sz w:val="11"/>
                <w:szCs w:val="11"/>
                <w:color w:val="auto"/>
              </w:rPr>
            </w:pPr>
          </w:p>
        </w:tc>
        <w:tc>
          <w:tcPr>
            <w:tcW w:w="1160" w:type="dxa"/>
            <w:vAlign w:val="bottom"/>
            <w:vMerge w:val="restart"/>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20" w:type="dxa"/>
            <w:vAlign w:val="bottom"/>
            <w:shd w:val="clear" w:color="auto" w:fill="F5F5F5"/>
          </w:tcPr>
          <w:p>
            <w:pPr>
              <w:spacing w:after="0"/>
              <w:rPr>
                <w:sz w:val="11"/>
                <w:szCs w:val="11"/>
                <w:color w:val="auto"/>
              </w:rPr>
            </w:pPr>
          </w:p>
        </w:tc>
        <w:tc>
          <w:tcPr>
            <w:tcW w:w="980" w:type="dxa"/>
            <w:vAlign w:val="bottom"/>
            <w:shd w:val="clear" w:color="auto" w:fill="F5F5F5"/>
          </w:tcPr>
          <w:p>
            <w:pPr>
              <w:spacing w:after="0"/>
              <w:rPr>
                <w:sz w:val="11"/>
                <w:szCs w:val="11"/>
                <w:color w:val="auto"/>
              </w:rPr>
            </w:pPr>
          </w:p>
        </w:tc>
        <w:tc>
          <w:tcPr>
            <w:tcW w:w="960" w:type="dxa"/>
            <w:vAlign w:val="bottom"/>
            <w:vMerge w:val="restart"/>
            <w:shd w:val="clear" w:color="auto" w:fill="F5F5F5"/>
          </w:tcPr>
          <w:p>
            <w:pPr>
              <w:spacing w:after="0"/>
              <w:rPr>
                <w:sz w:val="11"/>
                <w:szCs w:val="11"/>
                <w:color w:val="auto"/>
              </w:rPr>
            </w:pPr>
          </w:p>
        </w:tc>
        <w:tc>
          <w:tcPr>
            <w:tcW w:w="120" w:type="dxa"/>
            <w:vAlign w:val="bottom"/>
            <w:shd w:val="clear" w:color="auto" w:fill="F5F5F5"/>
          </w:tcPr>
          <w:p>
            <w:pPr>
              <w:spacing w:after="0"/>
              <w:rPr>
                <w:sz w:val="11"/>
                <w:szCs w:val="11"/>
                <w:color w:val="auto"/>
              </w:rPr>
            </w:pPr>
          </w:p>
        </w:tc>
        <w:tc>
          <w:tcPr>
            <w:tcW w:w="960" w:type="dxa"/>
            <w:vAlign w:val="bottom"/>
            <w:vMerge w:val="restart"/>
            <w:shd w:val="clear" w:color="auto" w:fill="F5F5F5"/>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F5F5F5"/>
          </w:tcPr>
          <w:p>
            <w:pPr>
              <w:spacing w:after="0"/>
              <w:rPr>
                <w:sz w:val="10"/>
                <w:szCs w:val="10"/>
                <w:color w:val="auto"/>
              </w:rPr>
            </w:pPr>
          </w:p>
        </w:tc>
        <w:tc>
          <w:tcPr>
            <w:tcW w:w="60" w:type="dxa"/>
            <w:vAlign w:val="bottom"/>
            <w:shd w:val="clear" w:color="auto" w:fill="F5F5F5"/>
          </w:tcPr>
          <w:p>
            <w:pPr>
              <w:spacing w:after="0"/>
              <w:rPr>
                <w:sz w:val="10"/>
                <w:szCs w:val="10"/>
                <w:color w:val="auto"/>
              </w:rPr>
            </w:pPr>
          </w:p>
        </w:tc>
        <w:tc>
          <w:tcPr>
            <w:tcW w:w="2700" w:type="dxa"/>
            <w:vAlign w:val="bottom"/>
            <w:gridSpan w:val="4"/>
            <w:vMerge w:val="continue"/>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140" w:type="dxa"/>
            <w:vAlign w:val="bottom"/>
            <w:vMerge w:val="continue"/>
            <w:shd w:val="clear" w:color="auto" w:fill="F5F5F5"/>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1160" w:type="dxa"/>
            <w:vAlign w:val="bottom"/>
            <w:vMerge w:val="continue"/>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960" w:type="dxa"/>
            <w:vAlign w:val="bottom"/>
            <w:vMerge w:val="continue"/>
            <w:shd w:val="clear" w:color="auto" w:fill="F5F5F5"/>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60" w:type="dxa"/>
            <w:vAlign w:val="bottom"/>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shd w:val="clear" w:color="auto" w:fill="F5F5F5"/>
          </w:tcPr>
          <w:p>
            <w:pPr>
              <w:spacing w:after="0"/>
              <w:rPr>
                <w:sz w:val="5"/>
                <w:szCs w:val="5"/>
                <w:color w:val="auto"/>
              </w:rPr>
            </w:pPr>
          </w:p>
        </w:tc>
        <w:tc>
          <w:tcPr>
            <w:tcW w:w="60" w:type="dxa"/>
            <w:vAlign w:val="bottom"/>
            <w:shd w:val="clear" w:color="auto" w:fill="F5F5F5"/>
          </w:tcPr>
          <w:p>
            <w:pPr>
              <w:spacing w:after="0"/>
              <w:rPr>
                <w:sz w:val="5"/>
                <w:szCs w:val="5"/>
                <w:color w:val="auto"/>
              </w:rPr>
            </w:pPr>
          </w:p>
        </w:tc>
        <w:tc>
          <w:tcPr>
            <w:tcW w:w="2700" w:type="dxa"/>
            <w:vAlign w:val="bottom"/>
            <w:gridSpan w:val="4"/>
            <w:vMerge w:val="continue"/>
            <w:shd w:val="clear" w:color="auto" w:fill="F5F5F5"/>
          </w:tcPr>
          <w:p>
            <w:pPr>
              <w:spacing w:after="0"/>
              <w:rPr>
                <w:sz w:val="5"/>
                <w:szCs w:val="5"/>
                <w:color w:val="auto"/>
              </w:rPr>
            </w:pPr>
          </w:p>
        </w:tc>
        <w:tc>
          <w:tcPr>
            <w:tcW w:w="980" w:type="dxa"/>
            <w:vAlign w:val="bottom"/>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900" w:type="dxa"/>
            <w:vAlign w:val="bottom"/>
            <w:shd w:val="clear" w:color="auto" w:fill="F5F5F5"/>
          </w:tcPr>
          <w:p>
            <w:pPr>
              <w:spacing w:after="0"/>
              <w:rPr>
                <w:sz w:val="5"/>
                <w:szCs w:val="5"/>
                <w:color w:val="auto"/>
              </w:rPr>
            </w:pPr>
          </w:p>
        </w:tc>
        <w:tc>
          <w:tcPr>
            <w:tcW w:w="1140" w:type="dxa"/>
            <w:vAlign w:val="bottom"/>
            <w:vMerge w:val="continue"/>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1160" w:type="dxa"/>
            <w:vAlign w:val="bottom"/>
            <w:vMerge w:val="continue"/>
            <w:shd w:val="clear" w:color="auto" w:fill="F5F5F5"/>
          </w:tcPr>
          <w:p>
            <w:pPr>
              <w:spacing w:after="0"/>
              <w:rPr>
                <w:sz w:val="5"/>
                <w:szCs w:val="5"/>
                <w:color w:val="auto"/>
              </w:rPr>
            </w:pPr>
          </w:p>
        </w:tc>
        <w:tc>
          <w:tcPr>
            <w:tcW w:w="900" w:type="dxa"/>
            <w:vAlign w:val="bottom"/>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980" w:type="dxa"/>
            <w:vAlign w:val="bottom"/>
            <w:shd w:val="clear" w:color="auto" w:fill="F5F5F5"/>
          </w:tcPr>
          <w:p>
            <w:pPr>
              <w:spacing w:after="0"/>
              <w:rPr>
                <w:sz w:val="5"/>
                <w:szCs w:val="5"/>
                <w:color w:val="auto"/>
              </w:rPr>
            </w:pPr>
          </w:p>
        </w:tc>
        <w:tc>
          <w:tcPr>
            <w:tcW w:w="960" w:type="dxa"/>
            <w:vAlign w:val="bottom"/>
            <w:vMerge w:val="continue"/>
            <w:shd w:val="clear" w:color="auto" w:fill="F5F5F5"/>
          </w:tcPr>
          <w:p>
            <w:pPr>
              <w:spacing w:after="0"/>
              <w:rPr>
                <w:sz w:val="5"/>
                <w:szCs w:val="5"/>
                <w:color w:val="auto"/>
              </w:rPr>
            </w:pPr>
          </w:p>
        </w:tc>
        <w:tc>
          <w:tcPr>
            <w:tcW w:w="120" w:type="dxa"/>
            <w:vAlign w:val="bottom"/>
            <w:shd w:val="clear" w:color="auto" w:fill="F5F5F5"/>
          </w:tcPr>
          <w:p>
            <w:pPr>
              <w:spacing w:after="0"/>
              <w:rPr>
                <w:sz w:val="5"/>
                <w:szCs w:val="5"/>
                <w:color w:val="auto"/>
              </w:rPr>
            </w:pPr>
          </w:p>
        </w:tc>
        <w:tc>
          <w:tcPr>
            <w:tcW w:w="960" w:type="dxa"/>
            <w:vAlign w:val="bottom"/>
            <w:vMerge w:val="continue"/>
            <w:shd w:val="clear" w:color="auto" w:fill="F5F5F5"/>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20" w:type="dxa"/>
            <w:vAlign w:val="bottom"/>
            <w:shd w:val="clear" w:color="auto" w:fill="F5F5F5"/>
          </w:tcPr>
          <w:p>
            <w:pPr>
              <w:spacing w:after="0"/>
              <w:rPr>
                <w:sz w:val="10"/>
                <w:szCs w:val="10"/>
                <w:color w:val="auto"/>
              </w:rPr>
            </w:pPr>
          </w:p>
        </w:tc>
        <w:tc>
          <w:tcPr>
            <w:tcW w:w="60" w:type="dxa"/>
            <w:vAlign w:val="bottom"/>
            <w:shd w:val="clear" w:color="auto" w:fill="F5F5F5"/>
          </w:tcPr>
          <w:p>
            <w:pPr>
              <w:spacing w:after="0"/>
              <w:rPr>
                <w:sz w:val="10"/>
                <w:szCs w:val="10"/>
                <w:color w:val="auto"/>
              </w:rPr>
            </w:pPr>
          </w:p>
        </w:tc>
        <w:tc>
          <w:tcPr>
            <w:tcW w:w="60" w:type="dxa"/>
            <w:vAlign w:val="bottom"/>
            <w:shd w:val="clear" w:color="auto" w:fill="F5F5F5"/>
          </w:tcPr>
          <w:p>
            <w:pPr>
              <w:spacing w:after="0"/>
              <w:rPr>
                <w:sz w:val="10"/>
                <w:szCs w:val="10"/>
                <w:color w:val="auto"/>
              </w:rPr>
            </w:pPr>
          </w:p>
        </w:tc>
        <w:tc>
          <w:tcPr>
            <w:tcW w:w="52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2000" w:type="dxa"/>
            <w:vAlign w:val="bottom"/>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14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1160" w:type="dxa"/>
            <w:vAlign w:val="bottom"/>
            <w:shd w:val="clear" w:color="auto" w:fill="F5F5F5"/>
          </w:tcPr>
          <w:p>
            <w:pPr>
              <w:spacing w:after="0"/>
              <w:rPr>
                <w:sz w:val="10"/>
                <w:szCs w:val="10"/>
                <w:color w:val="auto"/>
              </w:rPr>
            </w:pPr>
          </w:p>
        </w:tc>
        <w:tc>
          <w:tcPr>
            <w:tcW w:w="90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80" w:type="dxa"/>
            <w:vAlign w:val="bottom"/>
            <w:shd w:val="clear" w:color="auto" w:fill="F5F5F5"/>
          </w:tcPr>
          <w:p>
            <w:pPr>
              <w:spacing w:after="0"/>
              <w:rPr>
                <w:sz w:val="10"/>
                <w:szCs w:val="10"/>
                <w:color w:val="auto"/>
              </w:rPr>
            </w:pPr>
          </w:p>
        </w:tc>
        <w:tc>
          <w:tcPr>
            <w:tcW w:w="960" w:type="dxa"/>
            <w:vAlign w:val="bottom"/>
            <w:shd w:val="clear" w:color="auto" w:fill="F5F5F5"/>
          </w:tcPr>
          <w:p>
            <w:pPr>
              <w:spacing w:after="0"/>
              <w:rPr>
                <w:sz w:val="10"/>
                <w:szCs w:val="10"/>
                <w:color w:val="auto"/>
              </w:rPr>
            </w:pPr>
          </w:p>
        </w:tc>
        <w:tc>
          <w:tcPr>
            <w:tcW w:w="120" w:type="dxa"/>
            <w:vAlign w:val="bottom"/>
            <w:shd w:val="clear" w:color="auto" w:fill="F5F5F5"/>
          </w:tcPr>
          <w:p>
            <w:pPr>
              <w:spacing w:after="0"/>
              <w:rPr>
                <w:sz w:val="10"/>
                <w:szCs w:val="10"/>
                <w:color w:val="auto"/>
              </w:rPr>
            </w:pPr>
          </w:p>
        </w:tc>
        <w:tc>
          <w:tcPr>
            <w:tcW w:w="96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005388"/>
              </w:rPr>
              <w:t>Lynn S. McCreary*</w:t>
            </w: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4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restart"/>
          </w:tcPr>
          <w:p>
            <w:pPr>
              <w:spacing w:after="0"/>
              <w:rPr>
                <w:sz w:val="15"/>
                <w:szCs w:val="15"/>
                <w:color w:val="auto"/>
              </w:rPr>
            </w:pPr>
          </w:p>
        </w:tc>
        <w:tc>
          <w:tcPr>
            <w:tcW w:w="9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0" w:type="dxa"/>
            <w:vAlign w:val="bottom"/>
            <w:shd w:val="clear" w:color="auto" w:fill="00B8FC"/>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11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gridSpan w:val="4"/>
            <w:vMerge w:val="continue"/>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shd w:val="clear" w:color="auto" w:fill="F5F5F5"/>
          </w:tcPr>
          <w:p>
            <w:pPr>
              <w:spacing w:after="0"/>
              <w:rPr>
                <w:sz w:val="15"/>
                <w:szCs w:val="15"/>
                <w:color w:val="auto"/>
              </w:rPr>
            </w:pPr>
          </w:p>
        </w:tc>
        <w:tc>
          <w:tcPr>
            <w:tcW w:w="60" w:type="dxa"/>
            <w:vAlign w:val="bottom"/>
            <w:shd w:val="clear" w:color="auto" w:fill="F5F5F5"/>
          </w:tcPr>
          <w:p>
            <w:pPr>
              <w:spacing w:after="0"/>
              <w:rPr>
                <w:sz w:val="15"/>
                <w:szCs w:val="15"/>
                <w:color w:val="auto"/>
              </w:rPr>
            </w:pPr>
          </w:p>
        </w:tc>
        <w:tc>
          <w:tcPr>
            <w:tcW w:w="2700" w:type="dxa"/>
            <w:vAlign w:val="bottom"/>
            <w:gridSpan w:val="4"/>
            <w:vMerge w:val="restart"/>
            <w:shd w:val="clear" w:color="auto" w:fill="F5F5F5"/>
          </w:tcPr>
          <w:p>
            <w:pPr>
              <w:ind w:left="20"/>
              <w:spacing w:after="0"/>
              <w:rPr>
                <w:sz w:val="20"/>
                <w:szCs w:val="20"/>
                <w:color w:val="auto"/>
              </w:rPr>
            </w:pPr>
            <w:r>
              <w:rPr>
                <w:rFonts w:ascii="Arial" w:cs="Arial" w:eastAsia="Arial" w:hAnsi="Arial"/>
                <w:sz w:val="14"/>
                <w:szCs w:val="14"/>
                <w:b w:val="1"/>
                <w:bCs w:val="1"/>
                <w:color w:val="005388"/>
              </w:rPr>
              <w:t>Michael Montgomery*</w:t>
            </w:r>
          </w:p>
        </w:tc>
        <w:tc>
          <w:tcPr>
            <w:tcW w:w="98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00" w:type="dxa"/>
            <w:vAlign w:val="bottom"/>
            <w:vMerge w:val="restart"/>
            <w:shd w:val="clear" w:color="auto" w:fill="F5F5F5"/>
          </w:tcPr>
          <w:p>
            <w:pPr>
              <w:spacing w:after="0"/>
              <w:rPr>
                <w:sz w:val="15"/>
                <w:szCs w:val="15"/>
                <w:color w:val="auto"/>
              </w:rPr>
            </w:pPr>
          </w:p>
        </w:tc>
        <w:tc>
          <w:tcPr>
            <w:tcW w:w="114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1160" w:type="dxa"/>
            <w:vAlign w:val="bottom"/>
            <w:shd w:val="clear" w:color="auto" w:fill="F5F5F5"/>
          </w:tcPr>
          <w:p>
            <w:pPr>
              <w:spacing w:after="0"/>
              <w:rPr>
                <w:sz w:val="15"/>
                <w:szCs w:val="15"/>
                <w:color w:val="auto"/>
              </w:rPr>
            </w:pPr>
          </w:p>
        </w:tc>
        <w:tc>
          <w:tcPr>
            <w:tcW w:w="900" w:type="dxa"/>
            <w:vAlign w:val="bottom"/>
            <w:vMerge w:val="restart"/>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80" w:type="dxa"/>
            <w:vAlign w:val="bottom"/>
            <w:vMerge w:val="restart"/>
            <w:shd w:val="clear" w:color="auto" w:fill="F5F5F5"/>
          </w:tcPr>
          <w:p>
            <w:pPr>
              <w:spacing w:after="0"/>
              <w:rPr>
                <w:sz w:val="15"/>
                <w:szCs w:val="15"/>
                <w:color w:val="auto"/>
              </w:rPr>
            </w:pPr>
          </w:p>
        </w:tc>
        <w:tc>
          <w:tcPr>
            <w:tcW w:w="960" w:type="dxa"/>
            <w:vAlign w:val="bottom"/>
            <w:shd w:val="clear" w:color="auto" w:fill="F5F5F5"/>
          </w:tcPr>
          <w:p>
            <w:pPr>
              <w:spacing w:after="0"/>
              <w:rPr>
                <w:sz w:val="15"/>
                <w:szCs w:val="15"/>
                <w:color w:val="auto"/>
              </w:rPr>
            </w:pPr>
          </w:p>
        </w:tc>
        <w:tc>
          <w:tcPr>
            <w:tcW w:w="120" w:type="dxa"/>
            <w:vAlign w:val="bottom"/>
            <w:shd w:val="clear" w:color="auto" w:fill="F5F5F5"/>
          </w:tcPr>
          <w:p>
            <w:pPr>
              <w:spacing w:after="0"/>
              <w:rPr>
                <w:sz w:val="15"/>
                <w:szCs w:val="15"/>
                <w:color w:val="auto"/>
              </w:rPr>
            </w:pPr>
          </w:p>
        </w:tc>
        <w:tc>
          <w:tcPr>
            <w:tcW w:w="96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F5F5F5"/>
            </w:tcBorders>
            <w:shd w:val="clear" w:color="auto" w:fill="F5F5F5"/>
          </w:tcPr>
          <w:p>
            <w:pPr>
              <w:spacing w:after="0"/>
              <w:rPr>
                <w:sz w:val="13"/>
                <w:szCs w:val="13"/>
                <w:color w:val="auto"/>
              </w:rPr>
            </w:pPr>
          </w:p>
        </w:tc>
        <w:tc>
          <w:tcPr>
            <w:tcW w:w="60" w:type="dxa"/>
            <w:vAlign w:val="bottom"/>
            <w:tcBorders>
              <w:bottom w:val="single" w:sz="8" w:color="F5F5F5"/>
            </w:tcBorders>
            <w:shd w:val="clear" w:color="auto" w:fill="F5F5F5"/>
          </w:tcPr>
          <w:p>
            <w:pPr>
              <w:spacing w:after="0"/>
              <w:rPr>
                <w:sz w:val="13"/>
                <w:szCs w:val="13"/>
                <w:color w:val="auto"/>
              </w:rPr>
            </w:pPr>
          </w:p>
        </w:tc>
        <w:tc>
          <w:tcPr>
            <w:tcW w:w="2700" w:type="dxa"/>
            <w:vAlign w:val="bottom"/>
            <w:tcBorders>
              <w:bottom w:val="single" w:sz="8" w:color="F5F5F5"/>
            </w:tcBorders>
            <w:gridSpan w:val="4"/>
            <w:vMerge w:val="continue"/>
            <w:shd w:val="clear" w:color="auto" w:fill="F5F5F5"/>
          </w:tcPr>
          <w:p>
            <w:pPr>
              <w:spacing w:after="0"/>
              <w:rPr>
                <w:sz w:val="13"/>
                <w:szCs w:val="13"/>
                <w:color w:val="auto"/>
              </w:rPr>
            </w:pPr>
          </w:p>
        </w:tc>
        <w:tc>
          <w:tcPr>
            <w:tcW w:w="98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00" w:type="dxa"/>
            <w:vAlign w:val="bottom"/>
            <w:tcBorders>
              <w:bottom w:val="single" w:sz="8" w:color="F5F5F5"/>
            </w:tcBorders>
            <w:vMerge w:val="continue"/>
            <w:shd w:val="clear" w:color="auto" w:fill="F5F5F5"/>
          </w:tcPr>
          <w:p>
            <w:pPr>
              <w:spacing w:after="0"/>
              <w:rPr>
                <w:sz w:val="13"/>
                <w:szCs w:val="13"/>
                <w:color w:val="auto"/>
              </w:rPr>
            </w:pPr>
          </w:p>
        </w:tc>
        <w:tc>
          <w:tcPr>
            <w:tcW w:w="114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1160" w:type="dxa"/>
            <w:vAlign w:val="bottom"/>
            <w:tcBorders>
              <w:bottom w:val="single" w:sz="8" w:color="F5F5F5"/>
            </w:tcBorders>
            <w:shd w:val="clear" w:color="auto" w:fill="F5F5F5"/>
          </w:tcPr>
          <w:p>
            <w:pPr>
              <w:spacing w:after="0"/>
              <w:rPr>
                <w:sz w:val="13"/>
                <w:szCs w:val="13"/>
                <w:color w:val="auto"/>
              </w:rPr>
            </w:pPr>
          </w:p>
        </w:tc>
        <w:tc>
          <w:tcPr>
            <w:tcW w:w="900" w:type="dxa"/>
            <w:vAlign w:val="bottom"/>
            <w:tcBorders>
              <w:bottom w:val="single" w:sz="8" w:color="F5F5F5"/>
            </w:tcBorders>
            <w:vMerge w:val="continue"/>
            <w:shd w:val="clear" w:color="auto" w:fill="F5F5F5"/>
          </w:tcPr>
          <w:p>
            <w:pPr>
              <w:spacing w:after="0"/>
              <w:rPr>
                <w:sz w:val="13"/>
                <w:szCs w:val="13"/>
                <w:color w:val="auto"/>
              </w:rPr>
            </w:pPr>
          </w:p>
        </w:tc>
        <w:tc>
          <w:tcPr>
            <w:tcW w:w="120" w:type="dxa"/>
            <w:vAlign w:val="bottom"/>
            <w:tcBorders>
              <w:bottom w:val="single" w:sz="8" w:color="F5F5F5"/>
            </w:tcBorders>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80" w:type="dxa"/>
            <w:vAlign w:val="bottom"/>
            <w:tcBorders>
              <w:bottom w:val="single" w:sz="8" w:color="F5F5F5"/>
            </w:tcBorders>
            <w:vMerge w:val="continue"/>
            <w:shd w:val="clear" w:color="auto" w:fill="F5F5F5"/>
          </w:tcPr>
          <w:p>
            <w:pPr>
              <w:spacing w:after="0"/>
              <w:rPr>
                <w:sz w:val="13"/>
                <w:szCs w:val="13"/>
                <w:color w:val="auto"/>
              </w:rPr>
            </w:pPr>
          </w:p>
        </w:tc>
        <w:tc>
          <w:tcPr>
            <w:tcW w:w="960" w:type="dxa"/>
            <w:vAlign w:val="bottom"/>
            <w:tcBorders>
              <w:bottom w:val="single" w:sz="8" w:color="F5F5F5"/>
            </w:tcBorders>
            <w:shd w:val="clear" w:color="auto" w:fill="F5F5F5"/>
          </w:tcPr>
          <w:p>
            <w:pPr>
              <w:spacing w:after="0"/>
              <w:rPr>
                <w:sz w:val="13"/>
                <w:szCs w:val="13"/>
                <w:color w:val="auto"/>
              </w:rPr>
            </w:pPr>
          </w:p>
        </w:tc>
        <w:tc>
          <w:tcPr>
            <w:tcW w:w="120" w:type="dxa"/>
            <w:vAlign w:val="bottom"/>
            <w:tcBorders>
              <w:bottom w:val="single" w:sz="8" w:color="F5F5F5"/>
            </w:tcBorders>
            <w:shd w:val="clear" w:color="auto" w:fill="F5F5F5"/>
          </w:tcPr>
          <w:p>
            <w:pPr>
              <w:spacing w:after="0"/>
              <w:rPr>
                <w:sz w:val="13"/>
                <w:szCs w:val="13"/>
                <w:color w:val="auto"/>
              </w:rPr>
            </w:pPr>
          </w:p>
        </w:tc>
        <w:tc>
          <w:tcPr>
            <w:tcW w:w="960" w:type="dxa"/>
            <w:vAlign w:val="bottom"/>
            <w:tcBorders>
              <w:bottom w:val="single" w:sz="8" w:color="F5F5F5"/>
            </w:tcBorders>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6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200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14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116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8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120" w:type="dxa"/>
            <w:vAlign w:val="bottom"/>
            <w:shd w:val="clear" w:color="auto" w:fill="F5F5F5"/>
          </w:tcPr>
          <w:p>
            <w:pPr>
              <w:spacing w:after="0"/>
              <w:rPr>
                <w:sz w:val="14"/>
                <w:szCs w:val="14"/>
                <w:color w:val="auto"/>
              </w:rPr>
            </w:pPr>
          </w:p>
        </w:tc>
        <w:tc>
          <w:tcPr>
            <w:tcW w:w="96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005388"/>
              </w:rPr>
              <w:t>Regina Muehlhauser*</w:t>
            </w:r>
          </w:p>
        </w:tc>
        <w:tc>
          <w:tcPr>
            <w:tcW w:w="9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shd w:val="clear" w:color="auto" w:fill="DE762B"/>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9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20" w:type="dxa"/>
            <w:vAlign w:val="bottom"/>
            <w:shd w:val="clear" w:color="auto" w:fill="00B8FC"/>
          </w:tcPr>
          <w:p>
            <w:pPr>
              <w:jc w:val="cente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9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700" w:type="dxa"/>
            <w:vAlign w:val="bottom"/>
            <w:gridSpan w:val="4"/>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gridSpan w:val="2"/>
          </w:tcPr>
          <w:p>
            <w:pPr>
              <w:spacing w:after="0"/>
              <w:rPr>
                <w:sz w:val="14"/>
                <w:szCs w:val="14"/>
                <w:color w:val="auto"/>
              </w:rPr>
            </w:pPr>
          </w:p>
        </w:tc>
        <w:tc>
          <w:tcPr>
            <w:tcW w:w="52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tcPr>
          <w:p>
            <w:pPr>
              <w:spacing w:after="0"/>
              <w:rPr>
                <w:sz w:val="14"/>
                <w:szCs w:val="14"/>
                <w:color w:val="auto"/>
              </w:rPr>
            </w:pPr>
          </w:p>
        </w:tc>
        <w:tc>
          <w:tcPr>
            <w:tcW w:w="2000" w:type="dxa"/>
            <w:vAlign w:val="bottom"/>
            <w:tcBorders>
              <w:bottom w:val="single" w:sz="8" w:color="DE762B"/>
            </w:tcBorders>
          </w:tcPr>
          <w:p>
            <w:pPr>
              <w:spacing w:after="0"/>
              <w:rPr>
                <w:sz w:val="14"/>
                <w:szCs w:val="14"/>
                <w:color w:val="auto"/>
              </w:rPr>
            </w:pPr>
          </w:p>
        </w:tc>
        <w:tc>
          <w:tcPr>
            <w:tcW w:w="98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tcPr>
          <w:p>
            <w:pPr>
              <w:spacing w:after="0"/>
              <w:rPr>
                <w:sz w:val="14"/>
                <w:szCs w:val="14"/>
                <w:color w:val="auto"/>
              </w:rPr>
            </w:pPr>
          </w:p>
        </w:tc>
        <w:tc>
          <w:tcPr>
            <w:tcW w:w="900" w:type="dxa"/>
            <w:vAlign w:val="bottom"/>
            <w:tcBorders>
              <w:bottom w:val="single" w:sz="8" w:color="DE762B"/>
            </w:tcBorders>
          </w:tcPr>
          <w:p>
            <w:pPr>
              <w:spacing w:after="0"/>
              <w:rPr>
                <w:sz w:val="14"/>
                <w:szCs w:val="14"/>
                <w:color w:val="auto"/>
              </w:rPr>
            </w:pPr>
          </w:p>
        </w:tc>
        <w:tc>
          <w:tcPr>
            <w:tcW w:w="114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tcPr>
          <w:p>
            <w:pPr>
              <w:spacing w:after="0"/>
              <w:rPr>
                <w:sz w:val="14"/>
                <w:szCs w:val="14"/>
                <w:color w:val="auto"/>
              </w:rPr>
            </w:pPr>
          </w:p>
        </w:tc>
        <w:tc>
          <w:tcPr>
            <w:tcW w:w="1160" w:type="dxa"/>
            <w:vAlign w:val="bottom"/>
            <w:tcBorders>
              <w:bottom w:val="single" w:sz="8" w:color="DE762B"/>
            </w:tcBorders>
          </w:tcPr>
          <w:p>
            <w:pPr>
              <w:spacing w:after="0"/>
              <w:rPr>
                <w:sz w:val="14"/>
                <w:szCs w:val="14"/>
                <w:color w:val="auto"/>
              </w:rPr>
            </w:pPr>
          </w:p>
        </w:tc>
        <w:tc>
          <w:tcPr>
            <w:tcW w:w="90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tcPr>
          <w:p>
            <w:pPr>
              <w:spacing w:after="0"/>
              <w:rPr>
                <w:sz w:val="14"/>
                <w:szCs w:val="14"/>
                <w:color w:val="auto"/>
              </w:rPr>
            </w:pPr>
          </w:p>
        </w:tc>
        <w:tc>
          <w:tcPr>
            <w:tcW w:w="980" w:type="dxa"/>
            <w:vAlign w:val="bottom"/>
            <w:tcBorders>
              <w:bottom w:val="single" w:sz="8" w:color="DE762B"/>
            </w:tcBorders>
          </w:tcPr>
          <w:p>
            <w:pPr>
              <w:spacing w:after="0"/>
              <w:rPr>
                <w:sz w:val="14"/>
                <w:szCs w:val="14"/>
                <w:color w:val="auto"/>
              </w:rPr>
            </w:pPr>
          </w:p>
        </w:tc>
        <w:tc>
          <w:tcPr>
            <w:tcW w:w="960" w:type="dxa"/>
            <w:vAlign w:val="bottom"/>
            <w:tcBorders>
              <w:bottom w:val="single" w:sz="8" w:color="DE762B"/>
            </w:tcBorders>
          </w:tcPr>
          <w:p>
            <w:pPr>
              <w:spacing w:after="0"/>
              <w:rPr>
                <w:sz w:val="14"/>
                <w:szCs w:val="14"/>
                <w:color w:val="auto"/>
              </w:rPr>
            </w:pPr>
          </w:p>
        </w:tc>
        <w:tc>
          <w:tcPr>
            <w:tcW w:w="120" w:type="dxa"/>
            <w:vAlign w:val="bottom"/>
            <w:tcBorders>
              <w:bottom w:val="single" w:sz="8" w:color="DE762B"/>
            </w:tcBorders>
          </w:tcPr>
          <w:p>
            <w:pPr>
              <w:spacing w:after="0"/>
              <w:rPr>
                <w:sz w:val="14"/>
                <w:szCs w:val="14"/>
                <w:color w:val="auto"/>
              </w:rPr>
            </w:pPr>
          </w:p>
        </w:tc>
        <w:tc>
          <w:tcPr>
            <w:tcW w:w="960" w:type="dxa"/>
            <w:vAlign w:val="bottom"/>
            <w:tcBorders>
              <w:bottom w:val="single" w:sz="8" w:color="DE762B"/>
            </w:tcBorders>
          </w:tcPr>
          <w:p>
            <w:pPr>
              <w:spacing w:after="0"/>
              <w:rPr>
                <w:sz w:val="14"/>
                <w:szCs w:val="14"/>
                <w:color w:val="auto"/>
              </w:rPr>
            </w:pPr>
          </w:p>
        </w:tc>
        <w:tc>
          <w:tcPr>
            <w:tcW w:w="0" w:type="dxa"/>
            <w:vAlign w:val="bottom"/>
          </w:tcPr>
          <w:p>
            <w:pPr>
              <w:spacing w:after="0"/>
              <w:rPr>
                <w:sz w:val="1"/>
                <w:szCs w:val="1"/>
                <w:color w:val="auto"/>
              </w:rPr>
            </w:pPr>
          </w:p>
        </w:tc>
      </w:tr>
      <w:tr>
        <w:trPr>
          <w:trHeight w:val="330"/>
        </w:trPr>
        <w:tc>
          <w:tcPr>
            <w:tcW w:w="2780" w:type="dxa"/>
            <w:vAlign w:val="bottom"/>
            <w:gridSpan w:val="6"/>
          </w:tcPr>
          <w:p>
            <w:pPr>
              <w:spacing w:after="0"/>
              <w:rPr>
                <w:sz w:val="20"/>
                <w:szCs w:val="20"/>
                <w:color w:val="auto"/>
              </w:rPr>
            </w:pPr>
            <w:r>
              <w:rPr>
                <w:rFonts w:ascii="Arial" w:cs="Arial" w:eastAsia="Arial" w:hAnsi="Arial"/>
                <w:sz w:val="13"/>
                <w:szCs w:val="13"/>
                <w:color w:val="6D6D6D"/>
              </w:rPr>
              <w:t>* Independent Director</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20" w:type="dxa"/>
            <w:vAlign w:val="bottom"/>
            <w:gridSpan w:val="2"/>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3"/>
                <w:szCs w:val="13"/>
                <w:color w:val="6D6D6D"/>
              </w:rPr>
              <w:t>= Chair</w:t>
            </w:r>
          </w:p>
        </w:tc>
        <w:tc>
          <w:tcPr>
            <w:tcW w:w="120" w:type="dxa"/>
            <w:vAlign w:val="bottom"/>
          </w:tcPr>
          <w:p>
            <w:pPr>
              <w:spacing w:after="0"/>
              <w:rPr>
                <w:sz w:val="8"/>
                <w:szCs w:val="8"/>
                <w:color w:val="auto"/>
              </w:rPr>
            </w:pPr>
          </w:p>
        </w:tc>
        <w:tc>
          <w:tcPr>
            <w:tcW w:w="2000" w:type="dxa"/>
            <w:vAlign w:val="bottom"/>
            <w:vMerge w:val="restart"/>
          </w:tcPr>
          <w:p>
            <w:pPr>
              <w:ind w:left="60"/>
              <w:spacing w:after="0"/>
              <w:rPr>
                <w:sz w:val="20"/>
                <w:szCs w:val="20"/>
                <w:color w:val="auto"/>
              </w:rPr>
            </w:pPr>
            <w:r>
              <w:rPr>
                <w:rFonts w:ascii="Arial" w:cs="Arial" w:eastAsia="Arial" w:hAnsi="Arial"/>
                <w:sz w:val="13"/>
                <w:szCs w:val="13"/>
                <w:color w:val="6D6D6D"/>
              </w:rPr>
              <w:t>= Member</w:t>
            </w: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vMerge w:val="continue"/>
          </w:tcPr>
          <w:p>
            <w:pPr>
              <w:spacing w:after="0"/>
              <w:rPr>
                <w:sz w:val="10"/>
                <w:szCs w:val="10"/>
                <w:color w:val="auto"/>
              </w:rPr>
            </w:pPr>
          </w:p>
        </w:tc>
        <w:tc>
          <w:tcPr>
            <w:tcW w:w="120" w:type="dxa"/>
            <w:vAlign w:val="bottom"/>
            <w:gridSpan w:val="2"/>
            <w:shd w:val="clear" w:color="auto" w:fill="00B8FC"/>
          </w:tcPr>
          <w:p>
            <w:pPr>
              <w:spacing w:after="0" w:line="103" w:lineRule="exact"/>
              <w:rPr>
                <w:sz w:val="20"/>
                <w:szCs w:val="20"/>
                <w:color w:val="auto"/>
              </w:rPr>
            </w:pPr>
            <w:r>
              <w:rPr>
                <w:rFonts w:ascii="Wingdings" w:cs="Wingdings" w:eastAsia="Wingdings" w:hAnsi="Wingdings"/>
                <w:sz w:val="12"/>
                <w:szCs w:val="12"/>
                <w:b w:val="1"/>
                <w:bCs w:val="1"/>
                <w:color w:val="auto"/>
                <w:shd w:val="clear" w:color="auto" w:fill="00B8FC"/>
              </w:rPr>
              <w:t>n</w:t>
            </w:r>
          </w:p>
        </w:tc>
        <w:tc>
          <w:tcPr>
            <w:tcW w:w="520" w:type="dxa"/>
            <w:vAlign w:val="bottom"/>
            <w:vMerge w:val="continue"/>
          </w:tcPr>
          <w:p>
            <w:pPr>
              <w:spacing w:after="0"/>
              <w:rPr>
                <w:sz w:val="10"/>
                <w:szCs w:val="10"/>
                <w:color w:val="auto"/>
              </w:rPr>
            </w:pPr>
          </w:p>
        </w:tc>
        <w:tc>
          <w:tcPr>
            <w:tcW w:w="120" w:type="dxa"/>
            <w:vAlign w:val="bottom"/>
            <w:shd w:val="clear" w:color="auto" w:fill="DE762B"/>
          </w:tcPr>
          <w:p>
            <w:pPr>
              <w:spacing w:after="0" w:line="103" w:lineRule="exact"/>
              <w:rPr>
                <w:sz w:val="20"/>
                <w:szCs w:val="20"/>
                <w:color w:val="auto"/>
              </w:rPr>
            </w:pPr>
            <w:r>
              <w:rPr>
                <w:rFonts w:ascii="Wingdings" w:cs="Wingdings" w:eastAsia="Wingdings" w:hAnsi="Wingdings"/>
                <w:sz w:val="12"/>
                <w:szCs w:val="12"/>
                <w:b w:val="1"/>
                <w:bCs w:val="1"/>
                <w:color w:val="auto"/>
                <w:shd w:val="clear" w:color="auto" w:fill="DE762B"/>
              </w:rPr>
              <w:t>n</w:t>
            </w:r>
          </w:p>
        </w:tc>
        <w:tc>
          <w:tcPr>
            <w:tcW w:w="20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0" w:type="dxa"/>
            <w:vAlign w:val="bottom"/>
            <w:vMerge w:val="continue"/>
          </w:tcPr>
          <w:p>
            <w:pPr>
              <w:spacing w:after="0"/>
              <w:rPr>
                <w:sz w:val="4"/>
                <w:szCs w:val="4"/>
                <w:color w:val="auto"/>
              </w:rPr>
            </w:pPr>
          </w:p>
        </w:tc>
        <w:tc>
          <w:tcPr>
            <w:tcW w:w="120" w:type="dxa"/>
            <w:vAlign w:val="bottom"/>
            <w:gridSpan w:val="2"/>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-3491865</wp:posOffset>
            </wp:positionV>
            <wp:extent cx="33655" cy="31115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3111500"/>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-3491865</wp:posOffset>
            </wp:positionV>
            <wp:extent cx="34290" cy="3111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3111500"/>
                    </a:xfrm>
                    <a:prstGeom prst="rect">
                      <a:avLst/>
                    </a:prstGeom>
                    <a:noFill/>
                  </pic:spPr>
                </pic:pic>
              </a:graphicData>
            </a:graphic>
          </wp:anchor>
        </w:drawing>
        <w:drawing>
          <wp:anchor simplePos="0" relativeHeight="251657728" behindDoc="1" locked="0" layoutInCell="0" allowOverlap="1">
            <wp:simplePos x="0" y="0"/>
            <wp:positionH relativeFrom="column">
              <wp:posOffset>3061335</wp:posOffset>
            </wp:positionH>
            <wp:positionV relativeFrom="paragraph">
              <wp:posOffset>-3491865</wp:posOffset>
            </wp:positionV>
            <wp:extent cx="34290" cy="3111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3111500"/>
                    </a:xfrm>
                    <a:prstGeom prst="rect">
                      <a:avLst/>
                    </a:prstGeom>
                    <a:noFill/>
                  </pic:spPr>
                </pic:pic>
              </a:graphicData>
            </a:graphic>
          </wp:anchor>
        </w:drawing>
        <w:drawing>
          <wp:anchor simplePos="0" relativeHeight="251657728" behindDoc="1" locked="0" layoutInCell="0" allowOverlap="1">
            <wp:simplePos x="0" y="0"/>
            <wp:positionH relativeFrom="column">
              <wp:posOffset>1758315</wp:posOffset>
            </wp:positionH>
            <wp:positionV relativeFrom="paragraph">
              <wp:posOffset>-3491865</wp:posOffset>
            </wp:positionV>
            <wp:extent cx="34290" cy="31115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3111500"/>
                    </a:xfrm>
                    <a:prstGeom prst="rect">
                      <a:avLst/>
                    </a:prstGeom>
                    <a:noFill/>
                  </pic:spPr>
                </pic:pic>
              </a:graphicData>
            </a:graphic>
          </wp:anchor>
        </w:drawing>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Annual Meeting and the anticipated election of the director nominees, the Board plans to appoint Ms. McCreary as Chair of the Risk Committee and Ms. Huskins as Chair of the Governance and Nominating Committee. The Company will disclose such appointments on our website.</w:t>
      </w:r>
    </w:p>
    <w:p>
      <w:pPr>
        <w:spacing w:after="0" w:line="314"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22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1757045" cy="3968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57045" cy="396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Audit</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Committee</w:t>
      </w: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MEMBERS:</w:t>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Michael Embler (Chair)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Renu Agrawal</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John C. Erickson</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Michael Montgomery</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Regina Muehlhauser</w:t>
      </w:r>
    </w:p>
    <w:p>
      <w:pPr>
        <w:spacing w:after="0" w:line="226"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MEETINGS IN </w:t>
      </w:r>
      <w:r>
        <w:rPr>
          <w:rFonts w:ascii="Arial" w:cs="Arial" w:eastAsia="Arial" w:hAnsi="Arial"/>
          <w:sz w:val="16"/>
          <w:szCs w:val="16"/>
          <w:b w:val="1"/>
          <w:bCs w:val="1"/>
          <w:color w:val="000000"/>
        </w:rPr>
        <w:t>2025</w:t>
      </w:r>
      <w:r>
        <w:rPr>
          <w:rFonts w:ascii="Arial" w:cs="Arial" w:eastAsia="Arial" w:hAnsi="Arial"/>
          <w:sz w:val="16"/>
          <w:szCs w:val="16"/>
          <w:color w:val="0C2940"/>
        </w:rPr>
        <w:t xml:space="preserve">: </w:t>
      </w:r>
      <w:r>
        <w:rPr>
          <w:rFonts w:ascii="Arial" w:cs="Arial" w:eastAsia="Arial" w:hAnsi="Arial"/>
          <w:sz w:val="14"/>
          <w:szCs w:val="14"/>
          <w:color w:val="000000"/>
        </w:rPr>
        <w:t>9</w:t>
      </w:r>
    </w:p>
    <w:p>
      <w:pPr>
        <w:spacing w:after="0" w:line="77" w:lineRule="exact"/>
        <w:rPr>
          <w:sz w:val="20"/>
          <w:szCs w:val="20"/>
          <w:color w:val="auto"/>
        </w:rPr>
      </w:pPr>
    </w:p>
    <w:p>
      <w:pPr>
        <w:ind w:left="1260"/>
        <w:spacing w:after="0" w:line="265" w:lineRule="auto"/>
        <w:rPr>
          <w:sz w:val="20"/>
          <w:szCs w:val="20"/>
          <w:color w:val="auto"/>
        </w:rPr>
      </w:pPr>
      <w:r>
        <w:rPr>
          <w:rFonts w:ascii="Arial" w:cs="Arial" w:eastAsia="Arial" w:hAnsi="Arial"/>
          <w:sz w:val="14"/>
          <w:szCs w:val="14"/>
          <w:color w:val="auto"/>
        </w:rPr>
        <w:t>Each member qualifies as an "independent" director as defined under the applicable rules and regulations of NASDAQ and the SEC, and serves as an "audit committee financial expert" as that term is defined in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1161415</wp:posOffset>
            </wp:positionV>
            <wp:extent cx="1765935" cy="386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6593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Governance</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and</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Nominating</w:t>
      </w:r>
    </w:p>
    <w:p>
      <w:pPr>
        <w:spacing w:after="0" w:line="18"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Committee</w:t>
      </w: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MEMBERS:</w:t>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Lynn S. McCreary (Chair)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Priya Huskins</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Steven L. Scheid</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MEETINGS IN </w:t>
      </w:r>
      <w:r>
        <w:rPr>
          <w:rFonts w:ascii="Arial" w:cs="Arial" w:eastAsia="Arial" w:hAnsi="Arial"/>
          <w:sz w:val="16"/>
          <w:szCs w:val="16"/>
          <w:b w:val="1"/>
          <w:bCs w:val="1"/>
          <w:color w:val="000000"/>
        </w:rPr>
        <w:t>2025</w:t>
      </w:r>
      <w:r>
        <w:rPr>
          <w:rFonts w:ascii="Arial" w:cs="Arial" w:eastAsia="Arial" w:hAnsi="Arial"/>
          <w:sz w:val="16"/>
          <w:szCs w:val="16"/>
          <w:color w:val="0C2940"/>
        </w:rPr>
        <w:t xml:space="preserve">: </w:t>
      </w:r>
      <w:r>
        <w:rPr>
          <w:rFonts w:ascii="Arial" w:cs="Arial" w:eastAsia="Arial" w:hAnsi="Arial"/>
          <w:sz w:val="14"/>
          <w:szCs w:val="14"/>
          <w:color w:val="000000"/>
        </w:rPr>
        <w:t>4</w:t>
      </w:r>
    </w:p>
    <w:p>
      <w:pPr>
        <w:spacing w:after="0" w:line="77" w:lineRule="exact"/>
        <w:rPr>
          <w:sz w:val="20"/>
          <w:szCs w:val="20"/>
          <w:color w:val="auto"/>
        </w:rPr>
      </w:pPr>
    </w:p>
    <w:p>
      <w:pPr>
        <w:ind w:left="1260" w:right="220"/>
        <w:spacing w:after="0" w:line="269" w:lineRule="auto"/>
        <w:rPr>
          <w:sz w:val="20"/>
          <w:szCs w:val="20"/>
          <w:color w:val="auto"/>
        </w:rPr>
      </w:pPr>
      <w:r>
        <w:rPr>
          <w:rFonts w:ascii="Arial" w:cs="Arial" w:eastAsia="Arial" w:hAnsi="Arial"/>
          <w:sz w:val="14"/>
          <w:szCs w:val="14"/>
          <w:color w:val="auto"/>
        </w:rPr>
        <w:t>Each director qualifies as an "independent" director under the applicable rules and regulations of NASDAQ and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Audit Committee is responsible for, among other things, monitoring:</w:t>
      </w:r>
    </w:p>
    <w:p>
      <w:pPr>
        <w:spacing w:after="0" w:line="113" w:lineRule="exact"/>
        <w:rPr>
          <w:sz w:val="20"/>
          <w:szCs w:val="20"/>
          <w:color w:val="auto"/>
        </w:rPr>
      </w:pPr>
    </w:p>
    <w:p>
      <w:pPr>
        <w:ind w:left="203" w:hanging="203"/>
        <w:spacing w:after="0"/>
        <w:tabs>
          <w:tab w:leader="none" w:pos="203" w:val="left"/>
        </w:tabs>
        <w:numPr>
          <w:ilvl w:val="0"/>
          <w:numId w:val="22"/>
        </w:numPr>
        <w:rPr>
          <w:rFonts w:ascii="Arial" w:cs="Arial" w:eastAsia="Arial" w:hAnsi="Arial"/>
          <w:sz w:val="16"/>
          <w:szCs w:val="16"/>
          <w:color w:val="005388"/>
        </w:rPr>
      </w:pPr>
      <w:r>
        <w:rPr>
          <w:rFonts w:ascii="Arial" w:cs="Arial" w:eastAsia="Arial" w:hAnsi="Arial"/>
          <w:sz w:val="16"/>
          <w:szCs w:val="16"/>
          <w:color w:val="auto"/>
        </w:rPr>
        <w:t>the integrity of the financial statements of the Company;</w:t>
      </w:r>
    </w:p>
    <w:p>
      <w:pPr>
        <w:spacing w:after="0" w:line="72" w:lineRule="exact"/>
        <w:rPr>
          <w:rFonts w:ascii="Arial" w:cs="Arial" w:eastAsia="Arial" w:hAnsi="Arial"/>
          <w:sz w:val="16"/>
          <w:szCs w:val="16"/>
          <w:color w:val="005388"/>
        </w:rPr>
      </w:pPr>
    </w:p>
    <w:p>
      <w:pPr>
        <w:ind w:left="203" w:hanging="203"/>
        <w:spacing w:after="0"/>
        <w:tabs>
          <w:tab w:leader="none" w:pos="203" w:val="left"/>
        </w:tabs>
        <w:numPr>
          <w:ilvl w:val="0"/>
          <w:numId w:val="22"/>
        </w:numPr>
        <w:rPr>
          <w:rFonts w:ascii="Arial" w:cs="Arial" w:eastAsia="Arial" w:hAnsi="Arial"/>
          <w:sz w:val="16"/>
          <w:szCs w:val="16"/>
          <w:color w:val="005388"/>
        </w:rPr>
      </w:pPr>
      <w:r>
        <w:rPr>
          <w:rFonts w:ascii="Arial" w:cs="Arial" w:eastAsia="Arial" w:hAnsi="Arial"/>
          <w:sz w:val="16"/>
          <w:szCs w:val="16"/>
          <w:color w:val="auto"/>
        </w:rPr>
        <w:t>the independent auditor's qualifications and independence;</w:t>
      </w:r>
    </w:p>
    <w:p>
      <w:pPr>
        <w:spacing w:after="0" w:line="59" w:lineRule="exact"/>
        <w:rPr>
          <w:rFonts w:ascii="Arial" w:cs="Arial" w:eastAsia="Arial" w:hAnsi="Arial"/>
          <w:sz w:val="16"/>
          <w:szCs w:val="16"/>
          <w:color w:val="005388"/>
        </w:rPr>
      </w:pPr>
    </w:p>
    <w:p>
      <w:pPr>
        <w:ind w:left="243" w:right="1080" w:hanging="243"/>
        <w:spacing w:after="0" w:line="290" w:lineRule="auto"/>
        <w:tabs>
          <w:tab w:leader="none" w:pos="205" w:val="left"/>
        </w:tabs>
        <w:numPr>
          <w:ilvl w:val="0"/>
          <w:numId w:val="22"/>
        </w:numPr>
        <w:rPr>
          <w:rFonts w:ascii="Arial" w:cs="Arial" w:eastAsia="Arial" w:hAnsi="Arial"/>
          <w:sz w:val="16"/>
          <w:szCs w:val="16"/>
          <w:color w:val="005388"/>
        </w:rPr>
      </w:pPr>
      <w:r>
        <w:rPr>
          <w:rFonts w:ascii="Arial" w:cs="Arial" w:eastAsia="Arial" w:hAnsi="Arial"/>
          <w:sz w:val="16"/>
          <w:szCs w:val="16"/>
          <w:color w:val="auto"/>
        </w:rPr>
        <w:t>the performance of the Company's internal audit function and independent auditors;</w:t>
      </w:r>
    </w:p>
    <w:p>
      <w:pPr>
        <w:jc w:val="both"/>
        <w:ind w:left="243" w:right="1080" w:hanging="243"/>
        <w:spacing w:after="0" w:line="265" w:lineRule="auto"/>
        <w:tabs>
          <w:tab w:leader="none" w:pos="205" w:val="left"/>
        </w:tabs>
        <w:numPr>
          <w:ilvl w:val="0"/>
          <w:numId w:val="22"/>
        </w:numPr>
        <w:rPr>
          <w:rFonts w:ascii="Arial" w:cs="Arial" w:eastAsia="Arial" w:hAnsi="Arial"/>
          <w:sz w:val="16"/>
          <w:szCs w:val="16"/>
          <w:color w:val="005388"/>
        </w:rPr>
      </w:pPr>
      <w:r>
        <w:rPr>
          <w:rFonts w:ascii="Arial" w:cs="Arial" w:eastAsia="Arial" w:hAnsi="Arial"/>
          <w:sz w:val="16"/>
          <w:szCs w:val="16"/>
          <w:color w:val="auto"/>
        </w:rPr>
        <w:t>the Company's system of disclosure controls and system of internal controls over financial reporting, including , among other things, any material impact caused by information technology and cybersecurity risks or information security incidents; and</w:t>
      </w:r>
    </w:p>
    <w:p>
      <w:pPr>
        <w:spacing w:after="0" w:line="24" w:lineRule="exact"/>
        <w:rPr>
          <w:rFonts w:ascii="Arial" w:cs="Arial" w:eastAsia="Arial" w:hAnsi="Arial"/>
          <w:sz w:val="16"/>
          <w:szCs w:val="16"/>
          <w:color w:val="005388"/>
        </w:rPr>
      </w:pPr>
    </w:p>
    <w:p>
      <w:pPr>
        <w:ind w:left="203" w:hanging="203"/>
        <w:spacing w:after="0"/>
        <w:tabs>
          <w:tab w:leader="none" w:pos="203" w:val="left"/>
        </w:tabs>
        <w:numPr>
          <w:ilvl w:val="0"/>
          <w:numId w:val="22"/>
        </w:numPr>
        <w:rPr>
          <w:rFonts w:ascii="Arial" w:cs="Arial" w:eastAsia="Arial" w:hAnsi="Arial"/>
          <w:sz w:val="16"/>
          <w:szCs w:val="16"/>
          <w:color w:val="005388"/>
        </w:rPr>
      </w:pPr>
      <w:r>
        <w:rPr>
          <w:rFonts w:ascii="Arial" w:cs="Arial" w:eastAsia="Arial" w:hAnsi="Arial"/>
          <w:sz w:val="16"/>
          <w:szCs w:val="16"/>
          <w:color w:val="auto"/>
        </w:rPr>
        <w:t>the Company's compliance with legal and regulatory requirements.</w:t>
      </w:r>
    </w:p>
    <w:p>
      <w:pPr>
        <w:spacing w:after="0" w:line="167" w:lineRule="exact"/>
        <w:rPr>
          <w:sz w:val="20"/>
          <w:szCs w:val="20"/>
          <w:color w:val="auto"/>
        </w:rPr>
      </w:pPr>
    </w:p>
    <w:p>
      <w:pPr>
        <w:ind w:left="3"/>
        <w:spacing w:after="0"/>
        <w:rPr>
          <w:sz w:val="20"/>
          <w:szCs w:val="20"/>
          <w:color w:val="auto"/>
        </w:rPr>
      </w:pPr>
      <w:r>
        <w:rPr>
          <w:rFonts w:ascii="Arial" w:cs="Arial" w:eastAsia="Arial" w:hAnsi="Arial"/>
          <w:sz w:val="16"/>
          <w:szCs w:val="16"/>
          <w:color w:val="0C2940"/>
        </w:rPr>
        <w:t>AUDIT COMMITTEE REPORT</w:t>
      </w:r>
    </w:p>
    <w:p>
      <w:pPr>
        <w:spacing w:after="0" w:line="59" w:lineRule="exact"/>
        <w:rPr>
          <w:sz w:val="20"/>
          <w:szCs w:val="20"/>
          <w:color w:val="auto"/>
        </w:rPr>
      </w:pPr>
    </w:p>
    <w:p>
      <w:pPr>
        <w:jc w:val="both"/>
        <w:ind w:left="3" w:right="1080"/>
        <w:spacing w:after="0" w:line="259" w:lineRule="auto"/>
        <w:rPr>
          <w:sz w:val="20"/>
          <w:szCs w:val="20"/>
          <w:color w:val="auto"/>
        </w:rPr>
      </w:pPr>
      <w:r>
        <w:rPr>
          <w:rFonts w:ascii="Arial" w:cs="Arial" w:eastAsia="Arial" w:hAnsi="Arial"/>
          <w:sz w:val="16"/>
          <w:szCs w:val="16"/>
          <w:color w:val="auto"/>
        </w:rPr>
        <w:t>Before we filed our Annual Report on Form 10-K for the year ended December 31, 2025 with the SEC, the Audit Committee reviewed and discussed with management our audited Consolidated Financial Statements for the year ended December 31, 2025, and the notes thereto and other financial information included</w:t>
      </w:r>
    </w:p>
    <w:p>
      <w:pPr>
        <w:spacing w:after="0" w:line="1" w:lineRule="exact"/>
        <w:rPr>
          <w:sz w:val="20"/>
          <w:szCs w:val="20"/>
          <w:color w:val="auto"/>
        </w:rPr>
      </w:pPr>
    </w:p>
    <w:p>
      <w:pPr>
        <w:jc w:val="both"/>
        <w:ind w:left="3" w:right="1080"/>
        <w:spacing w:after="0" w:line="255" w:lineRule="auto"/>
        <w:rPr>
          <w:sz w:val="20"/>
          <w:szCs w:val="20"/>
          <w:color w:val="auto"/>
        </w:rPr>
      </w:pPr>
      <w:r>
        <w:rPr>
          <w:rFonts w:ascii="Arial" w:cs="Arial" w:eastAsia="Arial" w:hAnsi="Arial"/>
          <w:sz w:val="16"/>
          <w:szCs w:val="16"/>
          <w:color w:val="auto"/>
        </w:rPr>
        <w:t>in the report, including the section of the report entitled "</w:t>
      </w:r>
      <w:r>
        <w:rPr>
          <w:rFonts w:ascii="Arial" w:cs="Arial" w:eastAsia="Arial" w:hAnsi="Arial"/>
          <w:sz w:val="16"/>
          <w:szCs w:val="16"/>
          <w:i w:val="1"/>
          <w:iCs w:val="1"/>
          <w:color w:val="auto"/>
        </w:rPr>
        <w:t>Management's Discussion</w:t>
      </w:r>
      <w:r>
        <w:rPr>
          <w:rFonts w:ascii="Arial" w:cs="Arial" w:eastAsia="Arial" w:hAnsi="Arial"/>
          <w:sz w:val="16"/>
          <w:szCs w:val="16"/>
          <w:color w:val="auto"/>
        </w:rPr>
        <w:t xml:space="preserve"> </w:t>
      </w:r>
      <w:r>
        <w:rPr>
          <w:rFonts w:ascii="Arial" w:cs="Arial" w:eastAsia="Arial" w:hAnsi="Arial"/>
          <w:sz w:val="16"/>
          <w:szCs w:val="16"/>
          <w:i w:val="1"/>
          <w:iCs w:val="1"/>
          <w:color w:val="auto"/>
        </w:rPr>
        <w:t>and Analysis of Financial Condition and Results of Operations</w:t>
      </w:r>
      <w:r>
        <w:rPr>
          <w:rFonts w:ascii="Arial" w:cs="Arial" w:eastAsia="Arial" w:hAnsi="Arial"/>
          <w:sz w:val="16"/>
          <w:szCs w:val="16"/>
          <w:color w:val="auto"/>
        </w:rPr>
        <w:t>" (collectively, the</w:t>
      </w:r>
    </w:p>
    <w:p>
      <w:pPr>
        <w:spacing w:after="0" w:line="1" w:lineRule="exact"/>
        <w:rPr>
          <w:sz w:val="20"/>
          <w:szCs w:val="20"/>
          <w:color w:val="auto"/>
        </w:rPr>
      </w:pPr>
    </w:p>
    <w:p>
      <w:pPr>
        <w:jc w:val="both"/>
        <w:ind w:left="3" w:right="1080"/>
        <w:spacing w:after="0" w:line="255" w:lineRule="auto"/>
        <w:rPr>
          <w:sz w:val="20"/>
          <w:szCs w:val="20"/>
          <w:color w:val="auto"/>
        </w:rPr>
      </w:pPr>
      <w:r>
        <w:rPr>
          <w:rFonts w:ascii="Arial" w:cs="Arial" w:eastAsia="Arial" w:hAnsi="Arial"/>
          <w:sz w:val="16"/>
          <w:szCs w:val="16"/>
          <w:color w:val="auto"/>
        </w:rPr>
        <w:t>2025 10-K). The Audit Committee also discussed with BDO, our independent registered public accounting firm for 2025, the matters required to be discussed by Public Company Accounting Oversight Board (PCAOB) Auditing Standard 1301, including, among other things, matters related to the conduct of the audit of our financial statements. The Audit Committee has received the written disclosures and the letter from BDO required by applicable requirements of the PCAOB regarding BDO's communications with the Audit Committee concerning independence and has discussed with BDO their independence from the Company.</w:t>
      </w:r>
    </w:p>
    <w:p>
      <w:pPr>
        <w:spacing w:after="0" w:line="85" w:lineRule="exact"/>
        <w:rPr>
          <w:sz w:val="20"/>
          <w:szCs w:val="20"/>
          <w:color w:val="auto"/>
        </w:rPr>
      </w:pPr>
    </w:p>
    <w:p>
      <w:pPr>
        <w:jc w:val="both"/>
        <w:ind w:left="3" w:right="1080"/>
        <w:spacing w:after="0" w:line="275" w:lineRule="auto"/>
        <w:rPr>
          <w:sz w:val="20"/>
          <w:szCs w:val="20"/>
          <w:color w:val="auto"/>
        </w:rPr>
      </w:pPr>
      <w:r>
        <w:rPr>
          <w:rFonts w:ascii="Arial" w:cs="Arial" w:eastAsia="Arial" w:hAnsi="Arial"/>
          <w:sz w:val="16"/>
          <w:szCs w:val="16"/>
          <w:color w:val="auto"/>
        </w:rPr>
        <w:t>Based on its reviews and discussions described above, the Audit Committee recommended to our Board that our audited financial statements be included in our 2025 10-K, which we filed with the SEC.</w:t>
      </w:r>
    </w:p>
    <w:p>
      <w:pPr>
        <w:spacing w:after="0" w:line="200" w:lineRule="exact"/>
        <w:rPr>
          <w:sz w:val="20"/>
          <w:szCs w:val="20"/>
          <w:color w:val="auto"/>
        </w:rPr>
      </w:pPr>
    </w:p>
    <w:p>
      <w:pPr>
        <w:spacing w:after="0" w:line="248" w:lineRule="exact"/>
        <w:rPr>
          <w:sz w:val="20"/>
          <w:szCs w:val="20"/>
          <w:color w:val="auto"/>
        </w:rPr>
      </w:pPr>
    </w:p>
    <w:p>
      <w:pPr>
        <w:jc w:val="both"/>
        <w:ind w:left="23" w:right="1080"/>
        <w:spacing w:after="0" w:line="263" w:lineRule="auto"/>
        <w:rPr>
          <w:sz w:val="20"/>
          <w:szCs w:val="20"/>
          <w:color w:val="auto"/>
        </w:rPr>
      </w:pPr>
      <w:r>
        <w:rPr>
          <w:rFonts w:ascii="Arial" w:cs="Arial" w:eastAsia="Arial" w:hAnsi="Arial"/>
          <w:sz w:val="16"/>
          <w:szCs w:val="16"/>
          <w:color w:val="auto"/>
        </w:rPr>
        <w:t>The Governance and Nominating Committee is responsible for, among other things:</w:t>
      </w:r>
    </w:p>
    <w:p>
      <w:pPr>
        <w:spacing w:after="0" w:line="284" w:lineRule="exact"/>
        <w:rPr>
          <w:sz w:val="20"/>
          <w:szCs w:val="20"/>
          <w:color w:val="auto"/>
        </w:rPr>
      </w:pPr>
    </w:p>
    <w:p>
      <w:pPr>
        <w:ind w:left="263" w:right="1080" w:hanging="250"/>
        <w:spacing w:after="0" w:line="290" w:lineRule="auto"/>
        <w:tabs>
          <w:tab w:leader="none" w:pos="225"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identifying individuals qualified to become Board members and recommending to the Board nominees for election for the next annual meeting of stockholders;</w:t>
      </w:r>
    </w:p>
    <w:p>
      <w:pPr>
        <w:ind w:left="263" w:right="1080" w:hanging="250"/>
        <w:spacing w:after="0" w:line="290" w:lineRule="auto"/>
        <w:tabs>
          <w:tab w:leader="none" w:pos="225"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reviewing the qualifications and independence of the members of the Board and its committees on a regular basis;</w:t>
      </w:r>
    </w:p>
    <w:p>
      <w:pPr>
        <w:jc w:val="both"/>
        <w:ind w:left="263" w:right="1080" w:hanging="250"/>
        <w:spacing w:after="0" w:line="265" w:lineRule="auto"/>
        <w:tabs>
          <w:tab w:leader="none" w:pos="225"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recommending to the Board corporate governance guidelines and reviewing such guidelines, as well as the Governance and Nominating Committee charter, to confirm that they remain consistent with sound corporate governance practices and with any legal requirements;</w:t>
      </w:r>
    </w:p>
    <w:p>
      <w:pPr>
        <w:spacing w:after="0" w:line="24" w:lineRule="exact"/>
        <w:rPr>
          <w:rFonts w:ascii="Arial" w:cs="Arial" w:eastAsia="Arial" w:hAnsi="Arial"/>
          <w:sz w:val="16"/>
          <w:szCs w:val="16"/>
          <w:color w:val="005388"/>
        </w:rPr>
      </w:pPr>
    </w:p>
    <w:p>
      <w:pPr>
        <w:ind w:left="223" w:hanging="210"/>
        <w:spacing w:after="0"/>
        <w:tabs>
          <w:tab w:leader="none" w:pos="223"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overseeing our sustainability efforts and initiatives;</w:t>
      </w:r>
    </w:p>
    <w:p>
      <w:pPr>
        <w:spacing w:after="0" w:line="59" w:lineRule="exact"/>
        <w:rPr>
          <w:rFonts w:ascii="Arial" w:cs="Arial" w:eastAsia="Arial" w:hAnsi="Arial"/>
          <w:sz w:val="16"/>
          <w:szCs w:val="16"/>
          <w:color w:val="005388"/>
        </w:rPr>
      </w:pPr>
    </w:p>
    <w:p>
      <w:pPr>
        <w:ind w:left="263" w:right="1080" w:hanging="250"/>
        <w:spacing w:after="0" w:line="286" w:lineRule="auto"/>
        <w:tabs>
          <w:tab w:leader="none" w:pos="225"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leading the Board in its annual review of the Board's and its committees' performance; and</w:t>
      </w:r>
    </w:p>
    <w:p>
      <w:pPr>
        <w:spacing w:after="0" w:line="7" w:lineRule="exact"/>
        <w:rPr>
          <w:rFonts w:ascii="Arial" w:cs="Arial" w:eastAsia="Arial" w:hAnsi="Arial"/>
          <w:sz w:val="16"/>
          <w:szCs w:val="16"/>
          <w:color w:val="005388"/>
        </w:rPr>
      </w:pPr>
    </w:p>
    <w:p>
      <w:pPr>
        <w:ind w:left="223" w:hanging="210"/>
        <w:spacing w:after="0"/>
        <w:tabs>
          <w:tab w:leader="none" w:pos="223" w:val="left"/>
        </w:tabs>
        <w:numPr>
          <w:ilvl w:val="0"/>
          <w:numId w:val="23"/>
        </w:numPr>
        <w:rPr>
          <w:rFonts w:ascii="Arial" w:cs="Arial" w:eastAsia="Arial" w:hAnsi="Arial"/>
          <w:sz w:val="16"/>
          <w:szCs w:val="16"/>
          <w:color w:val="005388"/>
        </w:rPr>
      </w:pPr>
      <w:r>
        <w:rPr>
          <w:rFonts w:ascii="Arial" w:cs="Arial" w:eastAsia="Arial" w:hAnsi="Arial"/>
          <w:sz w:val="16"/>
          <w:szCs w:val="16"/>
          <w:color w:val="auto"/>
        </w:rPr>
        <w:t>recommending committee assignments for members of the Board.</w:t>
      </w:r>
    </w:p>
    <w:p>
      <w:pPr>
        <w:spacing w:after="0" w:line="113" w:lineRule="exact"/>
        <w:rPr>
          <w:sz w:val="20"/>
          <w:szCs w:val="20"/>
          <w:color w:val="auto"/>
        </w:rPr>
      </w:pPr>
    </w:p>
    <w:p>
      <w:pPr>
        <w:jc w:val="both"/>
        <w:ind w:left="23" w:right="1080"/>
        <w:spacing w:after="0" w:line="256" w:lineRule="auto"/>
        <w:rPr>
          <w:sz w:val="20"/>
          <w:szCs w:val="20"/>
          <w:color w:val="auto"/>
        </w:rPr>
      </w:pPr>
      <w:r>
        <w:rPr>
          <w:rFonts w:ascii="Arial" w:cs="Arial" w:eastAsia="Arial" w:hAnsi="Arial"/>
          <w:sz w:val="16"/>
          <w:szCs w:val="16"/>
          <w:color w:val="auto"/>
        </w:rPr>
        <w:t>The Governance and Nominating Committee evaluates director candidates for the Company's nominees for the Board under the criteria described above under "</w:t>
      </w:r>
      <w:r>
        <w:rPr>
          <w:rFonts w:ascii="Arial" w:cs="Arial" w:eastAsia="Arial" w:hAnsi="Arial"/>
          <w:sz w:val="16"/>
          <w:szCs w:val="16"/>
          <w:i w:val="1"/>
          <w:iCs w:val="1"/>
          <w:color w:val="auto"/>
        </w:rPr>
        <w:t>Election of Directors - Director Criteria, Qualifications, Experience and Tenure.</w:t>
      </w:r>
      <w:r>
        <w:rPr>
          <w:rFonts w:ascii="Arial" w:cs="Arial" w:eastAsia="Arial" w:hAnsi="Arial"/>
          <w:sz w:val="16"/>
          <w:szCs w:val="16"/>
          <w:color w:val="auto"/>
        </w:rPr>
        <w:t>" The Governance and Nominating Committee will consider recommendations from stockholders of record regarding director candidates, provided that the stockholder satisfied the requirements set forth in the Company's Bylaws and these nominations are received in writing and accompanied by sufficient information to enable the Governance and Nominating Committee to assess the candidate's qualifications, along with the candidate's consent to serve as a director if elected. Any recommendation received from a stockholder after January 1 of any year is not assured of being considered for nomination in that year. The Governance and Nominating Committee will evaluate any director candidates recommended by stockholders using the same process and criteria that apply to candidates recommended by other sources.</w:t>
      </w:r>
    </w:p>
    <w:p>
      <w:pPr>
        <w:spacing w:after="0" w:line="200" w:lineRule="exact"/>
        <w:rPr>
          <w:sz w:val="20"/>
          <w:szCs w:val="20"/>
          <w:color w:val="auto"/>
        </w:rPr>
      </w:pPr>
    </w:p>
    <w:p>
      <w:pPr>
        <w:sectPr>
          <w:pgSz w:w="11900" w:h="16838" w:orient="portrait"/>
          <w:cols w:equalWidth="0" w:num="2">
            <w:col w:w="3660" w:space="497"/>
            <w:col w:w="7063"/>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23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1757045" cy="34290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570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Risk</w:t>
      </w:r>
    </w:p>
    <w:p>
      <w:pPr>
        <w:spacing w:after="0" w:line="54" w:lineRule="exact"/>
        <w:rPr>
          <w:sz w:val="20"/>
          <w:szCs w:val="20"/>
          <w:color w:val="auto"/>
        </w:rPr>
      </w:pPr>
    </w:p>
    <w:p>
      <w:pPr>
        <w:ind w:left="1260"/>
        <w:spacing w:after="0"/>
        <w:rPr>
          <w:sz w:val="20"/>
          <w:szCs w:val="20"/>
          <w:color w:val="auto"/>
        </w:rPr>
      </w:pPr>
      <w:r>
        <w:rPr>
          <w:rFonts w:ascii="Arial" w:cs="Arial" w:eastAsia="Arial" w:hAnsi="Arial"/>
          <w:sz w:val="36"/>
          <w:szCs w:val="36"/>
          <w:b w:val="1"/>
          <w:bCs w:val="1"/>
          <w:color w:val="005388"/>
        </w:rPr>
        <w:t>Committee</w:t>
      </w:r>
    </w:p>
    <w:p>
      <w:pPr>
        <w:spacing w:after="0" w:line="200" w:lineRule="exact"/>
        <w:rPr>
          <w:sz w:val="20"/>
          <w:szCs w:val="20"/>
          <w:color w:val="auto"/>
        </w:rPr>
      </w:pPr>
    </w:p>
    <w:p>
      <w:pPr>
        <w:spacing w:after="0" w:line="400"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MEMBERS:</w:t>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Regina Muehlhauser (Chair)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Renu Agrawal</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John C. Erickson</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Michael Montgomery</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Lynn S. McCreary</w:t>
      </w:r>
    </w:p>
    <w:p>
      <w:pPr>
        <w:spacing w:after="0" w:line="158"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MEETINGS IN </w:t>
      </w:r>
      <w:r>
        <w:rPr>
          <w:rFonts w:ascii="Arial" w:cs="Arial" w:eastAsia="Arial" w:hAnsi="Arial"/>
          <w:sz w:val="16"/>
          <w:szCs w:val="16"/>
          <w:b w:val="1"/>
          <w:bCs w:val="1"/>
          <w:color w:val="000000"/>
        </w:rPr>
        <w:t>2025</w:t>
      </w:r>
      <w:r>
        <w:rPr>
          <w:rFonts w:ascii="Arial" w:cs="Arial" w:eastAsia="Arial" w:hAnsi="Arial"/>
          <w:sz w:val="16"/>
          <w:szCs w:val="16"/>
          <w:color w:val="0C2940"/>
        </w:rPr>
        <w:t xml:space="preserve">: </w:t>
      </w:r>
      <w:r>
        <w:rPr>
          <w:rFonts w:ascii="Arial" w:cs="Arial" w:eastAsia="Arial" w:hAnsi="Arial"/>
          <w:sz w:val="14"/>
          <w:szCs w:val="14"/>
          <w:color w:val="000000"/>
        </w:rPr>
        <w:t>4</w:t>
      </w:r>
    </w:p>
    <w:p>
      <w:pPr>
        <w:spacing w:after="0" w:line="77" w:lineRule="exact"/>
        <w:rPr>
          <w:sz w:val="20"/>
          <w:szCs w:val="20"/>
          <w:color w:val="auto"/>
        </w:rPr>
      </w:pPr>
    </w:p>
    <w:p>
      <w:pPr>
        <w:ind w:left="1260"/>
        <w:spacing w:after="0" w:line="269" w:lineRule="auto"/>
        <w:rPr>
          <w:sz w:val="20"/>
          <w:szCs w:val="20"/>
          <w:color w:val="auto"/>
        </w:rPr>
      </w:pPr>
      <w:r>
        <w:rPr>
          <w:rFonts w:ascii="Arial" w:cs="Arial" w:eastAsia="Arial" w:hAnsi="Arial"/>
          <w:sz w:val="14"/>
          <w:szCs w:val="14"/>
          <w:color w:val="auto"/>
        </w:rPr>
        <w:t>Each director qualifies as an "independent" director under the applicable rules and regulations of NASDAQ and the SEC.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3" w:right="1080"/>
        <w:spacing w:after="0" w:line="267" w:lineRule="auto"/>
        <w:rPr>
          <w:sz w:val="20"/>
          <w:szCs w:val="20"/>
          <w:color w:val="auto"/>
        </w:rPr>
      </w:pPr>
      <w:r>
        <w:rPr>
          <w:rFonts w:ascii="Arial" w:cs="Arial" w:eastAsia="Arial" w:hAnsi="Arial"/>
          <w:sz w:val="16"/>
          <w:szCs w:val="16"/>
          <w:color w:val="auto"/>
        </w:rPr>
        <w:t>The Risk Committee is responsible for the oversight of the Company's management of key risks and exposures that could materially impact the Company and management's operation of the Company's mortgage insurance business and the management of the Company's investment portfolio, including, among other things:</w:t>
      </w:r>
    </w:p>
    <w:p>
      <w:pPr>
        <w:spacing w:after="0" w:line="261" w:lineRule="exact"/>
        <w:rPr>
          <w:sz w:val="20"/>
          <w:szCs w:val="20"/>
          <w:color w:val="auto"/>
        </w:rPr>
      </w:pPr>
    </w:p>
    <w:p>
      <w:pPr>
        <w:ind w:left="243" w:right="1080" w:hanging="243"/>
        <w:spacing w:after="0" w:line="286"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monitoring the performance of the Company's insured books of business and the principal factors affecting performance;</w:t>
      </w:r>
    </w:p>
    <w:p>
      <w:pPr>
        <w:spacing w:after="0" w:line="7" w:lineRule="exact"/>
        <w:rPr>
          <w:rFonts w:ascii="Arial" w:cs="Arial" w:eastAsia="Arial" w:hAnsi="Arial"/>
          <w:sz w:val="16"/>
          <w:szCs w:val="16"/>
          <w:color w:val="005388"/>
        </w:rPr>
      </w:pPr>
    </w:p>
    <w:p>
      <w:pPr>
        <w:ind w:left="243" w:right="1080" w:hanging="243"/>
        <w:spacing w:after="0" w:line="286"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discussing, reviewing and monitoring the Company's mortgage insurance products, including premium rates, underwriting guidelines and returns;</w:t>
      </w:r>
    </w:p>
    <w:p>
      <w:pPr>
        <w:spacing w:after="0" w:line="7" w:lineRule="exact"/>
        <w:rPr>
          <w:rFonts w:ascii="Arial" w:cs="Arial" w:eastAsia="Arial" w:hAnsi="Arial"/>
          <w:sz w:val="16"/>
          <w:szCs w:val="16"/>
          <w:color w:val="005388"/>
        </w:rPr>
      </w:pPr>
    </w:p>
    <w:p>
      <w:pPr>
        <w:ind w:left="243" w:right="1080" w:hanging="243"/>
        <w:spacing w:after="0" w:line="281"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reviewing and approving the Company's investment policy and reviewing the performance of the investment portfolio;</w:t>
      </w:r>
    </w:p>
    <w:p>
      <w:pPr>
        <w:spacing w:after="0" w:line="1" w:lineRule="exact"/>
        <w:rPr>
          <w:rFonts w:ascii="Arial" w:cs="Arial" w:eastAsia="Arial" w:hAnsi="Arial"/>
          <w:sz w:val="16"/>
          <w:szCs w:val="16"/>
          <w:color w:val="005388"/>
        </w:rPr>
      </w:pPr>
    </w:p>
    <w:p>
      <w:pPr>
        <w:jc w:val="both"/>
        <w:ind w:left="243" w:right="1080" w:hanging="243"/>
        <w:spacing w:after="0" w:line="265"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reviewing the mortgage insurance operating environment, including the state of local and regional housing markets, competitive forces affecting the Company and the Company's relationships with residential mortgage lenders and investors;</w:t>
      </w:r>
    </w:p>
    <w:p>
      <w:pPr>
        <w:spacing w:after="0" w:line="24" w:lineRule="exact"/>
        <w:rPr>
          <w:rFonts w:ascii="Arial" w:cs="Arial" w:eastAsia="Arial" w:hAnsi="Arial"/>
          <w:sz w:val="16"/>
          <w:szCs w:val="16"/>
          <w:color w:val="005388"/>
        </w:rPr>
      </w:pPr>
    </w:p>
    <w:p>
      <w:pPr>
        <w:jc w:val="both"/>
        <w:ind w:left="243" w:right="1080" w:hanging="243"/>
        <w:spacing w:after="0" w:line="260"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overseeing the Company’s information systems and information security/cybersecurity program, including but not limited to controls and procedures designed to safeguard and maintain the integrity of our IT systems, and to prevent and detect unauthorized access to our IT systems by threats or bad actors;</w:t>
      </w:r>
    </w:p>
    <w:p>
      <w:pPr>
        <w:spacing w:after="0" w:line="29" w:lineRule="exact"/>
        <w:rPr>
          <w:rFonts w:ascii="Arial" w:cs="Arial" w:eastAsia="Arial" w:hAnsi="Arial"/>
          <w:sz w:val="16"/>
          <w:szCs w:val="16"/>
          <w:color w:val="005388"/>
        </w:rPr>
      </w:pPr>
    </w:p>
    <w:p>
      <w:pPr>
        <w:jc w:val="both"/>
        <w:ind w:left="243" w:right="1080" w:hanging="243"/>
        <w:spacing w:after="0" w:line="275"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assisting the Board in its oversight of the Company's enterprise risk management approach, including the significant risk management policies, procedures and processes; and</w:t>
      </w:r>
    </w:p>
    <w:p>
      <w:pPr>
        <w:spacing w:after="0" w:line="2" w:lineRule="exact"/>
        <w:rPr>
          <w:rFonts w:ascii="Arial" w:cs="Arial" w:eastAsia="Arial" w:hAnsi="Arial"/>
          <w:sz w:val="16"/>
          <w:szCs w:val="16"/>
          <w:color w:val="005388"/>
        </w:rPr>
      </w:pPr>
    </w:p>
    <w:p>
      <w:pPr>
        <w:ind w:left="243" w:right="1080" w:hanging="243"/>
        <w:spacing w:after="0" w:line="286" w:lineRule="auto"/>
        <w:tabs>
          <w:tab w:leader="none" w:pos="205" w:val="left"/>
        </w:tabs>
        <w:numPr>
          <w:ilvl w:val="0"/>
          <w:numId w:val="24"/>
        </w:numPr>
        <w:rPr>
          <w:rFonts w:ascii="Arial" w:cs="Arial" w:eastAsia="Arial" w:hAnsi="Arial"/>
          <w:sz w:val="16"/>
          <w:szCs w:val="16"/>
          <w:color w:val="005388"/>
        </w:rPr>
      </w:pPr>
      <w:r>
        <w:rPr>
          <w:rFonts w:ascii="Arial" w:cs="Arial" w:eastAsia="Arial" w:hAnsi="Arial"/>
          <w:sz w:val="16"/>
          <w:szCs w:val="16"/>
          <w:color w:val="auto"/>
        </w:rPr>
        <w:t>reviewing and approving the Company's directors and officers liability coverage for adequacy and scope.</w:t>
      </w:r>
    </w:p>
    <w:p>
      <w:pPr>
        <w:spacing w:after="0" w:line="200" w:lineRule="exact"/>
        <w:rPr>
          <w:sz w:val="20"/>
          <w:szCs w:val="20"/>
          <w:color w:val="auto"/>
        </w:rPr>
      </w:pPr>
    </w:p>
    <w:p>
      <w:pPr>
        <w:sectPr>
          <w:pgSz w:w="11900" w:h="16838" w:orient="portrait"/>
          <w:cols w:equalWidth="0" w:num="2">
            <w:col w:w="3440" w:space="717"/>
            <w:col w:w="7063"/>
          </w:cols>
          <w:pgMar w:left="320" w:top="130" w:right="359" w:bottom="1440" w:gutter="0" w:footer="0" w:header="0"/>
        </w:sectPr>
      </w:pPr>
    </w:p>
    <w:p>
      <w:pPr>
        <w:spacing w:after="0" w:line="34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24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469265</wp:posOffset>
            </wp:positionV>
            <wp:extent cx="1783080" cy="4723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4723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60"/>
        <w:spacing w:after="0" w:line="313" w:lineRule="auto"/>
        <w:rPr>
          <w:sz w:val="20"/>
          <w:szCs w:val="20"/>
          <w:color w:val="auto"/>
        </w:rPr>
      </w:pPr>
      <w:r>
        <w:rPr>
          <w:rFonts w:ascii="Arial" w:cs="Arial" w:eastAsia="Arial" w:hAnsi="Arial"/>
          <w:sz w:val="35"/>
          <w:szCs w:val="35"/>
          <w:b w:val="1"/>
          <w:bCs w:val="1"/>
          <w:color w:val="005388"/>
        </w:rPr>
        <w:t>Compensation Committee</w:t>
      </w: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MEMBERS:</w:t>
      </w:r>
    </w:p>
    <w:p>
      <w:pPr>
        <w:spacing w:after="0" w:line="64"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Steven L. Scheid (Chair)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Michael Embler</w:t>
      </w:r>
    </w:p>
    <w:p>
      <w:pPr>
        <w:spacing w:after="0" w:line="69" w:lineRule="exact"/>
        <w:rPr>
          <w:sz w:val="20"/>
          <w:szCs w:val="20"/>
          <w:color w:val="auto"/>
        </w:rPr>
      </w:pPr>
    </w:p>
    <w:p>
      <w:pPr>
        <w:ind w:left="1260"/>
        <w:spacing w:after="0"/>
        <w:rPr>
          <w:sz w:val="20"/>
          <w:szCs w:val="20"/>
          <w:color w:val="auto"/>
        </w:rPr>
      </w:pPr>
      <w:r>
        <w:rPr>
          <w:rFonts w:ascii="Arial" w:cs="Arial" w:eastAsia="Arial" w:hAnsi="Arial"/>
          <w:sz w:val="14"/>
          <w:szCs w:val="14"/>
          <w:color w:val="auto"/>
        </w:rPr>
        <w:t>Priya Huskins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 xml:space="preserve">MEETINGS IN </w:t>
      </w:r>
      <w:r>
        <w:rPr>
          <w:rFonts w:ascii="Arial" w:cs="Arial" w:eastAsia="Arial" w:hAnsi="Arial"/>
          <w:sz w:val="16"/>
          <w:szCs w:val="16"/>
          <w:b w:val="1"/>
          <w:bCs w:val="1"/>
          <w:color w:val="000000"/>
        </w:rPr>
        <w:t>2025</w:t>
      </w:r>
      <w:r>
        <w:rPr>
          <w:rFonts w:ascii="Arial" w:cs="Arial" w:eastAsia="Arial" w:hAnsi="Arial"/>
          <w:sz w:val="16"/>
          <w:szCs w:val="16"/>
          <w:color w:val="0C2940"/>
        </w:rPr>
        <w:t xml:space="preserve">: </w:t>
      </w:r>
      <w:r>
        <w:rPr>
          <w:rFonts w:ascii="Arial" w:cs="Arial" w:eastAsia="Arial" w:hAnsi="Arial"/>
          <w:sz w:val="14"/>
          <w:szCs w:val="14"/>
          <w:color w:val="000000"/>
        </w:rPr>
        <w:t>6</w:t>
      </w:r>
    </w:p>
    <w:p>
      <w:pPr>
        <w:spacing w:after="0" w:line="64" w:lineRule="exact"/>
        <w:rPr>
          <w:sz w:val="20"/>
          <w:szCs w:val="20"/>
          <w:color w:val="auto"/>
        </w:rPr>
      </w:pPr>
    </w:p>
    <w:p>
      <w:pPr>
        <w:ind w:left="1260" w:right="320"/>
        <w:spacing w:after="0" w:line="276" w:lineRule="auto"/>
        <w:rPr>
          <w:sz w:val="20"/>
          <w:szCs w:val="20"/>
          <w:color w:val="auto"/>
        </w:rPr>
      </w:pPr>
      <w:r>
        <w:rPr>
          <w:rFonts w:ascii="Arial" w:cs="Arial" w:eastAsia="Arial" w:hAnsi="Arial"/>
          <w:sz w:val="14"/>
          <w:szCs w:val="14"/>
          <w:color w:val="auto"/>
        </w:rPr>
        <w:t>Each director qualifies as an "independent" director under the applicable rules and regulations of NASDAQ and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0C2940"/>
        </w:rPr>
        <w:t>BOARD OVERSIGHT OF RISK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is responsible for, among other things:</w:t>
      </w:r>
    </w:p>
    <w:p>
      <w:pPr>
        <w:spacing w:after="0" w:line="113" w:lineRule="exact"/>
        <w:rPr>
          <w:sz w:val="20"/>
          <w:szCs w:val="20"/>
          <w:color w:val="auto"/>
        </w:rPr>
      </w:pPr>
    </w:p>
    <w:p>
      <w:pPr>
        <w:jc w:val="both"/>
        <w:ind w:left="240" w:right="1100" w:hanging="236"/>
        <w:spacing w:after="0" w:line="271"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overseeing our executive compensation program, including approving corporate objectives relating to compensation for our President and CEO, Executive Chairman and other senior executives and determining the annual compensation of our CEO, Executive Chairman and other senior executives;</w:t>
      </w:r>
    </w:p>
    <w:p>
      <w:pPr>
        <w:spacing w:after="0" w:line="59" w:lineRule="exact"/>
        <w:rPr>
          <w:rFonts w:ascii="Arial" w:cs="Arial" w:eastAsia="Arial" w:hAnsi="Arial"/>
          <w:sz w:val="16"/>
          <w:szCs w:val="16"/>
          <w:color w:val="005388"/>
        </w:rPr>
      </w:pPr>
    </w:p>
    <w:p>
      <w:pPr>
        <w:ind w:left="240" w:right="1120" w:hanging="236"/>
        <w:spacing w:after="0" w:line="286"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reviewing and approving the compensation policy recommended by management with respect to other employees;</w:t>
      </w:r>
    </w:p>
    <w:p>
      <w:pPr>
        <w:spacing w:after="0" w:line="61" w:lineRule="exact"/>
        <w:rPr>
          <w:rFonts w:ascii="Arial" w:cs="Arial" w:eastAsia="Arial" w:hAnsi="Arial"/>
          <w:sz w:val="16"/>
          <w:szCs w:val="16"/>
          <w:color w:val="005388"/>
        </w:rPr>
      </w:pPr>
    </w:p>
    <w:p>
      <w:pPr>
        <w:ind w:left="240" w:right="1100" w:hanging="236"/>
        <w:spacing w:after="0" w:line="286"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determining, subject to ratification by our independent directors, the compensation of our independent directors;</w:t>
      </w:r>
    </w:p>
    <w:p>
      <w:pPr>
        <w:spacing w:after="0" w:line="61" w:lineRule="exact"/>
        <w:rPr>
          <w:rFonts w:ascii="Arial" w:cs="Arial" w:eastAsia="Arial" w:hAnsi="Arial"/>
          <w:sz w:val="16"/>
          <w:szCs w:val="16"/>
          <w:color w:val="005388"/>
        </w:rPr>
      </w:pPr>
    </w:p>
    <w:p>
      <w:pPr>
        <w:jc w:val="both"/>
        <w:ind w:left="240" w:right="1100" w:hanging="236"/>
        <w:spacing w:after="0" w:line="260"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evaluating the relationship between our risk management practices and our compensation policies and practices applicable to all employees, including our President and CEO, Executive Chairman and other senior executives, to consider whether they encourage risk-taking that would be reasonably likely to have a material adverse effect on the Company;</w:t>
      </w:r>
    </w:p>
    <w:p>
      <w:pPr>
        <w:spacing w:after="0" w:line="69" w:lineRule="exact"/>
        <w:rPr>
          <w:rFonts w:ascii="Arial" w:cs="Arial" w:eastAsia="Arial" w:hAnsi="Arial"/>
          <w:sz w:val="16"/>
          <w:szCs w:val="16"/>
          <w:color w:val="005388"/>
        </w:rPr>
      </w:pPr>
    </w:p>
    <w:p>
      <w:pPr>
        <w:ind w:left="240" w:right="1100" w:hanging="236"/>
        <w:spacing w:after="0" w:line="304"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reviewing and approving incentive and equity-based compensation plans and grants;</w:t>
      </w:r>
    </w:p>
    <w:p>
      <w:pPr>
        <w:spacing w:after="0" w:line="33" w:lineRule="exact"/>
        <w:rPr>
          <w:rFonts w:ascii="Arial" w:cs="Arial" w:eastAsia="Arial" w:hAnsi="Arial"/>
          <w:sz w:val="16"/>
          <w:szCs w:val="16"/>
          <w:color w:val="005388"/>
        </w:rPr>
      </w:pPr>
    </w:p>
    <w:p>
      <w:pPr>
        <w:ind w:left="200" w:hanging="196"/>
        <w:spacing w:after="0"/>
        <w:tabs>
          <w:tab w:leader="none" w:pos="200"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reviewing transition and succession planning for senior executives; and</w:t>
      </w:r>
    </w:p>
    <w:p>
      <w:pPr>
        <w:spacing w:after="0" w:line="126" w:lineRule="exact"/>
        <w:rPr>
          <w:rFonts w:ascii="Arial" w:cs="Arial" w:eastAsia="Arial" w:hAnsi="Arial"/>
          <w:sz w:val="16"/>
          <w:szCs w:val="16"/>
          <w:color w:val="005388"/>
        </w:rPr>
      </w:pPr>
    </w:p>
    <w:p>
      <w:pPr>
        <w:ind w:left="240" w:right="1120" w:hanging="236"/>
        <w:spacing w:after="0" w:line="286" w:lineRule="auto"/>
        <w:tabs>
          <w:tab w:leader="none" w:pos="202" w:val="left"/>
        </w:tabs>
        <w:numPr>
          <w:ilvl w:val="0"/>
          <w:numId w:val="25"/>
        </w:numPr>
        <w:rPr>
          <w:rFonts w:ascii="Arial" w:cs="Arial" w:eastAsia="Arial" w:hAnsi="Arial"/>
          <w:sz w:val="16"/>
          <w:szCs w:val="16"/>
          <w:color w:val="005388"/>
        </w:rPr>
      </w:pPr>
      <w:r>
        <w:rPr>
          <w:rFonts w:ascii="Arial" w:cs="Arial" w:eastAsia="Arial" w:hAnsi="Arial"/>
          <w:sz w:val="16"/>
          <w:szCs w:val="16"/>
          <w:color w:val="auto"/>
        </w:rPr>
        <w:t>preparing the Compensation Committee Report and reviewing any Compensation Discussion and Analysis included in our proxy statements.</w:t>
      </w:r>
    </w:p>
    <w:p>
      <w:pPr>
        <w:spacing w:after="0" w:line="48" w:lineRule="exact"/>
        <w:rPr>
          <w:sz w:val="20"/>
          <w:szCs w:val="20"/>
          <w:color w:val="auto"/>
        </w:rPr>
      </w:pPr>
    </w:p>
    <w:p>
      <w:pPr>
        <w:jc w:val="both"/>
        <w:ind w:right="1100"/>
        <w:spacing w:after="0" w:line="257" w:lineRule="auto"/>
        <w:rPr>
          <w:sz w:val="20"/>
          <w:szCs w:val="20"/>
          <w:color w:val="auto"/>
        </w:rPr>
      </w:pPr>
      <w:r>
        <w:rPr>
          <w:rFonts w:ascii="Arial" w:cs="Arial" w:eastAsia="Arial" w:hAnsi="Arial"/>
          <w:sz w:val="16"/>
          <w:szCs w:val="16"/>
          <w:color w:val="auto"/>
        </w:rPr>
        <w:t>The Compensation Committee has the authority to secure the services of independent, external advisers to be used by the Compensation Committee in the exercise of its responsibilities, including review of executive compensation and Board compensation, and to perform any other analysis that the Compensation Committee deems appropriate. The Compensation Committee engaged Semler Brossy Consulting Group, LLC (Semler Brossy or the Compensation Consultant), an independent compensation consultant, to assist it in evaluating executive and director compensation programs and levels. See "</w:t>
      </w:r>
      <w:r>
        <w:rPr>
          <w:rFonts w:ascii="Arial" w:cs="Arial" w:eastAsia="Arial" w:hAnsi="Arial"/>
          <w:sz w:val="16"/>
          <w:szCs w:val="16"/>
          <w:i w:val="1"/>
          <w:iCs w:val="1"/>
          <w:color w:val="auto"/>
        </w:rPr>
        <w:t>Compensation of Named</w:t>
      </w:r>
    </w:p>
    <w:p>
      <w:pPr>
        <w:spacing w:after="0" w:line="2" w:lineRule="exact"/>
        <w:rPr>
          <w:sz w:val="20"/>
          <w:szCs w:val="20"/>
          <w:color w:val="auto"/>
        </w:rPr>
      </w:pPr>
    </w:p>
    <w:p>
      <w:pPr>
        <w:jc w:val="both"/>
        <w:ind w:right="1100"/>
        <w:spacing w:after="0" w:line="252" w:lineRule="auto"/>
        <w:rPr>
          <w:sz w:val="20"/>
          <w:szCs w:val="20"/>
          <w:color w:val="auto"/>
        </w:rPr>
      </w:pPr>
      <w:r>
        <w:rPr>
          <w:rFonts w:ascii="Arial" w:cs="Arial" w:eastAsia="Arial" w:hAnsi="Arial"/>
          <w:sz w:val="16"/>
          <w:szCs w:val="16"/>
          <w:i w:val="1"/>
          <w:iCs w:val="1"/>
          <w:color w:val="auto"/>
        </w:rPr>
        <w:t>Executive Officers — Compensation Discussion and Analysis — Our Process For Executive Compensation — Role of the Compensation Consultant</w:t>
      </w:r>
      <w:r>
        <w:rPr>
          <w:rFonts w:ascii="Arial" w:cs="Arial" w:eastAsia="Arial" w:hAnsi="Arial"/>
          <w:sz w:val="16"/>
          <w:szCs w:val="16"/>
          <w:color w:val="auto"/>
        </w:rPr>
        <w:t>" for more</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about Semler Brossy and the services it provides to the Compensation</w:t>
      </w:r>
    </w:p>
    <w:p>
      <w:pPr>
        <w:spacing w:after="0" w:line="1" w:lineRule="exact"/>
        <w:rPr>
          <w:sz w:val="20"/>
          <w:szCs w:val="20"/>
          <w:color w:val="auto"/>
        </w:rPr>
      </w:pPr>
    </w:p>
    <w:p>
      <w:pPr>
        <w:jc w:val="both"/>
        <w:ind w:right="1100"/>
        <w:spacing w:after="0" w:line="267" w:lineRule="auto"/>
        <w:rPr>
          <w:sz w:val="20"/>
          <w:szCs w:val="20"/>
          <w:color w:val="auto"/>
        </w:rPr>
      </w:pPr>
      <w:r>
        <w:rPr>
          <w:rFonts w:ascii="Arial" w:cs="Arial" w:eastAsia="Arial" w:hAnsi="Arial"/>
          <w:sz w:val="16"/>
          <w:szCs w:val="16"/>
          <w:color w:val="auto"/>
        </w:rPr>
        <w:t>Committee. The Compensation Committee has the authority to delegate any of its responsibilities to one or more subcommittees of the Compensation Committee as it may deem appropriate.</w:t>
      </w:r>
    </w:p>
    <w:p>
      <w:pPr>
        <w:spacing w:after="0" w:line="750" w:lineRule="exact"/>
        <w:rPr>
          <w:sz w:val="20"/>
          <w:szCs w:val="20"/>
          <w:color w:val="auto"/>
        </w:rPr>
      </w:pPr>
    </w:p>
    <w:p>
      <w:pPr>
        <w:sectPr>
          <w:pgSz w:w="11900" w:h="16838" w:orient="portrait"/>
          <w:cols w:equalWidth="0" w:num="2">
            <w:col w:w="3760" w:space="420"/>
            <w:col w:w="7060"/>
          </w:cols>
          <w:pgMar w:left="320" w:top="130" w:right="339" w:bottom="1440" w:gutter="0" w:footer="0" w:header="0"/>
        </w:sectPr>
      </w:pPr>
    </w:p>
    <w:p>
      <w:pPr>
        <w:jc w:val="both"/>
        <w:spacing w:after="0" w:line="275" w:lineRule="auto"/>
        <w:rPr>
          <w:sz w:val="20"/>
          <w:szCs w:val="20"/>
          <w:color w:val="auto"/>
        </w:rPr>
      </w:pPr>
      <w:r>
        <w:rPr>
          <w:rFonts w:ascii="Arial" w:cs="Arial" w:eastAsia="Arial" w:hAnsi="Arial"/>
          <w:sz w:val="16"/>
          <w:szCs w:val="16"/>
          <w:color w:val="auto"/>
        </w:rPr>
        <w:t>Our management is charged with identifying and managing the risks facing our business and operations. The Board is responsible for overseeing how our senior management addresses these business and operational risks to the extent they are material. Accordingly, the Board, assisted by the Board-level Risk Committee, oversees and considers risk throughout the year on a Company-wide and individual action basis.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Board also implements its risk oversight function through delegation to each of our Audit, Compensation, Governance and Nominating and Risk Committees. These committees meet regularly and report back to our board. Our Board-level committees play significant roles in carrying out our risk oversight function.</w:t>
      </w:r>
    </w:p>
    <w:p>
      <w:pPr>
        <w:spacing w:after="0" w:line="56" w:lineRule="exact"/>
        <w:rPr>
          <w:sz w:val="20"/>
          <w:szCs w:val="20"/>
          <w:color w:val="auto"/>
        </w:rPr>
      </w:pPr>
    </w:p>
    <w:p>
      <w:pPr>
        <w:ind w:left="260" w:right="20" w:hanging="252"/>
        <w:spacing w:after="0" w:line="304" w:lineRule="auto"/>
        <w:tabs>
          <w:tab w:leader="none" w:pos="222" w:val="left"/>
        </w:tabs>
        <w:numPr>
          <w:ilvl w:val="0"/>
          <w:numId w:val="26"/>
        </w:numPr>
        <w:rPr>
          <w:rFonts w:ascii="Arial" w:cs="Arial" w:eastAsia="Arial" w:hAnsi="Arial"/>
          <w:sz w:val="16"/>
          <w:szCs w:val="16"/>
          <w:color w:val="005388"/>
        </w:rPr>
      </w:pPr>
      <w:r>
        <w:rPr>
          <w:rFonts w:ascii="Arial" w:cs="Arial" w:eastAsia="Arial" w:hAnsi="Arial"/>
          <w:sz w:val="16"/>
          <w:szCs w:val="16"/>
          <w:color w:val="auto"/>
        </w:rPr>
        <w:t>The Risk Committee assists the Board in its oversight and review of information regarding our enterprise risk management approach and oversees risks related to our MI business and investment portfolio.</w:t>
      </w:r>
    </w:p>
    <w:p>
      <w:pPr>
        <w:spacing w:after="0" w:line="33" w:lineRule="exact"/>
        <w:rPr>
          <w:rFonts w:ascii="Arial" w:cs="Arial" w:eastAsia="Arial" w:hAnsi="Arial"/>
          <w:sz w:val="16"/>
          <w:szCs w:val="16"/>
          <w:color w:val="005388"/>
        </w:rPr>
      </w:pPr>
    </w:p>
    <w:p>
      <w:pPr>
        <w:jc w:val="both"/>
        <w:ind w:left="260" w:hanging="252"/>
        <w:spacing w:after="0" w:line="265" w:lineRule="auto"/>
        <w:tabs>
          <w:tab w:leader="none" w:pos="222" w:val="left"/>
        </w:tabs>
        <w:numPr>
          <w:ilvl w:val="0"/>
          <w:numId w:val="26"/>
        </w:numPr>
        <w:rPr>
          <w:rFonts w:ascii="Arial" w:cs="Arial" w:eastAsia="Arial" w:hAnsi="Arial"/>
          <w:sz w:val="16"/>
          <w:szCs w:val="16"/>
          <w:color w:val="005388"/>
        </w:rPr>
      </w:pPr>
      <w:r>
        <w:rPr>
          <w:rFonts w:ascii="Arial" w:cs="Arial" w:eastAsia="Arial" w:hAnsi="Arial"/>
          <w:sz w:val="16"/>
          <w:szCs w:val="16"/>
          <w:color w:val="auto"/>
        </w:rPr>
        <w:t>The Audit Committee oversees and reviews risks associated with financial accounting and reporting, including our system of internal controls, as well as fraud risk, information technology and cybersecurity risk, and major legislative and regulatory developments which could result in material financial risk exposures. In performing this function, the Audit Committee considers information from our independent and internal auditors and discusses relevant issues with management and the independent auditors. The Audit Committee also reviews any proposed related person transactions to ensure that we do not engage in transactions that would create a conflict of interest that could result in harm to us.</w:t>
      </w:r>
    </w:p>
    <w:p>
      <w:pPr>
        <w:spacing w:after="0" w:line="64" w:lineRule="exact"/>
        <w:rPr>
          <w:rFonts w:ascii="Arial" w:cs="Arial" w:eastAsia="Arial" w:hAnsi="Arial"/>
          <w:sz w:val="16"/>
          <w:szCs w:val="16"/>
          <w:color w:val="005388"/>
        </w:rPr>
      </w:pPr>
    </w:p>
    <w:p>
      <w:pPr>
        <w:ind w:left="220" w:hanging="212"/>
        <w:spacing w:after="0"/>
        <w:tabs>
          <w:tab w:leader="none" w:pos="220" w:val="left"/>
        </w:tabs>
        <w:numPr>
          <w:ilvl w:val="0"/>
          <w:numId w:val="26"/>
        </w:numPr>
        <w:rPr>
          <w:rFonts w:ascii="Arial" w:cs="Arial" w:eastAsia="Arial" w:hAnsi="Arial"/>
          <w:sz w:val="16"/>
          <w:szCs w:val="16"/>
          <w:color w:val="005388"/>
        </w:rPr>
      </w:pPr>
      <w:r>
        <w:rPr>
          <w:rFonts w:ascii="Arial" w:cs="Arial" w:eastAsia="Arial" w:hAnsi="Arial"/>
          <w:sz w:val="16"/>
          <w:szCs w:val="16"/>
          <w:color w:val="auto"/>
        </w:rPr>
        <w:t>The Compensation Committee evaluates the risks and rewards associated with our compensation philosophy and programs and succession planning.</w:t>
      </w:r>
    </w:p>
    <w:p>
      <w:pPr>
        <w:spacing w:after="0" w:line="379"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25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260" w:hanging="252"/>
        <w:spacing w:after="0" w:line="275" w:lineRule="auto"/>
        <w:tabs>
          <w:tab w:leader="none" w:pos="222" w:val="left"/>
        </w:tabs>
        <w:numPr>
          <w:ilvl w:val="0"/>
          <w:numId w:val="27"/>
        </w:numPr>
        <w:rPr>
          <w:rFonts w:ascii="Arial" w:cs="Arial" w:eastAsia="Arial" w:hAnsi="Arial"/>
          <w:sz w:val="16"/>
          <w:szCs w:val="16"/>
          <w:color w:val="005388"/>
        </w:rPr>
      </w:pPr>
      <w:r>
        <w:rPr>
          <w:rFonts w:ascii="Arial" w:cs="Arial" w:eastAsia="Arial" w:hAnsi="Arial"/>
          <w:sz w:val="16"/>
          <w:szCs w:val="16"/>
          <w:color w:val="auto"/>
        </w:rPr>
        <w:t>The Governance and Nominating Committee oversees our implementation of sound corporate governance principles and practices. In performing this function, the Governance and Nominating Committee periodically reviews and recommends changes to the Company's Corporate Governance Guidelines and recommends any additional actions related to governance matters that it may deem necessary or advisable from time to time.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management also implements its risk oversight function through the Management Risk Committee, which is responsible for overseeing the Company’s insurance liability risk, and whose membership includes our CEO, Chief Financial Officer, Chief Risk Officer, Executive Vice President of Operations and IT, General Counsel, and Vice President of Credit Policy.</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We manage enterprise risks through the coordinated efforts of our board-level Risk Committee, management-level Enterprise Risk Management Committee (ERMC) and our internal audit department.</w:t>
      </w:r>
    </w:p>
    <w:p>
      <w:pPr>
        <w:spacing w:after="0" w:line="33" w:lineRule="exact"/>
        <w:rPr>
          <w:sz w:val="20"/>
          <w:szCs w:val="20"/>
          <w:color w:val="auto"/>
        </w:rPr>
      </w:pPr>
    </w:p>
    <w:p>
      <w:pPr>
        <w:jc w:val="both"/>
        <w:ind w:left="260" w:hanging="252"/>
        <w:spacing w:after="0" w:line="265" w:lineRule="auto"/>
        <w:tabs>
          <w:tab w:leader="none" w:pos="222" w:val="left"/>
        </w:tabs>
        <w:numPr>
          <w:ilvl w:val="0"/>
          <w:numId w:val="28"/>
        </w:numPr>
        <w:rPr>
          <w:rFonts w:ascii="Arial" w:cs="Arial" w:eastAsia="Arial" w:hAnsi="Arial"/>
          <w:sz w:val="16"/>
          <w:szCs w:val="16"/>
          <w:color w:val="005388"/>
        </w:rPr>
      </w:pPr>
      <w:r>
        <w:rPr>
          <w:rFonts w:ascii="Arial" w:cs="Arial" w:eastAsia="Arial" w:hAnsi="Arial"/>
          <w:sz w:val="16"/>
          <w:szCs w:val="16"/>
          <w:color w:val="auto"/>
        </w:rPr>
        <w:t>ERMC is a cross-disciplinary, management level enterprise risk committee that (i) facilitates risk discussions and monitors the implementation of effective risk management practices and (ii) assists risk owners with identifying, defining and monitoring risk exposures. ERMC documents the key risks we face, and how we monitor and manage those risks. Its membership includes our CEO, all of our Executive Vice Presidents, our Chief Compliance Officer, and our Head of Internal Audit. The chair of ERMC provides updates to the board-level Risk Committee, the CEO and the Executive Chairman.</w:t>
      </w:r>
    </w:p>
    <w:p>
      <w:pPr>
        <w:spacing w:after="0" w:line="78" w:lineRule="exact"/>
        <w:rPr>
          <w:rFonts w:ascii="Arial" w:cs="Arial" w:eastAsia="Arial" w:hAnsi="Arial"/>
          <w:sz w:val="16"/>
          <w:szCs w:val="16"/>
          <w:color w:val="005388"/>
        </w:rPr>
      </w:pPr>
    </w:p>
    <w:p>
      <w:pPr>
        <w:jc w:val="both"/>
        <w:ind w:left="260" w:hanging="252"/>
        <w:spacing w:after="0" w:line="265" w:lineRule="auto"/>
        <w:tabs>
          <w:tab w:leader="none" w:pos="222" w:val="left"/>
        </w:tabs>
        <w:numPr>
          <w:ilvl w:val="0"/>
          <w:numId w:val="28"/>
        </w:numPr>
        <w:rPr>
          <w:rFonts w:ascii="Arial" w:cs="Arial" w:eastAsia="Arial" w:hAnsi="Arial"/>
          <w:sz w:val="16"/>
          <w:szCs w:val="16"/>
          <w:color w:val="005388"/>
        </w:rPr>
      </w:pPr>
      <w:r>
        <w:rPr>
          <w:rFonts w:ascii="Arial" w:cs="Arial" w:eastAsia="Arial" w:hAnsi="Arial"/>
          <w:sz w:val="16"/>
          <w:szCs w:val="16"/>
          <w:color w:val="auto"/>
        </w:rPr>
        <w:t>Internal audit was established by the Audit Committee to review and assess the activities of the Company in all functional areas and reports to the Chair of Audit Committee. Internal audit provides management and the Audit Committee with reasonable assurance that the risk management and internal control systems throughout the Company are adequate and operating effectively. We require that internal audit remains at all times independent of any activity it reviews in order to provide objective and credible assessments on behalf of the Company.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We believe that our leadership structure, discussed in "— </w:t>
      </w:r>
      <w:r>
        <w:rPr>
          <w:rFonts w:ascii="Arial" w:cs="Arial" w:eastAsia="Arial" w:hAnsi="Arial"/>
          <w:sz w:val="16"/>
          <w:szCs w:val="16"/>
          <w:i w:val="1"/>
          <w:iCs w:val="1"/>
          <w:color w:val="auto"/>
        </w:rPr>
        <w:t>Board Leadership</w:t>
      </w:r>
      <w:r>
        <w:rPr>
          <w:rFonts w:ascii="Arial" w:cs="Arial" w:eastAsia="Arial" w:hAnsi="Arial"/>
          <w:sz w:val="16"/>
          <w:szCs w:val="16"/>
          <w:color w:val="auto"/>
        </w:rPr>
        <w:t>" above, reinforces the Board's risk oversight function. Independent directors chair and make up the entire membership of the committees involved in risk oversight, and we have established a system of open communication among senior management and directors, with our Executive Chairman and CEO routinely keeping the Board informed of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164465</wp:posOffset>
            </wp:positionV>
            <wp:extent cx="1174750" cy="2832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74750" cy="283210"/>
                    </a:xfrm>
                    <a:prstGeom prst="rect">
                      <a:avLst/>
                    </a:prstGeom>
                    <a:noFill/>
                  </pic:spPr>
                </pic:pic>
              </a:graphicData>
            </a:graphic>
          </wp:anchor>
        </w:drawing>
      </w:r>
    </w:p>
    <w:p>
      <w:pPr>
        <w:spacing w:after="0" w:line="365"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100965</wp:posOffset>
            </wp:positionV>
            <wp:extent cx="590613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06135" cy="137160"/>
                    </a:xfrm>
                    <a:prstGeom prst="rect">
                      <a:avLst/>
                    </a:prstGeom>
                    <a:noFill/>
                  </pic:spPr>
                </pic:pic>
              </a:graphicData>
            </a:graphic>
          </wp:anchor>
        </w:drawing>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1780" w:type="dxa"/>
            <w:vAlign w:val="bottom"/>
            <w:gridSpan w:val="2"/>
            <w:vMerge w:val="restart"/>
            <w:shd w:val="clear" w:color="auto" w:fill="0C2940"/>
          </w:tcPr>
          <w:p>
            <w:pPr>
              <w:jc w:val="center"/>
              <w:spacing w:after="0"/>
              <w:rPr>
                <w:sz w:val="20"/>
                <w:szCs w:val="20"/>
                <w:color w:val="auto"/>
              </w:rPr>
            </w:pPr>
            <w:r>
              <w:rPr>
                <w:rFonts w:ascii="Arial" w:cs="Arial" w:eastAsia="Arial" w:hAnsi="Arial"/>
                <w:sz w:val="14"/>
                <w:szCs w:val="14"/>
                <w:color w:val="FFFFFF"/>
              </w:rPr>
              <w:t>Audit</w:t>
            </w:r>
          </w:p>
        </w:tc>
        <w:tc>
          <w:tcPr>
            <w:tcW w:w="460" w:type="dxa"/>
            <w:vAlign w:val="bottom"/>
          </w:tcPr>
          <w:p>
            <w:pPr>
              <w:spacing w:after="0"/>
              <w:rPr>
                <w:sz w:val="16"/>
                <w:szCs w:val="16"/>
                <w:color w:val="auto"/>
              </w:rPr>
            </w:pPr>
          </w:p>
        </w:tc>
        <w:tc>
          <w:tcPr>
            <w:tcW w:w="182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Governance and</w:t>
            </w:r>
          </w:p>
        </w:tc>
        <w:tc>
          <w:tcPr>
            <w:tcW w:w="480" w:type="dxa"/>
            <w:vAlign w:val="bottom"/>
          </w:tcPr>
          <w:p>
            <w:pPr>
              <w:spacing w:after="0"/>
              <w:rPr>
                <w:sz w:val="16"/>
                <w:szCs w:val="16"/>
                <w:color w:val="auto"/>
              </w:rPr>
            </w:pPr>
          </w:p>
        </w:tc>
        <w:tc>
          <w:tcPr>
            <w:tcW w:w="1860" w:type="dxa"/>
            <w:vAlign w:val="bottom"/>
            <w:gridSpan w:val="2"/>
            <w:vMerge w:val="restart"/>
            <w:shd w:val="clear" w:color="auto" w:fill="0C2940"/>
          </w:tcPr>
          <w:p>
            <w:pPr>
              <w:jc w:val="center"/>
              <w:spacing w:after="0"/>
              <w:rPr>
                <w:sz w:val="20"/>
                <w:szCs w:val="20"/>
                <w:color w:val="auto"/>
              </w:rPr>
            </w:pPr>
            <w:r>
              <w:rPr>
                <w:rFonts w:ascii="Arial" w:cs="Arial" w:eastAsia="Arial" w:hAnsi="Arial"/>
                <w:sz w:val="14"/>
                <w:szCs w:val="14"/>
                <w:color w:val="FFFFFF"/>
              </w:rPr>
              <w:t>Management</w:t>
            </w:r>
          </w:p>
        </w:tc>
        <w:tc>
          <w:tcPr>
            <w:tcW w:w="480" w:type="dxa"/>
            <w:vAlign w:val="bottom"/>
          </w:tcPr>
          <w:p>
            <w:pPr>
              <w:spacing w:after="0"/>
              <w:rPr>
                <w:sz w:val="16"/>
                <w:szCs w:val="16"/>
                <w:color w:val="auto"/>
              </w:rPr>
            </w:pPr>
          </w:p>
        </w:tc>
        <w:tc>
          <w:tcPr>
            <w:tcW w:w="186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Compensation</w:t>
            </w:r>
          </w:p>
        </w:tc>
        <w:tc>
          <w:tcPr>
            <w:tcW w:w="480" w:type="dxa"/>
            <w:vAlign w:val="bottom"/>
          </w:tcPr>
          <w:p>
            <w:pPr>
              <w:spacing w:after="0"/>
              <w:rPr>
                <w:sz w:val="16"/>
                <w:szCs w:val="16"/>
                <w:color w:val="auto"/>
              </w:rPr>
            </w:pPr>
          </w:p>
        </w:tc>
        <w:tc>
          <w:tcPr>
            <w:tcW w:w="1880" w:type="dxa"/>
            <w:vAlign w:val="bottom"/>
            <w:gridSpan w:val="2"/>
            <w:vMerge w:val="restart"/>
            <w:shd w:val="clear" w:color="auto" w:fill="0C2940"/>
          </w:tcPr>
          <w:p>
            <w:pPr>
              <w:jc w:val="center"/>
              <w:spacing w:after="0"/>
              <w:rPr>
                <w:sz w:val="20"/>
                <w:szCs w:val="20"/>
                <w:color w:val="auto"/>
              </w:rPr>
            </w:pPr>
            <w:r>
              <w:rPr>
                <w:rFonts w:ascii="Arial" w:cs="Arial" w:eastAsia="Arial" w:hAnsi="Arial"/>
                <w:sz w:val="14"/>
                <w:szCs w:val="14"/>
                <w:color w:val="FFFFFF"/>
              </w:rPr>
              <w:t>Risk</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780" w:type="dxa"/>
            <w:vAlign w:val="bottom"/>
            <w:gridSpan w:val="2"/>
            <w:vMerge w:val="continue"/>
            <w:shd w:val="clear" w:color="auto" w:fill="0C2940"/>
          </w:tcPr>
          <w:p>
            <w:pPr>
              <w:spacing w:after="0"/>
              <w:rPr>
                <w:sz w:val="7"/>
                <w:szCs w:val="7"/>
                <w:color w:val="auto"/>
              </w:rPr>
            </w:pPr>
          </w:p>
        </w:tc>
        <w:tc>
          <w:tcPr>
            <w:tcW w:w="460" w:type="dxa"/>
            <w:vAlign w:val="bottom"/>
          </w:tcPr>
          <w:p>
            <w:pPr>
              <w:spacing w:after="0"/>
              <w:rPr>
                <w:sz w:val="7"/>
                <w:szCs w:val="7"/>
                <w:color w:val="auto"/>
              </w:rPr>
            </w:pPr>
          </w:p>
        </w:tc>
        <w:tc>
          <w:tcPr>
            <w:tcW w:w="182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Nominating</w:t>
            </w:r>
          </w:p>
        </w:tc>
        <w:tc>
          <w:tcPr>
            <w:tcW w:w="480" w:type="dxa"/>
            <w:vAlign w:val="bottom"/>
          </w:tcPr>
          <w:p>
            <w:pPr>
              <w:spacing w:after="0"/>
              <w:rPr>
                <w:sz w:val="7"/>
                <w:szCs w:val="7"/>
                <w:color w:val="auto"/>
              </w:rPr>
            </w:pPr>
          </w:p>
        </w:tc>
        <w:tc>
          <w:tcPr>
            <w:tcW w:w="1860" w:type="dxa"/>
            <w:vAlign w:val="bottom"/>
            <w:gridSpan w:val="2"/>
            <w:vMerge w:val="continue"/>
            <w:shd w:val="clear" w:color="auto" w:fill="0C2940"/>
          </w:tcPr>
          <w:p>
            <w:pPr>
              <w:spacing w:after="0"/>
              <w:rPr>
                <w:sz w:val="7"/>
                <w:szCs w:val="7"/>
                <w:color w:val="auto"/>
              </w:rPr>
            </w:pPr>
          </w:p>
        </w:tc>
        <w:tc>
          <w:tcPr>
            <w:tcW w:w="480" w:type="dxa"/>
            <w:vAlign w:val="bottom"/>
          </w:tcPr>
          <w:p>
            <w:pPr>
              <w:spacing w:after="0"/>
              <w:rPr>
                <w:sz w:val="7"/>
                <w:szCs w:val="7"/>
                <w:color w:val="auto"/>
              </w:rPr>
            </w:pPr>
          </w:p>
        </w:tc>
        <w:tc>
          <w:tcPr>
            <w:tcW w:w="1860" w:type="dxa"/>
            <w:vAlign w:val="bottom"/>
            <w:vMerge w:val="continue"/>
            <w:shd w:val="clear" w:color="auto" w:fill="0C2940"/>
          </w:tcPr>
          <w:p>
            <w:pPr>
              <w:spacing w:after="0"/>
              <w:rPr>
                <w:sz w:val="7"/>
                <w:szCs w:val="7"/>
                <w:color w:val="auto"/>
              </w:rPr>
            </w:pPr>
          </w:p>
        </w:tc>
        <w:tc>
          <w:tcPr>
            <w:tcW w:w="480" w:type="dxa"/>
            <w:vAlign w:val="bottom"/>
          </w:tcPr>
          <w:p>
            <w:pPr>
              <w:spacing w:after="0"/>
              <w:rPr>
                <w:sz w:val="7"/>
                <w:szCs w:val="7"/>
                <w:color w:val="auto"/>
              </w:rPr>
            </w:pPr>
          </w:p>
        </w:tc>
        <w:tc>
          <w:tcPr>
            <w:tcW w:w="1880" w:type="dxa"/>
            <w:vAlign w:val="bottom"/>
            <w:gridSpan w:val="2"/>
            <w:vMerge w:val="continue"/>
            <w:shd w:val="clear" w:color="auto" w:fill="0C2940"/>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1780" w:type="dxa"/>
            <w:vAlign w:val="bottom"/>
            <w:gridSpan w:val="2"/>
            <w:vMerge w:val="restart"/>
            <w:shd w:val="clear" w:color="auto" w:fill="0C2940"/>
          </w:tcPr>
          <w:p>
            <w:pPr>
              <w:jc w:val="center"/>
              <w:spacing w:after="0"/>
              <w:rPr>
                <w:sz w:val="20"/>
                <w:szCs w:val="20"/>
                <w:color w:val="auto"/>
              </w:rPr>
            </w:pPr>
            <w:r>
              <w:rPr>
                <w:rFonts w:ascii="Arial" w:cs="Arial" w:eastAsia="Arial" w:hAnsi="Arial"/>
                <w:sz w:val="14"/>
                <w:szCs w:val="14"/>
                <w:color w:val="FFFFFF"/>
              </w:rPr>
              <w:t>Committee</w:t>
            </w:r>
          </w:p>
        </w:tc>
        <w:tc>
          <w:tcPr>
            <w:tcW w:w="460" w:type="dxa"/>
            <w:vAlign w:val="bottom"/>
          </w:tcPr>
          <w:p>
            <w:pPr>
              <w:spacing w:after="0"/>
              <w:rPr>
                <w:sz w:val="8"/>
                <w:szCs w:val="8"/>
                <w:color w:val="auto"/>
              </w:rPr>
            </w:pPr>
          </w:p>
        </w:tc>
        <w:tc>
          <w:tcPr>
            <w:tcW w:w="1820" w:type="dxa"/>
            <w:vAlign w:val="bottom"/>
            <w:vMerge w:val="continue"/>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gridSpan w:val="2"/>
            <w:vMerge w:val="continue"/>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Committee</w:t>
            </w:r>
          </w:p>
        </w:tc>
        <w:tc>
          <w:tcPr>
            <w:tcW w:w="480" w:type="dxa"/>
            <w:vAlign w:val="bottom"/>
          </w:tcPr>
          <w:p>
            <w:pPr>
              <w:spacing w:after="0"/>
              <w:rPr>
                <w:sz w:val="8"/>
                <w:szCs w:val="8"/>
                <w:color w:val="auto"/>
              </w:rPr>
            </w:pPr>
          </w:p>
        </w:tc>
        <w:tc>
          <w:tcPr>
            <w:tcW w:w="1880" w:type="dxa"/>
            <w:vAlign w:val="bottom"/>
            <w:gridSpan w:val="2"/>
            <w:vMerge w:val="restart"/>
            <w:shd w:val="clear" w:color="auto" w:fill="0C2940"/>
          </w:tcPr>
          <w:p>
            <w:pPr>
              <w:jc w:val="center"/>
              <w:spacing w:after="0"/>
              <w:rPr>
                <w:sz w:val="20"/>
                <w:szCs w:val="20"/>
                <w:color w:val="auto"/>
              </w:rPr>
            </w:pPr>
            <w:r>
              <w:rPr>
                <w:rFonts w:ascii="Arial" w:cs="Arial" w:eastAsia="Arial" w:hAnsi="Arial"/>
                <w:sz w:val="14"/>
                <w:szCs w:val="14"/>
                <w:color w:val="FFFFFF"/>
              </w:rPr>
              <w:t>Committee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780" w:type="dxa"/>
            <w:vAlign w:val="bottom"/>
            <w:gridSpan w:val="2"/>
            <w:vMerge w:val="continue"/>
            <w:shd w:val="clear" w:color="auto" w:fill="0C2940"/>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Committee</w:t>
            </w:r>
          </w:p>
        </w:tc>
        <w:tc>
          <w:tcPr>
            <w:tcW w:w="480" w:type="dxa"/>
            <w:vAlign w:val="bottom"/>
          </w:tcPr>
          <w:p>
            <w:pPr>
              <w:spacing w:after="0"/>
              <w:rPr>
                <w:sz w:val="8"/>
                <w:szCs w:val="8"/>
                <w:color w:val="auto"/>
              </w:rPr>
            </w:pPr>
          </w:p>
        </w:tc>
        <w:tc>
          <w:tcPr>
            <w:tcW w:w="940" w:type="dxa"/>
            <w:vAlign w:val="bottom"/>
            <w:tcBorders>
              <w:right w:val="single" w:sz="8" w:color="0C2940"/>
            </w:tcBorders>
            <w:shd w:val="clear" w:color="auto" w:fill="0C2940"/>
          </w:tcPr>
          <w:p>
            <w:pPr>
              <w:spacing w:after="0"/>
              <w:rPr>
                <w:sz w:val="8"/>
                <w:szCs w:val="8"/>
                <w:color w:val="auto"/>
              </w:rPr>
            </w:pPr>
          </w:p>
        </w:tc>
        <w:tc>
          <w:tcPr>
            <w:tcW w:w="920" w:type="dxa"/>
            <w:vAlign w:val="bottom"/>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vMerge w:val="continue"/>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1880" w:type="dxa"/>
            <w:vAlign w:val="bottom"/>
            <w:gridSpan w:val="2"/>
            <w:vMerge w:val="continue"/>
            <w:shd w:val="clear" w:color="auto" w:fill="0C2940"/>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900" w:type="dxa"/>
            <w:vAlign w:val="bottom"/>
            <w:tcBorders>
              <w:right w:val="single" w:sz="8" w:color="0C2940"/>
            </w:tcBorders>
            <w:shd w:val="clear" w:color="auto" w:fill="0C2940"/>
          </w:tcPr>
          <w:p>
            <w:pPr>
              <w:spacing w:after="0"/>
              <w:rPr>
                <w:sz w:val="8"/>
                <w:szCs w:val="8"/>
                <w:color w:val="auto"/>
              </w:rPr>
            </w:pPr>
          </w:p>
        </w:tc>
        <w:tc>
          <w:tcPr>
            <w:tcW w:w="880" w:type="dxa"/>
            <w:vAlign w:val="bottom"/>
            <w:shd w:val="clear" w:color="auto" w:fill="0C2940"/>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vMerge w:val="continue"/>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940" w:type="dxa"/>
            <w:vAlign w:val="bottom"/>
            <w:tcBorders>
              <w:right w:val="single" w:sz="8" w:color="0C2940"/>
            </w:tcBorders>
            <w:shd w:val="clear" w:color="auto" w:fill="0C2940"/>
          </w:tcPr>
          <w:p>
            <w:pPr>
              <w:spacing w:after="0"/>
              <w:rPr>
                <w:sz w:val="8"/>
                <w:szCs w:val="8"/>
                <w:color w:val="auto"/>
              </w:rPr>
            </w:pPr>
          </w:p>
        </w:tc>
        <w:tc>
          <w:tcPr>
            <w:tcW w:w="920" w:type="dxa"/>
            <w:vAlign w:val="bottom"/>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shd w:val="clear" w:color="auto" w:fill="0C2940"/>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Borders>
              <w:right w:val="single" w:sz="8" w:color="0C2940"/>
            </w:tcBorders>
            <w:shd w:val="clear" w:color="auto" w:fill="0C2940"/>
          </w:tcPr>
          <w:p>
            <w:pPr>
              <w:spacing w:after="0"/>
              <w:rPr>
                <w:sz w:val="8"/>
                <w:szCs w:val="8"/>
                <w:color w:val="auto"/>
              </w:rPr>
            </w:pPr>
          </w:p>
        </w:tc>
        <w:tc>
          <w:tcPr>
            <w:tcW w:w="920" w:type="dxa"/>
            <w:vAlign w:val="bottom"/>
            <w:shd w:val="clear" w:color="auto" w:fill="0C2940"/>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900" w:type="dxa"/>
            <w:vAlign w:val="bottom"/>
            <w:tcBorders>
              <w:right w:val="single" w:sz="8" w:color="0C2940"/>
            </w:tcBorders>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Borders>
              <w:right w:val="single" w:sz="8" w:color="0C2940"/>
            </w:tcBorders>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Borders>
              <w:right w:val="single" w:sz="8" w:color="0C2940"/>
            </w:tcBorders>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80" w:type="dxa"/>
            <w:vAlign w:val="bottom"/>
          </w:tcPr>
          <w:p>
            <w:pPr>
              <w:spacing w:after="0"/>
              <w:rPr>
                <w:sz w:val="22"/>
                <w:szCs w:val="22"/>
                <w:color w:val="auto"/>
              </w:rPr>
            </w:pPr>
          </w:p>
        </w:tc>
        <w:tc>
          <w:tcPr>
            <w:tcW w:w="1780" w:type="dxa"/>
            <w:vAlign w:val="bottom"/>
            <w:gridSpan w:val="2"/>
            <w:vMerge w:val="restart"/>
            <w:shd w:val="clear" w:color="auto" w:fill="005388"/>
          </w:tcPr>
          <w:p>
            <w:pPr>
              <w:jc w:val="center"/>
              <w:spacing w:after="0"/>
              <w:rPr>
                <w:sz w:val="20"/>
                <w:szCs w:val="20"/>
                <w:color w:val="auto"/>
              </w:rPr>
            </w:pPr>
            <w:r>
              <w:rPr>
                <w:rFonts w:ascii="Arial" w:cs="Arial" w:eastAsia="Arial" w:hAnsi="Arial"/>
                <w:sz w:val="14"/>
                <w:szCs w:val="14"/>
                <w:color w:val="FFFFFF"/>
              </w:rPr>
              <w:t>Internal Audit</w:t>
            </w:r>
          </w:p>
        </w:tc>
        <w:tc>
          <w:tcPr>
            <w:tcW w:w="4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60" w:type="dxa"/>
            <w:vAlign w:val="bottom"/>
            <w:gridSpan w:val="2"/>
            <w:shd w:val="clear" w:color="auto" w:fill="005388"/>
          </w:tcPr>
          <w:p>
            <w:pPr>
              <w:jc w:val="center"/>
              <w:spacing w:after="0"/>
              <w:rPr>
                <w:sz w:val="20"/>
                <w:szCs w:val="20"/>
                <w:color w:val="auto"/>
              </w:rPr>
            </w:pPr>
            <w:r>
              <w:rPr>
                <w:rFonts w:ascii="Arial" w:cs="Arial" w:eastAsia="Arial" w:hAnsi="Arial"/>
                <w:sz w:val="14"/>
                <w:szCs w:val="14"/>
                <w:color w:val="FFFFFF"/>
              </w:rPr>
              <w:t>Management Risk</w:t>
            </w:r>
          </w:p>
        </w:tc>
        <w:tc>
          <w:tcPr>
            <w:tcW w:w="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60" w:type="dxa"/>
            <w:vAlign w:val="bottom"/>
            <w:tcBorders>
              <w:right w:val="single" w:sz="8" w:color="0C2940"/>
            </w:tcBorders>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1780" w:type="dxa"/>
            <w:vAlign w:val="bottom"/>
            <w:gridSpan w:val="2"/>
            <w:vMerge w:val="continue"/>
            <w:shd w:val="clear" w:color="auto" w:fill="005388"/>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gridSpan w:val="2"/>
            <w:vMerge w:val="restart"/>
            <w:shd w:val="clear" w:color="auto" w:fill="005388"/>
          </w:tcPr>
          <w:p>
            <w:pPr>
              <w:jc w:val="center"/>
              <w:spacing w:after="0"/>
              <w:rPr>
                <w:sz w:val="20"/>
                <w:szCs w:val="20"/>
                <w:color w:val="auto"/>
              </w:rPr>
            </w:pPr>
            <w:r>
              <w:rPr>
                <w:rFonts w:ascii="Arial" w:cs="Arial" w:eastAsia="Arial" w:hAnsi="Arial"/>
                <w:sz w:val="14"/>
                <w:szCs w:val="14"/>
                <w:color w:val="FFFFFF"/>
              </w:rPr>
              <w:t>Committee</w:t>
            </w:r>
          </w:p>
        </w:tc>
        <w:tc>
          <w:tcPr>
            <w:tcW w:w="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Borders>
              <w:right w:val="single" w:sz="8" w:color="0C2940"/>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900" w:type="dxa"/>
            <w:vAlign w:val="bottom"/>
            <w:tcBorders>
              <w:right w:val="single" w:sz="8" w:color="005388"/>
            </w:tcBorders>
            <w:shd w:val="clear" w:color="auto" w:fill="005388"/>
          </w:tcPr>
          <w:p>
            <w:pPr>
              <w:spacing w:after="0"/>
              <w:rPr>
                <w:sz w:val="8"/>
                <w:szCs w:val="8"/>
                <w:color w:val="auto"/>
              </w:rPr>
            </w:pPr>
          </w:p>
        </w:tc>
        <w:tc>
          <w:tcPr>
            <w:tcW w:w="880" w:type="dxa"/>
            <w:vAlign w:val="bottom"/>
            <w:shd w:val="clear" w:color="auto" w:fill="005388"/>
          </w:tcPr>
          <w:p>
            <w:pPr>
              <w:spacing w:after="0"/>
              <w:rPr>
                <w:sz w:val="8"/>
                <w:szCs w:val="8"/>
                <w:color w:val="auto"/>
              </w:rPr>
            </w:pPr>
          </w:p>
        </w:tc>
        <w:tc>
          <w:tcPr>
            <w:tcW w:w="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gridSpan w:val="2"/>
            <w:vMerge w:val="continue"/>
            <w:shd w:val="clear" w:color="auto" w:fill="005388"/>
          </w:tcPr>
          <w:p>
            <w:pPr>
              <w:spacing w:after="0"/>
              <w:rPr>
                <w:sz w:val="8"/>
                <w:szCs w:val="8"/>
                <w:color w:val="auto"/>
              </w:rPr>
            </w:pPr>
          </w:p>
        </w:tc>
        <w:tc>
          <w:tcPr>
            <w:tcW w:w="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Borders>
              <w:right w:val="single" w:sz="8" w:color="0C2940"/>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0" w:type="dxa"/>
            <w:vAlign w:val="bottom"/>
          </w:tcPr>
          <w:p>
            <w:pPr>
              <w:spacing w:after="0"/>
              <w:rPr>
                <w:sz w:val="7"/>
                <w:szCs w:val="7"/>
                <w:color w:val="auto"/>
              </w:rPr>
            </w:pPr>
          </w:p>
        </w:tc>
        <w:tc>
          <w:tcPr>
            <w:tcW w:w="900" w:type="dxa"/>
            <w:vAlign w:val="bottom"/>
            <w:tcBorders>
              <w:right w:val="single" w:sz="8" w:color="005388"/>
            </w:tcBorders>
            <w:shd w:val="clear" w:color="auto" w:fill="005388"/>
          </w:tcPr>
          <w:p>
            <w:pPr>
              <w:spacing w:after="0"/>
              <w:rPr>
                <w:sz w:val="7"/>
                <w:szCs w:val="7"/>
                <w:color w:val="auto"/>
              </w:rPr>
            </w:pPr>
          </w:p>
        </w:tc>
        <w:tc>
          <w:tcPr>
            <w:tcW w:w="880" w:type="dxa"/>
            <w:vAlign w:val="bottom"/>
            <w:shd w:val="clear" w:color="auto" w:fill="005388"/>
          </w:tcPr>
          <w:p>
            <w:pPr>
              <w:spacing w:after="0"/>
              <w:rPr>
                <w:sz w:val="7"/>
                <w:szCs w:val="7"/>
                <w:color w:val="auto"/>
              </w:rPr>
            </w:pPr>
          </w:p>
        </w:tc>
        <w:tc>
          <w:tcPr>
            <w:tcW w:w="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40" w:type="dxa"/>
            <w:vAlign w:val="bottom"/>
            <w:tcBorders>
              <w:right w:val="single" w:sz="8" w:color="005388"/>
            </w:tcBorders>
            <w:shd w:val="clear" w:color="auto" w:fill="005388"/>
          </w:tcPr>
          <w:p>
            <w:pPr>
              <w:spacing w:after="0"/>
              <w:rPr>
                <w:sz w:val="7"/>
                <w:szCs w:val="7"/>
                <w:color w:val="auto"/>
              </w:rPr>
            </w:pPr>
          </w:p>
        </w:tc>
        <w:tc>
          <w:tcPr>
            <w:tcW w:w="920" w:type="dxa"/>
            <w:vAlign w:val="bottom"/>
            <w:shd w:val="clear" w:color="auto" w:fill="005388"/>
          </w:tcPr>
          <w:p>
            <w:pPr>
              <w:spacing w:after="0"/>
              <w:rPr>
                <w:sz w:val="7"/>
                <w:szCs w:val="7"/>
                <w:color w:val="auto"/>
              </w:rPr>
            </w:pPr>
          </w:p>
        </w:tc>
        <w:tc>
          <w:tcPr>
            <w:tcW w:w="48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60" w:type="dxa"/>
            <w:vAlign w:val="bottom"/>
            <w:tcBorders>
              <w:right w:val="single" w:sz="8" w:color="0C2940"/>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480" w:type="dxa"/>
            <w:vAlign w:val="bottom"/>
          </w:tcPr>
          <w:p>
            <w:pPr>
              <w:spacing w:after="0"/>
              <w:rPr>
                <w:sz w:val="9"/>
                <w:szCs w:val="9"/>
                <w:color w:val="auto"/>
              </w:rPr>
            </w:pPr>
          </w:p>
        </w:tc>
        <w:tc>
          <w:tcPr>
            <w:tcW w:w="940" w:type="dxa"/>
            <w:vAlign w:val="bottom"/>
            <w:tcBorders>
              <w:right w:val="single" w:sz="8" w:color="0C2940"/>
            </w:tcBorders>
          </w:tcPr>
          <w:p>
            <w:pPr>
              <w:spacing w:after="0"/>
              <w:rPr>
                <w:sz w:val="9"/>
                <w:szCs w:val="9"/>
                <w:color w:val="auto"/>
              </w:rPr>
            </w:pPr>
          </w:p>
        </w:tc>
        <w:tc>
          <w:tcPr>
            <w:tcW w:w="9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Borders>
              <w:right w:val="single" w:sz="8" w:color="0C2940"/>
            </w:tcBorders>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60" w:type="dxa"/>
            <w:vAlign w:val="bottom"/>
            <w:gridSpan w:val="2"/>
            <w:shd w:val="clear" w:color="auto" w:fill="005388"/>
          </w:tcPr>
          <w:p>
            <w:pPr>
              <w:jc w:val="center"/>
              <w:spacing w:after="0"/>
              <w:rPr>
                <w:sz w:val="20"/>
                <w:szCs w:val="20"/>
                <w:color w:val="auto"/>
              </w:rPr>
            </w:pPr>
            <w:r>
              <w:rPr>
                <w:rFonts w:ascii="Arial" w:cs="Arial" w:eastAsia="Arial" w:hAnsi="Arial"/>
                <w:sz w:val="14"/>
                <w:szCs w:val="14"/>
                <w:color w:val="FFFFFF"/>
              </w:rPr>
              <w:t>Enterprise Risk</w:t>
            </w:r>
          </w:p>
        </w:tc>
        <w:tc>
          <w:tcPr>
            <w:tcW w:w="4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Borders>
              <w:right w:val="single" w:sz="8" w:color="0C2940"/>
            </w:tcBorders>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60" w:type="dxa"/>
            <w:vAlign w:val="bottom"/>
            <w:tcBorders>
              <w:bottom w:val="single" w:sz="8" w:color="005388"/>
            </w:tcBorders>
            <w:gridSpan w:val="2"/>
            <w:vMerge w:val="restart"/>
            <w:shd w:val="clear" w:color="auto" w:fill="005388"/>
          </w:tcPr>
          <w:p>
            <w:pPr>
              <w:jc w:val="center"/>
              <w:spacing w:after="0"/>
              <w:rPr>
                <w:sz w:val="20"/>
                <w:szCs w:val="20"/>
                <w:color w:val="auto"/>
              </w:rPr>
            </w:pPr>
            <w:r>
              <w:rPr>
                <w:rFonts w:ascii="Arial" w:cs="Arial" w:eastAsia="Arial" w:hAnsi="Arial"/>
                <w:sz w:val="14"/>
                <w:szCs w:val="14"/>
                <w:color w:val="FFFFFF"/>
              </w:rPr>
              <w:t>Management</w:t>
            </w:r>
          </w:p>
        </w:tc>
        <w:tc>
          <w:tcPr>
            <w:tcW w:w="480" w:type="dxa"/>
            <w:vAlign w:val="bottom"/>
            <w:tcBorders>
              <w:bottom w:val="single" w:sz="8" w:color="0C2940"/>
            </w:tcBorders>
          </w:tcPr>
          <w:p>
            <w:pPr>
              <w:spacing w:after="0"/>
              <w:rPr>
                <w:sz w:val="7"/>
                <w:szCs w:val="7"/>
                <w:color w:val="auto"/>
              </w:rPr>
            </w:pPr>
          </w:p>
        </w:tc>
        <w:tc>
          <w:tcPr>
            <w:tcW w:w="1860" w:type="dxa"/>
            <w:vAlign w:val="bottom"/>
            <w:tcBorders>
              <w:bottom w:val="single" w:sz="8" w:color="0C2940"/>
            </w:tcBorders>
          </w:tcPr>
          <w:p>
            <w:pPr>
              <w:spacing w:after="0"/>
              <w:rPr>
                <w:sz w:val="7"/>
                <w:szCs w:val="7"/>
                <w:color w:val="auto"/>
              </w:rPr>
            </w:pPr>
          </w:p>
        </w:tc>
        <w:tc>
          <w:tcPr>
            <w:tcW w:w="480" w:type="dxa"/>
            <w:vAlign w:val="bottom"/>
            <w:tcBorders>
              <w:bottom w:val="single" w:sz="8" w:color="0C2940"/>
            </w:tcBorders>
          </w:tcPr>
          <w:p>
            <w:pPr>
              <w:spacing w:after="0"/>
              <w:rPr>
                <w:sz w:val="7"/>
                <w:szCs w:val="7"/>
                <w:color w:val="auto"/>
              </w:rPr>
            </w:pPr>
          </w:p>
        </w:tc>
        <w:tc>
          <w:tcPr>
            <w:tcW w:w="960" w:type="dxa"/>
            <w:vAlign w:val="bottom"/>
            <w:tcBorders>
              <w:bottom w:val="single" w:sz="8" w:color="0C2940"/>
              <w:right w:val="single" w:sz="8" w:color="0C2940"/>
            </w:tcBorders>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60" w:type="dxa"/>
            <w:vAlign w:val="bottom"/>
            <w:gridSpan w:val="2"/>
            <w:vMerge w:val="continue"/>
            <w:shd w:val="clear" w:color="auto" w:fill="005388"/>
          </w:tcPr>
          <w:p>
            <w:pPr>
              <w:spacing w:after="0"/>
              <w:rPr>
                <w:sz w:val="5"/>
                <w:szCs w:val="5"/>
                <w:color w:val="auto"/>
              </w:rPr>
            </w:pPr>
          </w:p>
        </w:tc>
        <w:tc>
          <w:tcPr>
            <w:tcW w:w="4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60" w:type="dxa"/>
            <w:vAlign w:val="bottom"/>
            <w:tcBorders>
              <w:bottom w:val="single" w:sz="8" w:color="005388"/>
            </w:tcBorders>
            <w:gridSpan w:val="2"/>
            <w:shd w:val="clear" w:color="auto" w:fill="005388"/>
          </w:tcPr>
          <w:p>
            <w:pPr>
              <w:jc w:val="center"/>
              <w:spacing w:after="0"/>
              <w:rPr>
                <w:sz w:val="20"/>
                <w:szCs w:val="20"/>
                <w:color w:val="auto"/>
              </w:rPr>
            </w:pPr>
            <w:r>
              <w:rPr>
                <w:rFonts w:ascii="Arial" w:cs="Arial" w:eastAsia="Arial" w:hAnsi="Arial"/>
                <w:sz w:val="14"/>
                <w:szCs w:val="14"/>
                <w:color w:val="FFFFFF"/>
              </w:rPr>
              <w:t>Committee</w:t>
            </w:r>
          </w:p>
        </w:tc>
        <w:tc>
          <w:tcPr>
            <w:tcW w:w="4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1860" w:type="dxa"/>
            <w:vAlign w:val="bottom"/>
            <w:gridSpan w:val="3"/>
          </w:tcPr>
          <w:p>
            <w:pPr>
              <w:ind w:left="20"/>
              <w:spacing w:after="0"/>
              <w:rPr>
                <w:sz w:val="20"/>
                <w:szCs w:val="20"/>
                <w:color w:val="auto"/>
              </w:rPr>
            </w:pPr>
            <w:r>
              <w:rPr>
                <w:rFonts w:ascii="Arial" w:cs="Arial" w:eastAsia="Arial" w:hAnsi="Arial"/>
                <w:sz w:val="14"/>
                <w:szCs w:val="14"/>
                <w:color w:val="auto"/>
              </w:rPr>
              <w:t>NMI Holdings, Inc. (NMIH)</w:t>
            </w: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40" w:type="dxa"/>
            <w:vAlign w:val="bottom"/>
            <w:gridSpan w:val="3"/>
          </w:tcPr>
          <w:p>
            <w:pPr>
              <w:jc w:val="right"/>
              <w:ind w:right="780"/>
              <w:spacing w:after="0"/>
              <w:rPr>
                <w:sz w:val="20"/>
                <w:szCs w:val="20"/>
                <w:color w:val="auto"/>
              </w:rPr>
            </w:pPr>
            <w:r>
              <w:rPr>
                <w:rFonts w:ascii="Arial" w:cs="Arial" w:eastAsia="Arial" w:hAnsi="Arial"/>
                <w:sz w:val="16"/>
                <w:szCs w:val="16"/>
                <w:b w:val="1"/>
                <w:bCs w:val="1"/>
                <w:color w:val="00B8FC"/>
              </w:rPr>
              <w:t>26</w:t>
            </w:r>
          </w:p>
        </w:tc>
        <w:tc>
          <w:tcPr>
            <w:tcW w:w="4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40" w:type="dxa"/>
            <w:vAlign w:val="bottom"/>
            <w:gridSpan w:val="3"/>
          </w:tcPr>
          <w:p>
            <w:pPr>
              <w:ind w:left="500"/>
              <w:spacing w:after="0"/>
              <w:rPr>
                <w:sz w:val="20"/>
                <w:szCs w:val="20"/>
                <w:color w:val="auto"/>
              </w:rPr>
            </w:pPr>
            <w:r>
              <w:rPr>
                <w:rFonts w:ascii="Arial" w:cs="Arial" w:eastAsia="Arial" w:hAnsi="Arial"/>
                <w:sz w:val="14"/>
                <w:szCs w:val="14"/>
                <w:color w:val="auto"/>
              </w:rPr>
              <w:t>2026 Proxy Statement</w:t>
            </w:r>
          </w:p>
        </w:tc>
        <w:tc>
          <w:tcPr>
            <w:tcW w:w="0" w:type="dxa"/>
            <w:vAlign w:val="bottom"/>
          </w:tcPr>
          <w:p>
            <w:pPr>
              <w:spacing w:after="0"/>
              <w:rPr>
                <w:sz w:val="1"/>
                <w:szCs w:val="1"/>
                <w:color w:val="auto"/>
              </w:rPr>
            </w:pPr>
          </w:p>
        </w:tc>
      </w:tr>
      <w:tr>
        <w:trPr>
          <w:trHeight w:val="325"/>
        </w:trPr>
        <w:tc>
          <w:tcPr>
            <w:tcW w:w="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-1846580</wp:posOffset>
            </wp:positionV>
            <wp:extent cx="1782445" cy="4540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82445" cy="45402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CORPORATE GOVERNANCE</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are committed to corporate governance practices that promote long-term value and strengthen board and management accountability to our stockholders. Our Board has implemented a number of measures to enrich board composition, enhance independent oversight and increase the effectiveness of the Board. These measures align our corporate governance structure with achieving our strategic objectives, and enable our Board to effectively communicate and oversee our culture of compliance, risk management, customer and stakeholder satisfaction and robust, sustainable growth.</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0C2940"/>
        </w:rPr>
        <w:t>BOARD OVERSIGHT OF OUR VALUES AND PEOPLE</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believe we play a critical role in the housing market and serve an important social purpose – helping borrowers gain access to housing and supporting them as they build value and community for themselves and their families. In 2025, we helped more than 185,000 borrowers obtain homeownership. Access to home ownership is central to the communities we serve. Our business puts us at the intersection of home access and home affordability where we help our lender customers help borrowers overcome the down payment hurdle of buying homes. We also provide private capital to take on first loss risk exposure ahead of taxpayers.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Throughout the year, the Board and its committees review and discuss with management the progress our Company has made in helping our lender customers help borrowers gain access to housing and supporting them as they build value and community for themselves and their families. The Board and its committees also review and discuss with management matters related to our people, including our progress towards inclusive and diverse representation among our employees, employee engagement, compensation and benefits, business conduct and compliance, and executive succession planning.</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C2940"/>
        </w:rPr>
        <w:t>CORPORATE RESPONSIBILITY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Board, including through its Governance and Nominating Committee which oversees our corporate responsibility efforts, reviews and discusses with management our environmental, social and governance initiatives and progress. We focus on minimizing the environmental impact of our operations and furthering social objectives through our business and relationships with our communities and employees. The diversity of our employees is a tremendous asset. We believe that diverse perspectives promote innovation and are crucial to the long-term success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05388"/>
        </w:rPr>
        <w:t>Sustainability Report: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publicly disclose information about our business across a number of topics on our website. Our Sustainability Report is regularly updated and provides a broad view of our corporate responsibility efforts across the Company. The Sustainability Report includes an index that maps our disclosures across metrics outlined in the Sustainability Accounting Standards Board's voluntary disclosure framework. We also reference the United Nations Sustainable Development Goals (UN Goals) in our Sustainability Report and have aligned our business activities and programs with the five UN Goals where we believe we can make the greatest impact. The Sustainability Report is available on our website at </w:t>
      </w:r>
      <w:r>
        <w:rPr>
          <w:rFonts w:ascii="Arial" w:cs="Arial" w:eastAsia="Arial" w:hAnsi="Arial"/>
          <w:sz w:val="16"/>
          <w:szCs w:val="16"/>
          <w:i w:val="1"/>
          <w:iCs w:val="1"/>
          <w:color w:val="0C2940"/>
        </w:rPr>
        <w:t>https://www.nationalmi.com/sustainability-report/</w:t>
      </w:r>
      <w:r>
        <w:rPr>
          <w:rFonts w:ascii="Arial" w:cs="Arial" w:eastAsia="Arial" w:hAnsi="Arial"/>
          <w:sz w:val="16"/>
          <w:szCs w:val="16"/>
          <w:color w:val="0C2940"/>
        </w:rPr>
        <w: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05388"/>
        </w:rPr>
        <w:t>Environmental Impact:</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a financial services company in the MI space, we have a limited environmental footprint, and we strive to minimize the impact of our operations on the environment. We have reduced travel by integrating video and audio conferencing and virtual meetings into our business practices. We outsource our production data center to a 100% green energy data center provider, decreasing our overall carbon footprint by leveraging the economies-of-scale and environmental efficiencies of our third-party, cloud-based data center provider. We continue to evaluate other enterprise-wide changes to further decrease the environmental impact of our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headquarters (and only office location) is leased and in a LEED Gold-certified building that includes eco-friendly features such as LED lighting, motion-sensor lighting, Energy Star appliances, temperature-controlled air and water heating, water efficient plumbing fixtures and electric car charging stations. The building also received the Institute of Real Estate Management Certified Sustainable Property designation by following stringent requirements to conserve electricity, water and gas.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05388"/>
        </w:rPr>
        <w:t>Social Responsibility: Communities and Human Capital</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5388"/>
        </w:rPr>
        <w:t>Communities</w:t>
      </w:r>
    </w:p>
    <w:p>
      <w:pPr>
        <w:spacing w:after="0" w:line="113" w:lineRule="exact"/>
        <w:rPr>
          <w:sz w:val="20"/>
          <w:szCs w:val="20"/>
          <w:color w:val="auto"/>
        </w:rPr>
      </w:pPr>
    </w:p>
    <w:p>
      <w:pPr>
        <w:jc w:val="both"/>
        <w:ind w:left="340"/>
        <w:spacing w:after="0" w:line="262" w:lineRule="auto"/>
        <w:rPr>
          <w:sz w:val="20"/>
          <w:szCs w:val="20"/>
          <w:color w:val="auto"/>
        </w:rPr>
      </w:pPr>
      <w:r>
        <w:rPr>
          <w:rFonts w:ascii="Arial" w:cs="Arial" w:eastAsia="Arial" w:hAnsi="Arial"/>
          <w:sz w:val="16"/>
          <w:szCs w:val="16"/>
          <w:color w:val="auto"/>
        </w:rPr>
        <w:t>We believe our business serves an important social function at its core: we assist first-time and low down-payment borrowers in achieving their home ownership goals through support of our lender customers. Access to home ownership for borrowers is central to our customers and the communities we serve. Our MI products provide individual borrowers with the assistance they need to secure affordable mortgage loans and, in doing so, we help open the door to sustainable homeownership in communities across the country. Our products also facilitate secondary market sales of residential mortgages, primarily to Fannie Mae and Freddie Mac (the government-sponsored enterprises (GSEs)), and provide lenders and investors a means to diversify and mitigate their exposure to mortgage credit risk. With our private capital standing in a first loss position, we play a crucial role in protecting U.S. taxpayers from exposure to credit losses experienced by the GSEs, which are effectively guaranteed by the government.</w:t>
      </w:r>
    </w:p>
    <w:p>
      <w:pPr>
        <w:spacing w:after="0" w:line="318"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27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40"/>
        <w:spacing w:after="0" w:line="243" w:lineRule="auto"/>
        <w:rPr>
          <w:sz w:val="20"/>
          <w:szCs w:val="20"/>
          <w:color w:val="auto"/>
        </w:rPr>
      </w:pPr>
      <w:r>
        <w:rPr>
          <w:rFonts w:ascii="Arial" w:cs="Arial" w:eastAsia="Arial" w:hAnsi="Arial"/>
          <w:sz w:val="16"/>
          <w:szCs w:val="16"/>
          <w:color w:val="auto"/>
        </w:rPr>
        <w:t>As part of our community initiatives, we have been in partnership with Mortgage Bankers Association (MBA) Opens Doors Foundation. MBA Opens Doors was formed in 2011 with the mission of helping vulnerable families with critically ill or injured children to stay in their homes while a child is in treatment. Since 2020, we have donated to the MBA Opens Doors Foundation a portion of the premium payments we receive on every new policy we originate. We make donations to a number of state nonprofit educational funds around the U.S. that provide access to individualized pre-K through 12</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grade learning programs for low-income and other underrepresented communities. In 2025, we donated more than $1.3 million to these educational funds.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5388"/>
        </w:rPr>
        <w:t>Human Capital</w:t>
      </w:r>
    </w:p>
    <w:p>
      <w:pPr>
        <w:spacing w:after="0" w:line="127"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color w:val="auto"/>
        </w:rPr>
        <w:t>We are a company of approximately 225 full-time and part-time employees. We also engage third-party vendors to provide additional IT, underwriting and other support services. 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w:t>
      </w:r>
    </w:p>
    <w:p>
      <w:pPr>
        <w:spacing w:after="0" w:line="65"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We prioritize our employees with the goal of attracting, retaining and developing a high-quality talent base and aim to foster a high-performing, employee-driven and collaborative work environment that emphasizes both organizational and personal success. We offer competitive salaries and a comprehensive benefits package that includes annual cash bonuses and equity grants, life, health and supplemental insurance coverage, paid time off, paid caregiver leave, emergency backup child and elder care, a 401(k) Savings Plan with employer matching contributions, and programs to support employee mental, physical and financial well-being. We grant equity to every one of our employees annually and offer mortgage assistance to support our employees who are first-time homebuyers. We encourage our employees to continue their educational and professional development, and support those who do with tuition reimbursement and student loan payback programs, as well as ongoing firm-wide training initiatives and access to third-party course materials.</w:t>
      </w:r>
    </w:p>
    <w:p>
      <w:pPr>
        <w:spacing w:after="0" w:line="72" w:lineRule="exact"/>
        <w:rPr>
          <w:sz w:val="20"/>
          <w:szCs w:val="20"/>
          <w:color w:val="auto"/>
        </w:rPr>
      </w:pPr>
    </w:p>
    <w:p>
      <w:pPr>
        <w:jc w:val="both"/>
        <w:ind w:left="340" w:right="20"/>
        <w:spacing w:after="0" w:line="235" w:lineRule="auto"/>
        <w:rPr>
          <w:sz w:val="20"/>
          <w:szCs w:val="20"/>
          <w:color w:val="auto"/>
        </w:rPr>
      </w:pPr>
      <w:r>
        <w:rPr>
          <w:rFonts w:ascii="Arial" w:cs="Arial" w:eastAsia="Arial" w:hAnsi="Arial"/>
          <w:sz w:val="16"/>
          <w:szCs w:val="16"/>
          <w:color w:val="auto"/>
        </w:rPr>
        <w:t>In 2025, we were recognized as a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for the tenth consecutive year.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a global authority on workplace culture, employee experience and leadership, and partners with FORTUNE magazine to produce the annual FORTUNE "</w:t>
      </w:r>
      <w:r>
        <w:rPr>
          <w:rFonts w:ascii="Arial" w:cs="Arial" w:eastAsia="Arial" w:hAnsi="Arial"/>
          <w:sz w:val="16"/>
          <w:szCs w:val="16"/>
          <w:i w:val="1"/>
          <w:iCs w:val="1"/>
          <w:color w:val="auto"/>
        </w:rPr>
        <w:t>100 Best Companies to Work For</w:t>
      </w:r>
      <w:r>
        <w:rPr>
          <w:rFonts w:ascii="Arial" w:cs="Arial" w:eastAsia="Arial" w:hAnsi="Arial"/>
          <w:sz w:val="16"/>
          <w:szCs w:val="16"/>
          <w:color w:val="auto"/>
        </w:rPr>
        <w:t>" list.</w:t>
      </w:r>
    </w:p>
    <w:p>
      <w:pPr>
        <w:spacing w:after="0" w:line="83"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color w:val="auto"/>
        </w:rPr>
        <w:t>We value collaboration as a company and believe that different perspectives promote innovation and are crucial to the long-term success of our business. As of December 31, 2025, 71% of our employee population identified as members of a diverse group, including 54% as women and 35% as racial/ethnic minorities. We recognize the valuable contributions of key leaders across our organization and engage in regular succession planning efforts in collaboration with the Board to ensure business continuity and provide ongoing employee development opportunities. In 2025, we continued to focus on our talented, innovative and dedicated people, investing in our culture with a focus on collaboration, performance and employee education.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05388"/>
        </w:rPr>
        <w:t>Governance:</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Corporate governance is foundational to our corporate responsibility efforts and we work actively with our Board on our initiatives. Our Governance and Nominating Committee oversees our sustainability efforts generally as set forth in its charter. The success of our employees, customers and stockholders depends on our ability to manage our business ethically, transparently and responsibly. Our Business Conduct and Ethics Policy (as further described below) are both publicly available and, in conjunction with other internal policies, communicate our values and expectations for employees and other stakeholders. Our Corporate Governance Guidelines (as further described below), which detail our corporate governance practices with respect to our Board and its committees, are reviewed periodically by our Governance and Nominating Committee and are also publicly available. Additional information regarding our board can also be found under "</w:t>
      </w:r>
      <w:r>
        <w:rPr>
          <w:rFonts w:ascii="Arial" w:cs="Arial" w:eastAsia="Arial" w:hAnsi="Arial"/>
          <w:sz w:val="16"/>
          <w:szCs w:val="16"/>
          <w:i w:val="1"/>
          <w:iCs w:val="1"/>
          <w:color w:val="auto"/>
        </w:rPr>
        <w:t>Corporate Governance and Board Matter</w:t>
      </w:r>
      <w:r>
        <w:rPr>
          <w:rFonts w:ascii="Arial" w:cs="Arial" w:eastAsia="Arial" w:hAnsi="Arial"/>
          <w:sz w:val="16"/>
          <w:szCs w:val="16"/>
          <w:color w:val="auto"/>
        </w:rPr>
        <w:t xml:space="preserve">s" on page </w:t>
      </w:r>
      <w:r>
        <w:rPr>
          <w:rFonts w:ascii="Arial" w:cs="Arial" w:eastAsia="Arial" w:hAnsi="Arial"/>
          <w:sz w:val="16"/>
          <w:szCs w:val="16"/>
          <w:u w:val="single" w:color="auto"/>
          <w:color w:val="0000FF"/>
        </w:rPr>
        <w:t>21</w:t>
      </w:r>
      <w:r>
        <w:rPr>
          <w:rFonts w:ascii="Arial" w:cs="Arial" w:eastAsia="Arial" w:hAnsi="Arial"/>
          <w:sz w:val="16"/>
          <w:szCs w:val="16"/>
          <w:color w:val="auto"/>
        </w:rPr>
        <w: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005388"/>
        </w:rPr>
        <w:t xml:space="preserve">Corporate Governance </w:t>
      </w:r>
      <w:r>
        <w:rPr>
          <w:rFonts w:ascii="Arial" w:cs="Arial" w:eastAsia="Arial" w:hAnsi="Arial"/>
          <w:sz w:val="16"/>
          <w:szCs w:val="16"/>
          <w:b w:val="1"/>
          <w:bCs w:val="1"/>
          <w:color w:val="005388"/>
        </w:rPr>
        <w:t>Guidelines</w:t>
      </w:r>
    </w:p>
    <w:p>
      <w:pPr>
        <w:spacing w:after="0" w:line="113"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Our Corporate Governance Guidelines set forth a framework for our governance. The Guidelines cover the Board's membership criteria, director independence, director compensation, board meeting process, committee structure and succession planning. Among other things, the Board meets in executive sessions at which only independent directors are present at least twice annually, and the Lead Independent Director presides over these sessions (unless the Lead Independent Director delegates such responsibility to another independent director). The Governance and Nominating Committee and the Board consider the need for amendments or enhancements to our Corporate Governance Guidelines at least annually.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Board Leadership</w:t>
      </w:r>
      <w:r>
        <w:rPr>
          <w:rFonts w:ascii="Arial" w:cs="Arial" w:eastAsia="Arial" w:hAnsi="Arial"/>
          <w:sz w:val="16"/>
          <w:szCs w:val="16"/>
          <w:color w:val="auto"/>
        </w:rPr>
        <w:t>" above, for information regarding the Lead Independent Director's responsibilities and authority.</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Corporate Governance Guidelines also require a director who, during their tenure as a director (i) joins the board of directors of another company or</w:t>
      </w:r>
    </w:p>
    <w:p>
      <w:pPr>
        <w:spacing w:after="0" w:line="21" w:lineRule="exact"/>
        <w:rPr>
          <w:sz w:val="20"/>
          <w:szCs w:val="20"/>
          <w:color w:val="auto"/>
        </w:rPr>
      </w:pPr>
    </w:p>
    <w:p>
      <w:pPr>
        <w:jc w:val="both"/>
        <w:ind w:left="340" w:hanging="8"/>
        <w:spacing w:after="0" w:line="264" w:lineRule="auto"/>
        <w:tabs>
          <w:tab w:leader="none" w:pos="58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experiences a change in their business or commercial activity, to notify the Governance and Nominating Committee, which will then review the circumstances to determine if such director's continued service is appropriate and make a recommendation to the Board, after which the remaining Board members will make their determination of whether that director's continued service is appropriate.</w:t>
      </w:r>
    </w:p>
    <w:p>
      <w:pPr>
        <w:spacing w:after="0" w:line="33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28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Corporate Governance Guidelines require that a director shall not (i) stand for re-election to the Board at the Company's next annual meeting of stockholder upon the attainment of age 76; and (ii) serve on the boards of more than three other public companies. The Board shall review any exceptions on a case by case basis.</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005388"/>
        </w:rPr>
        <w:t>Business Conduct and Ethics Policy</w:t>
      </w:r>
    </w:p>
    <w:p>
      <w:pPr>
        <w:spacing w:after="0" w:line="127"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Our Board has adopted a code of business conduct and ethics (the Business Conduct &amp; Ethics Policy) that applies to all of our employees, officers, external directors and contractors (full-time, part-time or temporary) of the Company and its subsidiaries. We review and update our Business Conduct</w:t>
      </w:r>
    </w:p>
    <w:p>
      <w:pPr>
        <w:spacing w:after="0" w:line="1" w:lineRule="exact"/>
        <w:rPr>
          <w:sz w:val="20"/>
          <w:szCs w:val="20"/>
          <w:color w:val="auto"/>
        </w:rPr>
      </w:pPr>
    </w:p>
    <w:p>
      <w:pPr>
        <w:jc w:val="both"/>
        <w:ind w:left="340" w:hanging="8"/>
        <w:spacing w:after="0" w:line="264" w:lineRule="auto"/>
        <w:tabs>
          <w:tab w:leader="none" w:pos="499"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Ethics Policy periodically and regularly. If we amend or grant any waiver from a provision of our Business Conduct &amp; Ethics Policy that applies to our executive officers, we will publicly disclose such amendment or waiver on our website as required by applicable law. The Business Conduct &amp; Ethics Policy is publicly available on our website at </w:t>
      </w:r>
      <w:r>
        <w:rPr>
          <w:rFonts w:ascii="Arial" w:cs="Arial" w:eastAsia="Arial" w:hAnsi="Arial"/>
          <w:sz w:val="16"/>
          <w:szCs w:val="16"/>
          <w:i w:val="1"/>
          <w:iCs w:val="1"/>
          <w:color w:val="0C2940"/>
        </w:rPr>
        <w:t>https://ir.nationalmi.com/corporate-governance/board-documents.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005388"/>
        </w:rPr>
        <w:t>Minimum Stock Ownership and Holding Period (Directors)</w:t>
      </w:r>
    </w:p>
    <w:p>
      <w:pPr>
        <w:spacing w:after="0" w:line="113" w:lineRule="exact"/>
        <w:rPr>
          <w:sz w:val="20"/>
          <w:szCs w:val="20"/>
          <w:color w:val="auto"/>
        </w:rPr>
      </w:pPr>
    </w:p>
    <w:p>
      <w:pPr>
        <w:jc w:val="both"/>
        <w:ind w:left="340"/>
        <w:spacing w:after="0" w:line="265" w:lineRule="auto"/>
        <w:rPr>
          <w:sz w:val="20"/>
          <w:szCs w:val="20"/>
          <w:color w:val="auto"/>
        </w:rPr>
      </w:pPr>
      <w:r>
        <w:rPr>
          <w:rFonts w:ascii="Arial" w:cs="Arial" w:eastAsia="Arial" w:hAnsi="Arial"/>
          <w:sz w:val="16"/>
          <w:szCs w:val="16"/>
          <w:color w:val="auto"/>
        </w:rPr>
        <w:t>The Board has adopted a written Stock Ownership Policy applicable to the Company's executive officers and directors (other than any non-employee director who serves on the Board in fulfillment of his or her employment obligations to a non-affiliate of the Company and is required to transfer all or a portion of their equity awards granted by the Company to their employer). None of our directors is currently serving on the Board in fulfillment of employment obligations to a non-affiliate of the Company.</w:t>
      </w:r>
    </w:p>
    <w:p>
      <w:pPr>
        <w:spacing w:after="0" w:line="1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40" w:type="dxa"/>
            <w:vAlign w:val="bottom"/>
            <w:shd w:val="clear" w:color="auto" w:fill="0C2940"/>
          </w:tcPr>
          <w:p>
            <w:pPr>
              <w:ind w:left="2460"/>
              <w:spacing w:after="0"/>
              <w:rPr>
                <w:sz w:val="20"/>
                <w:szCs w:val="20"/>
                <w:color w:val="auto"/>
              </w:rPr>
            </w:pPr>
            <w:r>
              <w:rPr>
                <w:rFonts w:ascii="Arial" w:cs="Arial" w:eastAsia="Arial" w:hAnsi="Arial"/>
                <w:sz w:val="14"/>
                <w:szCs w:val="14"/>
                <w:color w:val="FFFFFF"/>
              </w:rPr>
              <w:t>TITLE</w:t>
            </w:r>
          </w:p>
        </w:tc>
        <w:tc>
          <w:tcPr>
            <w:tcW w:w="5460" w:type="dxa"/>
            <w:vAlign w:val="bottom"/>
            <w:shd w:val="clear" w:color="auto" w:fill="0C2940"/>
          </w:tcPr>
          <w:p>
            <w:pPr>
              <w:jc w:val="center"/>
              <w:ind w:left="148"/>
              <w:spacing w:after="0"/>
              <w:rPr>
                <w:sz w:val="20"/>
                <w:szCs w:val="20"/>
                <w:color w:val="auto"/>
              </w:rPr>
            </w:pPr>
            <w:r>
              <w:rPr>
                <w:rFonts w:ascii="Arial" w:cs="Arial" w:eastAsia="Arial" w:hAnsi="Arial"/>
                <w:sz w:val="14"/>
                <w:szCs w:val="14"/>
                <w:color w:val="FFFFFF"/>
              </w:rPr>
              <w:t>STOCK OWNERSHIP GUIDELINES</w:t>
            </w:r>
          </w:p>
        </w:tc>
      </w:tr>
      <w:tr>
        <w:trPr>
          <w:trHeight w:val="208"/>
        </w:trPr>
        <w:tc>
          <w:tcPr>
            <w:tcW w:w="5040" w:type="dxa"/>
            <w:vAlign w:val="bottom"/>
          </w:tcPr>
          <w:p>
            <w:pPr>
              <w:ind w:left="1880"/>
              <w:spacing w:after="0"/>
              <w:rPr>
                <w:sz w:val="20"/>
                <w:szCs w:val="20"/>
                <w:color w:val="auto"/>
              </w:rPr>
            </w:pPr>
            <w:r>
              <w:rPr>
                <w:rFonts w:ascii="Arial" w:cs="Arial" w:eastAsia="Arial" w:hAnsi="Arial"/>
                <w:sz w:val="14"/>
                <w:szCs w:val="14"/>
                <w:color w:val="auto"/>
              </w:rPr>
              <w:t>Non-Employee Director</w:t>
            </w:r>
          </w:p>
        </w:tc>
        <w:tc>
          <w:tcPr>
            <w:tcW w:w="5460" w:type="dxa"/>
            <w:vAlign w:val="bottom"/>
          </w:tcPr>
          <w:p>
            <w:pPr>
              <w:jc w:val="center"/>
              <w:ind w:left="148"/>
              <w:spacing w:after="0"/>
              <w:rPr>
                <w:sz w:val="20"/>
                <w:szCs w:val="20"/>
                <w:color w:val="auto"/>
              </w:rPr>
            </w:pPr>
            <w:r>
              <w:rPr>
                <w:rFonts w:ascii="Arial" w:cs="Arial" w:eastAsia="Arial" w:hAnsi="Arial"/>
                <w:sz w:val="14"/>
                <w:szCs w:val="14"/>
                <w:color w:val="auto"/>
              </w:rPr>
              <w:t>5.0 x Annual Cash Retainer</w:t>
            </w:r>
          </w:p>
        </w:tc>
      </w:tr>
      <w:tr>
        <w:trPr>
          <w:trHeight w:val="76"/>
        </w:trPr>
        <w:tc>
          <w:tcPr>
            <w:tcW w:w="5040" w:type="dxa"/>
            <w:vAlign w:val="bottom"/>
            <w:tcBorders>
              <w:bottom w:val="single" w:sz="8" w:color="DE762B"/>
            </w:tcBorders>
          </w:tcPr>
          <w:p>
            <w:pPr>
              <w:spacing w:after="0"/>
              <w:rPr>
                <w:sz w:val="6"/>
                <w:szCs w:val="6"/>
                <w:color w:val="auto"/>
              </w:rPr>
            </w:pPr>
          </w:p>
        </w:tc>
        <w:tc>
          <w:tcPr>
            <w:tcW w:w="5460" w:type="dxa"/>
            <w:vAlign w:val="bottom"/>
            <w:tcBorders>
              <w:bottom w:val="single" w:sz="8" w:color="DE762B"/>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-200660</wp:posOffset>
            </wp:positionV>
            <wp:extent cx="33655" cy="2051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205105"/>
                    </a:xfrm>
                    <a:prstGeom prst="rect">
                      <a:avLst/>
                    </a:prstGeom>
                    <a:noFill/>
                  </pic:spPr>
                </pic:pic>
              </a:graphicData>
            </a:graphic>
          </wp:anchor>
        </w:drawing>
      </w:r>
    </w:p>
    <w:p>
      <w:pPr>
        <w:spacing w:after="0" w:line="16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Each director is required to hold 50% of shares delivered by the Company upon vesting or exercise of equity awards granted under the Company's equity plans until the applicable stock ownership threshold has been met. As of December 31, 2025, each of our directors had met the stock ownership requirement. Ms. Agrawal joined the Board in February 2026 and will have until February 2031 to meet the stock ownership requirement..</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005388"/>
        </w:rPr>
        <w:t>Director Independence</w:t>
      </w:r>
    </w:p>
    <w:p>
      <w:pPr>
        <w:spacing w:after="0" w:line="12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Our Corporate Governance Guidelines regarding director independence are consistent with the applicable rules and regulations of NASDAQ and the SEC. A director is independent under our Corporate Governance Guidelines if the Board has made an affirmative determination that the director has no material relationship with the Company that would impair his or her independent judgment (either directly or as a partner, stockholder or officer of an organization that has a relationship with the Company, or if an immediate family member has such a relationship). In the process of making such determinations, the Board will consider the nature, extent and materiality of the director's relationships with the Company and the Board will apply the NASDAQ and SEC independence requirements.</w:t>
      </w:r>
    </w:p>
    <w:p>
      <w:pPr>
        <w:spacing w:after="0" w:line="68"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In accordance with our Corporate Governance Guidelines, our Board has determined that all of the current members of the Board, except Mr. Shuster, our Executive Chairman, and Mr. Pollitzer, our President and CEO, are "independent" under the applicable rules and regulations of NASDAQ and the SEC.</w:t>
      </w:r>
    </w:p>
    <w:p>
      <w:pPr>
        <w:spacing w:after="0" w:line="56" w:lineRule="exact"/>
        <w:rPr>
          <w:sz w:val="20"/>
          <w:szCs w:val="20"/>
          <w:color w:val="auto"/>
        </w:rPr>
      </w:pPr>
    </w:p>
    <w:p>
      <w:pPr>
        <w:ind w:left="340"/>
        <w:spacing w:after="0"/>
        <w:rPr>
          <w:sz w:val="20"/>
          <w:szCs w:val="20"/>
          <w:color w:val="auto"/>
        </w:rPr>
      </w:pPr>
      <w:r>
        <w:rPr>
          <w:rFonts w:ascii="Arial" w:cs="Arial" w:eastAsia="Arial" w:hAnsi="Arial"/>
          <w:sz w:val="16"/>
          <w:szCs w:val="16"/>
          <w:color w:val="005388"/>
        </w:rPr>
        <w:t>Certain Relationships and Related Party Transactions</w:t>
      </w:r>
    </w:p>
    <w:p>
      <w:pPr>
        <w:spacing w:after="0" w:line="127"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We have adopted a written Related Party Transaction Approval Policy. Pursuant to this policy, our directors and director nominees, executive officers and holders of more than five percent of our common stock, including their immediate family members, (each, a related party) will not be permitted to enter into a transaction with us where the amount involved exceeds or is reasonably expected to exceed $120,000 without the review and consent of our Audit Committee, or in certain circumstances, the Chair of the Audit Committee (Audit Chair). Any request for us to enter into such a transaction, where any such related party has a direct or indirect material interest, subject to certain exceptions, will be required to be presented by management to our Audit Committee or Audit Chair, which will review and approve or disapprove such proposed transaction. In determining whether to approve a related party transaction, the Audit Committee or Audit Chair, as applicable, shall consider:</w:t>
      </w:r>
    </w:p>
    <w:p>
      <w:pPr>
        <w:spacing w:after="0" w:line="68" w:lineRule="exact"/>
        <w:rPr>
          <w:sz w:val="20"/>
          <w:szCs w:val="20"/>
          <w:color w:val="auto"/>
        </w:rPr>
      </w:pPr>
    </w:p>
    <w:p>
      <w:pPr>
        <w:ind w:left="1140" w:hanging="322"/>
        <w:spacing w:after="0" w:line="304" w:lineRule="auto"/>
        <w:tabs>
          <w:tab w:leader="none" w:pos="11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whether the transaction is on terms that are fair and reasonable to the Company and substantially the same as would apply if the other party was not a related party;</w:t>
      </w:r>
    </w:p>
    <w:p>
      <w:pPr>
        <w:spacing w:after="0" w:line="33" w:lineRule="exact"/>
        <w:rPr>
          <w:sz w:val="20"/>
          <w:szCs w:val="20"/>
          <w:color w:val="auto"/>
        </w:rPr>
      </w:pPr>
    </w:p>
    <w:p>
      <w:pPr>
        <w:ind w:left="1120" w:hanging="302"/>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size of the transaction and the amount payable to the related party;</w:t>
      </w:r>
    </w:p>
    <w:p>
      <w:pPr>
        <w:spacing w:after="0" w:line="126" w:lineRule="exact"/>
        <w:rPr>
          <w:rFonts w:ascii="Arial" w:cs="Arial" w:eastAsia="Arial" w:hAnsi="Arial"/>
          <w:sz w:val="16"/>
          <w:szCs w:val="16"/>
          <w:color w:val="auto"/>
        </w:rPr>
      </w:pPr>
    </w:p>
    <w:p>
      <w:pPr>
        <w:ind w:left="1120" w:hanging="302"/>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nature of the interest of the related party in the transaction;</w:t>
      </w:r>
    </w:p>
    <w:p>
      <w:pPr>
        <w:spacing w:after="0" w:line="113" w:lineRule="exact"/>
        <w:rPr>
          <w:rFonts w:ascii="Arial" w:cs="Arial" w:eastAsia="Arial" w:hAnsi="Arial"/>
          <w:sz w:val="16"/>
          <w:szCs w:val="16"/>
          <w:color w:val="auto"/>
        </w:rPr>
      </w:pPr>
    </w:p>
    <w:p>
      <w:pPr>
        <w:ind w:left="1120" w:hanging="302"/>
        <w:spacing w:after="0"/>
        <w:tabs>
          <w:tab w:leader="none" w:pos="11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the transaction is in the business interests of the Company and in the interests of the Company's stockholders;</w:t>
      </w:r>
    </w:p>
    <w:p>
      <w:pPr>
        <w:spacing w:after="0" w:line="113" w:lineRule="exact"/>
        <w:rPr>
          <w:sz w:val="20"/>
          <w:szCs w:val="20"/>
          <w:color w:val="auto"/>
        </w:rPr>
      </w:pPr>
    </w:p>
    <w:p>
      <w:pPr>
        <w:ind w:left="1120" w:hanging="302"/>
        <w:spacing w:after="0"/>
        <w:tabs>
          <w:tab w:leader="none" w:pos="11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the transaction may involve a conflict of interest or otherwise interfere with the objectivity and independence of the related party; and</w:t>
      </w:r>
    </w:p>
    <w:p>
      <w:pPr>
        <w:spacing w:after="0" w:line="379"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29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20"/>
        <w:spacing w:after="0"/>
        <w:tabs>
          <w:tab w:leader="none" w:pos="1100" w:val="left"/>
        </w:tabs>
        <w:rPr>
          <w:sz w:val="20"/>
          <w:szCs w:val="20"/>
          <w:color w:val="auto"/>
        </w:rPr>
      </w:pPr>
      <w:r>
        <w:rPr>
          <w:rFonts w:ascii="Arial" w:cs="Arial" w:eastAsia="Arial" w:hAnsi="Arial"/>
          <w:sz w:val="16"/>
          <w:szCs w:val="16"/>
          <w:color w:val="auto"/>
        </w:rPr>
        <w:t>vi</w:t>
        <w:tab/>
        <w:t>any other facts and circumstances that the members of the Audit Committee or Audit Chair, as applicable, deem relevant.</w:t>
      </w:r>
    </w:p>
    <w:p>
      <w:pPr>
        <w:spacing w:after="0" w:line="113" w:lineRule="exact"/>
        <w:rPr>
          <w:sz w:val="20"/>
          <w:szCs w:val="20"/>
          <w:color w:val="auto"/>
        </w:rPr>
      </w:pPr>
    </w:p>
    <w:p>
      <w:pPr>
        <w:jc w:val="both"/>
        <w:ind w:left="340"/>
        <w:spacing w:after="0" w:line="271" w:lineRule="auto"/>
        <w:rPr>
          <w:sz w:val="20"/>
          <w:szCs w:val="20"/>
          <w:color w:val="auto"/>
        </w:rPr>
      </w:pPr>
      <w:r>
        <w:rPr>
          <w:rFonts w:ascii="Arial" w:cs="Arial" w:eastAsia="Arial" w:hAnsi="Arial"/>
          <w:sz w:val="16"/>
          <w:szCs w:val="16"/>
          <w:color w:val="auto"/>
        </w:rPr>
        <w:t>Other than compensation agreements and other arrangements which are described in the “</w:t>
      </w:r>
      <w:r>
        <w:rPr>
          <w:rFonts w:ascii="Arial" w:cs="Arial" w:eastAsia="Arial" w:hAnsi="Arial"/>
          <w:sz w:val="16"/>
          <w:szCs w:val="16"/>
          <w:i w:val="1"/>
          <w:iCs w:val="1"/>
          <w:color w:val="auto"/>
        </w:rPr>
        <w:t>Election of Directors —</w:t>
      </w:r>
      <w:r>
        <w:rPr>
          <w:rFonts w:ascii="Arial" w:cs="Arial" w:eastAsia="Arial" w:hAnsi="Arial"/>
          <w:sz w:val="16"/>
          <w:szCs w:val="16"/>
          <w:color w:val="auto"/>
        </w:rPr>
        <w:t xml:space="preserve"> 2025 </w:t>
      </w:r>
      <w:r>
        <w:rPr>
          <w:rFonts w:ascii="Arial" w:cs="Arial" w:eastAsia="Arial" w:hAnsi="Arial"/>
          <w:sz w:val="16"/>
          <w:szCs w:val="16"/>
          <w:i w:val="1"/>
          <w:iCs w:val="1"/>
          <w:color w:val="auto"/>
        </w:rPr>
        <w:t>Director Compensation</w:t>
      </w:r>
      <w:r>
        <w:rPr>
          <w:rFonts w:ascii="Arial" w:cs="Arial" w:eastAsia="Arial" w:hAnsi="Arial"/>
          <w:sz w:val="16"/>
          <w:szCs w:val="16"/>
          <w:color w:val="auto"/>
        </w:rPr>
        <w:t>” and “</w:t>
      </w:r>
      <w:r>
        <w:rPr>
          <w:rFonts w:ascii="Arial" w:cs="Arial" w:eastAsia="Arial" w:hAnsi="Arial"/>
          <w:sz w:val="16"/>
          <w:szCs w:val="16"/>
          <w:i w:val="1"/>
          <w:iCs w:val="1"/>
          <w:color w:val="auto"/>
        </w:rPr>
        <w:t>Compensation Discussion and Analysis</w:t>
      </w:r>
      <w:r>
        <w:rPr>
          <w:rFonts w:ascii="Arial" w:cs="Arial" w:eastAsia="Arial" w:hAnsi="Arial"/>
          <w:sz w:val="16"/>
          <w:szCs w:val="16"/>
          <w:color w:val="auto"/>
        </w:rPr>
        <w:t>” sections of this proxy statement, during the year ended December 31, 2025 there was not, and there is not currently proposed, any transaction or series of transactions to which we were or will be a party in which the amount involved exceeded or will exceed $120,000 and in which a related party had or will have a direct or indirect material interest.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0C2940"/>
        </w:rPr>
        <w:t>STOCKHOLDER ENGAGEMENT</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that proactively engaging with and listening to our stockholders and other stakeholders is fundamental to sound corporate governance and allows us to better appreciate our stockholders’ perspectives regarding our performance, corporate governance practices and other matters of interest. We regularly engage with and listen to our stockholders and other stakeholders, including through:</w:t>
      </w:r>
    </w:p>
    <w:p>
      <w:pPr>
        <w:spacing w:after="0" w:line="70" w:lineRule="exact"/>
        <w:rPr>
          <w:sz w:val="20"/>
          <w:szCs w:val="20"/>
          <w:color w:val="auto"/>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Quarterly earnings conference calls;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Investor meetings and calls;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Periodic investor day presentations;</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Annual stockholders' meeting;</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Non-deal roadshows;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Analyst meetings and calls; and</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34"/>
        </w:numPr>
        <w:rPr>
          <w:rFonts w:ascii="Arial" w:cs="Arial" w:eastAsia="Arial" w:hAnsi="Arial"/>
          <w:sz w:val="16"/>
          <w:szCs w:val="16"/>
          <w:color w:val="005388"/>
        </w:rPr>
      </w:pPr>
      <w:r>
        <w:rPr>
          <w:rFonts w:ascii="Arial" w:cs="Arial" w:eastAsia="Arial" w:hAnsi="Arial"/>
          <w:sz w:val="16"/>
          <w:szCs w:val="16"/>
          <w:color w:val="auto"/>
        </w:rPr>
        <w:t>Investor conferences.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we have in the past, in 2025, we engaged in extensive stockholder outreach. During the year, we held more than 100 meetings with existing stockholders and other potential investors to discuss various key corporate matters. The topics discussed included our business operations and financial results, market trends, regulatory developments, corporate governance, corporate sustainability and executive compensation, among others.</w:t>
      </w:r>
    </w:p>
    <w:p>
      <w:pPr>
        <w:spacing w:after="0" w:line="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continually seek out opportunities to engage in open two-way conversations with our stockholders, prospective investors and other stakeholders, and conducted these meetings throughout the year, including in person, via teleconference, at our investor day and one-on-one at industry conferences. In our engagements, we aim to foster constructive dialogue in which we discuss the perspectives of senior management and the Board and solicit our stockholders’ and stakeholders’ insights and feedback on important issues, which the Board considers in developing our corporate strategy, governance and compensation practices and other key corporate issues. We take feedback and insights from our engagement with stockholders and other stakeholders into consideration as we review and evolve our business practices and disclosures, and further share the feedback and insights with our Board as appropriate.</w:t>
      </w:r>
    </w:p>
    <w:p>
      <w:pPr>
        <w:spacing w:after="0" w:line="8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addition, our Board also reviews with senior management the proxy advisory firms’ perspectives on voting matters and voting results to ensure we provide appropriate consideration to such views. As a result, in the past we have made adjustments to our compensation programs, including by granting performance-based long term equity awards to our NEOs and enhancing our public disclosure of information, including the publishing of our annual Sustainability Report, which details our efforts in support of housing access and affordability, risk management and privacy protection, regulatory compliance, corporate governance, human capital management, community outreach and charitable giving, and environmental matters, among others.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0C2940"/>
        </w:rPr>
        <w:t>INFORMATION ONLINE</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Corporate Governance section of our website (</w:t>
      </w:r>
      <w:r>
        <w:rPr>
          <w:rFonts w:ascii="Arial" w:cs="Arial" w:eastAsia="Arial" w:hAnsi="Arial"/>
          <w:sz w:val="16"/>
          <w:szCs w:val="16"/>
          <w:b w:val="1"/>
          <w:bCs w:val="1"/>
          <w:i w:val="1"/>
          <w:iCs w:val="1"/>
          <w:color w:val="auto"/>
        </w:rPr>
        <w:t>https://ir.nationalmi.com/corporate-governance</w:t>
      </w:r>
      <w:r>
        <w:rPr>
          <w:rFonts w:ascii="Arial" w:cs="Arial" w:eastAsia="Arial" w:hAnsi="Arial"/>
          <w:sz w:val="16"/>
          <w:szCs w:val="16"/>
          <w:color w:val="auto"/>
        </w:rPr>
        <w:t>) includes the following corporate governance documents:</w:t>
      </w:r>
    </w:p>
    <w:p>
      <w:pPr>
        <w:spacing w:after="0" w:line="33" w:lineRule="exact"/>
        <w:rPr>
          <w:sz w:val="20"/>
          <w:szCs w:val="20"/>
          <w:color w:val="auto"/>
        </w:rPr>
      </w:pPr>
    </w:p>
    <w:p>
      <w:pPr>
        <w:ind w:left="220" w:hanging="212"/>
        <w:spacing w:after="0"/>
        <w:tabs>
          <w:tab w:leader="none" w:pos="220" w:val="left"/>
        </w:tabs>
        <w:numPr>
          <w:ilvl w:val="0"/>
          <w:numId w:val="35"/>
        </w:numPr>
        <w:rPr>
          <w:rFonts w:ascii="Arial" w:cs="Arial" w:eastAsia="Arial" w:hAnsi="Arial"/>
          <w:sz w:val="16"/>
          <w:szCs w:val="16"/>
          <w:color w:val="005388"/>
        </w:rPr>
      </w:pPr>
      <w:r>
        <w:rPr>
          <w:rFonts w:ascii="Arial" w:cs="Arial" w:eastAsia="Arial" w:hAnsi="Arial"/>
          <w:sz w:val="16"/>
          <w:szCs w:val="16"/>
          <w:color w:val="auto"/>
        </w:rPr>
        <w:t>Amended and Restated Certificate of Corporation.</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5"/>
        </w:numPr>
        <w:rPr>
          <w:rFonts w:ascii="Arial" w:cs="Arial" w:eastAsia="Arial" w:hAnsi="Arial"/>
          <w:sz w:val="16"/>
          <w:szCs w:val="16"/>
          <w:color w:val="005388"/>
        </w:rPr>
      </w:pPr>
      <w:r>
        <w:rPr>
          <w:rFonts w:ascii="Arial" w:cs="Arial" w:eastAsia="Arial" w:hAnsi="Arial"/>
          <w:sz w:val="16"/>
          <w:szCs w:val="16"/>
          <w:color w:val="auto"/>
        </w:rPr>
        <w:t>Amended and Restated Bylaws.</w:t>
      </w:r>
    </w:p>
    <w:p>
      <w:pPr>
        <w:spacing w:after="0" w:line="126" w:lineRule="exact"/>
        <w:rPr>
          <w:rFonts w:ascii="Arial" w:cs="Arial" w:eastAsia="Arial" w:hAnsi="Arial"/>
          <w:sz w:val="16"/>
          <w:szCs w:val="16"/>
          <w:color w:val="005388"/>
        </w:rPr>
      </w:pPr>
    </w:p>
    <w:p>
      <w:pPr>
        <w:jc w:val="both"/>
        <w:ind w:left="260" w:hanging="252"/>
        <w:spacing w:after="0" w:line="266" w:lineRule="auto"/>
        <w:tabs>
          <w:tab w:leader="none" w:pos="222" w:val="left"/>
        </w:tabs>
        <w:numPr>
          <w:ilvl w:val="0"/>
          <w:numId w:val="35"/>
        </w:numPr>
        <w:rPr>
          <w:rFonts w:ascii="Arial" w:cs="Arial" w:eastAsia="Arial" w:hAnsi="Arial"/>
          <w:sz w:val="16"/>
          <w:szCs w:val="16"/>
          <w:color w:val="005388"/>
        </w:rPr>
      </w:pPr>
      <w:r>
        <w:rPr>
          <w:rFonts w:ascii="Arial" w:cs="Arial" w:eastAsia="Arial" w:hAnsi="Arial"/>
          <w:sz w:val="16"/>
          <w:szCs w:val="16"/>
          <w:color w:val="auto"/>
        </w:rPr>
        <w:t>Board Committee Charters: Each of the committees of our Board operates under a written charter adopted by the full Board upon the recommendation of the Governance and Nominating Committee. Each committee considers the need for amendments or enhancements to its charter at least annually and more frequently as necessary.</w:t>
      </w:r>
    </w:p>
    <w:p>
      <w:pPr>
        <w:spacing w:after="0" w:line="76" w:lineRule="exact"/>
        <w:rPr>
          <w:rFonts w:ascii="Arial" w:cs="Arial" w:eastAsia="Arial" w:hAnsi="Arial"/>
          <w:sz w:val="16"/>
          <w:szCs w:val="16"/>
          <w:color w:val="005388"/>
        </w:rPr>
      </w:pPr>
    </w:p>
    <w:p>
      <w:pPr>
        <w:ind w:left="220" w:hanging="212"/>
        <w:spacing w:after="0"/>
        <w:tabs>
          <w:tab w:leader="none" w:pos="220" w:val="left"/>
        </w:tabs>
        <w:numPr>
          <w:ilvl w:val="0"/>
          <w:numId w:val="35"/>
        </w:numPr>
        <w:rPr>
          <w:rFonts w:ascii="Arial" w:cs="Arial" w:eastAsia="Arial" w:hAnsi="Arial"/>
          <w:sz w:val="16"/>
          <w:szCs w:val="16"/>
          <w:color w:val="005388"/>
        </w:rPr>
      </w:pPr>
      <w:r>
        <w:rPr>
          <w:rFonts w:ascii="Arial" w:cs="Arial" w:eastAsia="Arial" w:hAnsi="Arial"/>
          <w:sz w:val="16"/>
          <w:szCs w:val="16"/>
          <w:color w:val="auto"/>
        </w:rPr>
        <w:t>Corporate Governance Guidelines. See "</w:t>
      </w:r>
      <w:r>
        <w:rPr>
          <w:rFonts w:ascii="Arial" w:cs="Arial" w:eastAsia="Arial" w:hAnsi="Arial"/>
          <w:sz w:val="16"/>
          <w:szCs w:val="16"/>
          <w:i w:val="1"/>
          <w:iCs w:val="1"/>
          <w:color w:val="auto"/>
        </w:rPr>
        <w:t>— Corporate Governance Guidelines</w:t>
      </w:r>
      <w:r>
        <w:rPr>
          <w:rFonts w:ascii="Arial" w:cs="Arial" w:eastAsia="Arial" w:hAnsi="Arial"/>
          <w:sz w:val="16"/>
          <w:szCs w:val="16"/>
          <w:color w:val="auto"/>
        </w:rPr>
        <w:t>" above for more detailed description.</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5"/>
        </w:numPr>
        <w:rPr>
          <w:rFonts w:ascii="Arial" w:cs="Arial" w:eastAsia="Arial" w:hAnsi="Arial"/>
          <w:sz w:val="16"/>
          <w:szCs w:val="16"/>
          <w:color w:val="005388"/>
        </w:rPr>
      </w:pPr>
      <w:r>
        <w:rPr>
          <w:rFonts w:ascii="Arial" w:cs="Arial" w:eastAsia="Arial" w:hAnsi="Arial"/>
          <w:sz w:val="16"/>
          <w:szCs w:val="16"/>
          <w:color w:val="auto"/>
        </w:rPr>
        <w:t>Business Conduct and Ethics Policy. See "</w:t>
      </w:r>
      <w:r>
        <w:rPr>
          <w:rFonts w:ascii="Arial" w:cs="Arial" w:eastAsia="Arial" w:hAnsi="Arial"/>
          <w:sz w:val="16"/>
          <w:szCs w:val="16"/>
          <w:i w:val="1"/>
          <w:iCs w:val="1"/>
          <w:color w:val="auto"/>
        </w:rPr>
        <w:t>— Business Conduct and Ethics Policy</w:t>
      </w:r>
      <w:r>
        <w:rPr>
          <w:rFonts w:ascii="Arial" w:cs="Arial" w:eastAsia="Arial" w:hAnsi="Arial"/>
          <w:sz w:val="16"/>
          <w:szCs w:val="16"/>
          <w:color w:val="auto"/>
        </w:rPr>
        <w:t>" above for more detailed description.</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Any updated or amended versions of the items listed above will be posted to our website promptly after adoption. Any of the items listed above are also available in print and free of charge upon written request to our Corporate Secretary. The information contained on our website is not deemed to be incorporated by reference into this proxy statement.</w:t>
      </w:r>
    </w:p>
    <w:p>
      <w:pPr>
        <w:spacing w:after="0" w:line="32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30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20"/>
        <w:spacing w:after="0" w:line="396" w:lineRule="auto"/>
        <w:rPr>
          <w:sz w:val="20"/>
          <w:szCs w:val="20"/>
          <w:color w:val="auto"/>
        </w:rPr>
      </w:pPr>
      <w:r>
        <w:rPr>
          <w:rFonts w:ascii="Arial" w:cs="Arial" w:eastAsia="Arial" w:hAnsi="Arial"/>
          <w:sz w:val="16"/>
          <w:szCs w:val="16"/>
          <w:color w:val="auto"/>
        </w:rPr>
        <w:t xml:space="preserve">This proxy statement and our 2025 Annual Report to Stockholders are available at </w:t>
      </w:r>
      <w:r>
        <w:rPr>
          <w:rFonts w:ascii="Arial" w:cs="Arial" w:eastAsia="Arial" w:hAnsi="Arial"/>
          <w:sz w:val="16"/>
          <w:szCs w:val="16"/>
          <w:i w:val="1"/>
          <w:iCs w:val="1"/>
          <w:color w:val="0C2940"/>
        </w:rPr>
        <w:t>https://ir.nationalmi.com/financial-information/sec-filings</w:t>
      </w:r>
      <w:r>
        <w:rPr>
          <w:rFonts w:ascii="Arial" w:cs="Arial" w:eastAsia="Arial" w:hAnsi="Arial"/>
          <w:sz w:val="16"/>
          <w:szCs w:val="16"/>
          <w:color w:val="auto"/>
        </w:rPr>
        <w:t xml:space="preserve"> or </w:t>
      </w:r>
      <w:r>
        <w:rPr>
          <w:rFonts w:ascii="Arial" w:cs="Arial" w:eastAsia="Arial" w:hAnsi="Arial"/>
          <w:sz w:val="16"/>
          <w:szCs w:val="16"/>
          <w:i w:val="1"/>
          <w:iCs w:val="1"/>
          <w:color w:val="0C2940"/>
        </w:rPr>
        <w:t>www.sec.gov.</w:t>
      </w:r>
      <w:r>
        <w:rPr>
          <w:rFonts w:ascii="Arial" w:cs="Arial" w:eastAsia="Arial" w:hAnsi="Arial"/>
          <w:sz w:val="16"/>
          <w:szCs w:val="16"/>
          <w:color w:val="auto"/>
        </w:rPr>
        <w:t xml:space="preserve"> </w:t>
      </w:r>
      <w:r>
        <w:rPr>
          <w:rFonts w:ascii="Arial" w:cs="Arial" w:eastAsia="Arial" w:hAnsi="Arial"/>
          <w:sz w:val="16"/>
          <w:szCs w:val="16"/>
          <w:color w:val="0C2940"/>
        </w:rPr>
        <w:t>BOARD COMMUNICATION</w:t>
      </w:r>
    </w:p>
    <w:p>
      <w:pPr>
        <w:spacing w:after="0" w:line="296" w:lineRule="auto"/>
        <w:rPr>
          <w:sz w:val="20"/>
          <w:szCs w:val="20"/>
          <w:color w:val="auto"/>
        </w:rPr>
      </w:pPr>
      <w:r>
        <w:rPr>
          <w:rFonts w:ascii="Arial" w:cs="Arial" w:eastAsia="Arial" w:hAnsi="Arial"/>
          <w:sz w:val="16"/>
          <w:szCs w:val="16"/>
          <w:color w:val="auto"/>
        </w:rPr>
        <w:t xml:space="preserve">Stockholders may communicate with the members of the Board, the Lead Independent Director or the non-management members of the Board as a group, by sending a written communication to </w:t>
      </w:r>
      <w:r>
        <w:rPr>
          <w:rFonts w:ascii="Arial" w:cs="Arial" w:eastAsia="Arial" w:hAnsi="Arial"/>
          <w:sz w:val="16"/>
          <w:szCs w:val="16"/>
          <w:b w:val="1"/>
          <w:bCs w:val="1"/>
          <w:color w:val="auto"/>
        </w:rPr>
        <w:t>NMI Holdings, Inc., Attention: Corporate Secretary, 2100 Powell Street, 12th Floor, Emeryville, CA 94608</w:t>
      </w:r>
      <w:r>
        <w:rPr>
          <w:rFonts w:ascii="Arial" w:cs="Arial" w:eastAsia="Arial" w:hAnsi="Arial"/>
          <w:sz w:val="16"/>
          <w:szCs w:val="16"/>
          <w:color w:val="auto"/>
        </w:rPr>
        <w: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INFORMATION ABOUT OUR EXECUTIVE OFFICERS</w:t>
      </w:r>
    </w:p>
    <w:p>
      <w:pPr>
        <w:spacing w:after="0" w:line="11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information is provided with respect to each of our executive officers. Our executive officers are appointed by the Board to serve in their respective capacities until their successors are duly elected and qualified or until their earlier death, resignation or removal.</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5388"/>
        </w:rPr>
        <w:t>Bradley M. Shuster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005388"/>
        </w:rPr>
        <w:t>Executive Chairman and Chairman of the Board</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Mr. Shuster is provided above in "</w:t>
      </w:r>
      <w:r>
        <w:rPr>
          <w:rFonts w:ascii="Arial" w:cs="Arial" w:eastAsia="Arial" w:hAnsi="Arial"/>
          <w:sz w:val="16"/>
          <w:szCs w:val="16"/>
          <w:i w:val="1"/>
          <w:iCs w:val="1"/>
          <w:color w:val="auto"/>
        </w:rPr>
        <w:t>Election of Directors — Director Criteria, Qualifications, Experience and Tenure.</w:t>
      </w:r>
      <w:r>
        <w:rPr>
          <w:rFonts w:ascii="Arial" w:cs="Arial" w:eastAsia="Arial" w:hAnsi="Arial"/>
          <w:sz w:val="16"/>
          <w:szCs w:val="16"/>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5388"/>
        </w:rPr>
        <w:t>Adam S. Pollitzer</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005388"/>
        </w:rPr>
        <w:t>President and Chief Executive Officer, and Director</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Mr. Pollitzer is provided above in "</w:t>
      </w:r>
      <w:r>
        <w:rPr>
          <w:rFonts w:ascii="Arial" w:cs="Arial" w:eastAsia="Arial" w:hAnsi="Arial"/>
          <w:sz w:val="16"/>
          <w:szCs w:val="16"/>
          <w:i w:val="1"/>
          <w:iCs w:val="1"/>
          <w:color w:val="auto"/>
        </w:rPr>
        <w:t>Election of Directors — Director Criteria, Qualifications, Experience and Tenure.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243840</wp:posOffset>
            </wp:positionV>
            <wp:extent cx="2134235" cy="2674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34235" cy="2674620"/>
                    </a:xfrm>
                    <a:prstGeom prst="rect">
                      <a:avLst/>
                    </a:prstGeom>
                    <a:noFill/>
                  </pic:spPr>
                </pic:pic>
              </a:graphicData>
            </a:graphic>
          </wp:anchor>
        </w:drawing>
      </w:r>
    </w:p>
    <w:p>
      <w:pPr>
        <w:spacing w:after="0" w:line="366" w:lineRule="exact"/>
        <w:rPr>
          <w:sz w:val="20"/>
          <w:szCs w:val="20"/>
          <w:color w:val="auto"/>
        </w:rPr>
      </w:pPr>
    </w:p>
    <w:p>
      <w:pPr>
        <w:ind w:left="4860"/>
        <w:spacing w:after="0"/>
        <w:rPr>
          <w:sz w:val="20"/>
          <w:szCs w:val="20"/>
          <w:color w:val="auto"/>
        </w:rPr>
      </w:pPr>
      <w:r>
        <w:rPr>
          <w:rFonts w:ascii="Arial" w:cs="Arial" w:eastAsia="Arial" w:hAnsi="Arial"/>
          <w:sz w:val="36"/>
          <w:szCs w:val="36"/>
          <w:b w:val="1"/>
          <w:bCs w:val="1"/>
          <w:color w:val="005388"/>
        </w:rPr>
        <w:t>Norman P. Fitzgerald</w:t>
      </w:r>
    </w:p>
    <w:p>
      <w:pPr>
        <w:spacing w:after="0" w:line="136" w:lineRule="exact"/>
        <w:rPr>
          <w:sz w:val="20"/>
          <w:szCs w:val="20"/>
          <w:color w:val="auto"/>
        </w:rPr>
      </w:pPr>
    </w:p>
    <w:p>
      <w:pPr>
        <w:jc w:val="both"/>
        <w:ind w:left="4860" w:right="1100"/>
        <w:spacing w:after="0" w:line="256" w:lineRule="auto"/>
        <w:rPr>
          <w:sz w:val="20"/>
          <w:szCs w:val="20"/>
          <w:color w:val="auto"/>
        </w:rPr>
      </w:pPr>
      <w:r>
        <w:rPr>
          <w:rFonts w:ascii="Arial" w:cs="Arial" w:eastAsia="Arial" w:hAnsi="Arial"/>
          <w:sz w:val="16"/>
          <w:szCs w:val="16"/>
          <w:color w:val="auto"/>
        </w:rPr>
        <w:t>Mr. Fitzgerald has served as our Executive Vice President and Chief Sales Officer since January 2022 and is responsible for overseeing the sales and marketing departments and serves on our Executive Committee. He joined the Company in 2014 and served as Senior Vice President and Chief Sales Officer from 2020 to 2021 and as Senior Vice President, Field Sales from 2014 to 2019. Prior to joining the Company, Mr. Fitzgerald served as Senior Vice President, Head of Correspondent Lending at Mr. Cooper (formerly Nationstar Mortgage), and held senior leadership positions with PHH Mortgage and CitiMortgage Inc. Mr. Fitzgerald holds a B.A. from the University of Massachusetts in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1137285</wp:posOffset>
            </wp:positionV>
            <wp:extent cx="2160270" cy="10115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6027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VICE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SALES OFFICER</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59</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OFFICER SINCE: </w:t>
      </w:r>
      <w:r>
        <w:rPr>
          <w:rFonts w:ascii="Arial" w:cs="Arial" w:eastAsia="Arial" w:hAnsi="Arial"/>
          <w:sz w:val="16"/>
          <w:szCs w:val="16"/>
          <w:b w:val="1"/>
          <w:bCs w:val="1"/>
          <w:color w:val="005388"/>
        </w:rPr>
        <w:t>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469265</wp:posOffset>
            </wp:positionV>
            <wp:extent cx="2134235" cy="27686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34235"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60"/>
        <w:spacing w:after="0"/>
        <w:rPr>
          <w:sz w:val="20"/>
          <w:szCs w:val="20"/>
          <w:color w:val="auto"/>
        </w:rPr>
      </w:pPr>
      <w:r>
        <w:rPr>
          <w:rFonts w:ascii="Arial" w:cs="Arial" w:eastAsia="Arial" w:hAnsi="Arial"/>
          <w:sz w:val="36"/>
          <w:szCs w:val="36"/>
          <w:b w:val="1"/>
          <w:bCs w:val="1"/>
          <w:color w:val="005388"/>
        </w:rPr>
        <w:t>William J. Leatherberry</w:t>
      </w:r>
    </w:p>
    <w:p>
      <w:pPr>
        <w:spacing w:after="0" w:line="136" w:lineRule="exact"/>
        <w:rPr>
          <w:sz w:val="20"/>
          <w:szCs w:val="20"/>
          <w:color w:val="auto"/>
        </w:rPr>
      </w:pPr>
    </w:p>
    <w:p>
      <w:pPr>
        <w:jc w:val="both"/>
        <w:ind w:left="4860" w:right="1080"/>
        <w:spacing w:after="0" w:line="256" w:lineRule="auto"/>
        <w:rPr>
          <w:sz w:val="20"/>
          <w:szCs w:val="20"/>
          <w:color w:val="auto"/>
        </w:rPr>
      </w:pPr>
      <w:r>
        <w:rPr>
          <w:rFonts w:ascii="Arial" w:cs="Arial" w:eastAsia="Arial" w:hAnsi="Arial"/>
          <w:sz w:val="16"/>
          <w:szCs w:val="16"/>
          <w:color w:val="auto"/>
        </w:rPr>
        <w:t>Mr. Leatherberry has served as our Chief Administrative Officer, General Counsel and Secretary since 2024, is responsible for overseeing the Company's legal, compliance, government relations, and corporate communications functions and serves on our Executive Committee. He joined the Company in 2014 and served as our Chief Legal Officer, General Counsel and Secretary from 2014 to 2023. Prior to joining NMI, he served in various executive positions from 2005 to 2013 at Century Aluminum Company, a U.S.-based producer of primary aluminum, including as Executive Vice President, Chief Legal Officer, General Counsel and Corporate Secretary, and was responsible for compliance, human resources, government relations and the legal affairs of the organization, including mergers, acquisitions and divestitures, employment matters, securities, intellectual property and litigation. Mr. Leatherberry started his legal career at the Jones Day law firm, with a focus on public company, securities law, merger and acquisition and private equity practices. Mr. Leatherberry holds both a B.A. in business management and an M.B.A. from the University of Texas and a J.D. from Southern Methodist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234950</wp:posOffset>
            </wp:positionV>
            <wp:extent cx="2160270" cy="12515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60270" cy="125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VICE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ADMINISTRATIVE OFFICER,</w:t>
      </w:r>
    </w:p>
    <w:p>
      <w:pPr>
        <w:spacing w:after="0" w:line="15"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GENERAL COUNSEL &amp; SECRETARY</w:t>
      </w:r>
    </w:p>
    <w:p>
      <w:pPr>
        <w:spacing w:after="0" w:line="200" w:lineRule="exact"/>
        <w:rPr>
          <w:sz w:val="20"/>
          <w:szCs w:val="20"/>
          <w:color w:val="auto"/>
        </w:rPr>
      </w:pPr>
    </w:p>
    <w:p>
      <w:pPr>
        <w:spacing w:after="0" w:line="238"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55</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OFFICER SINCE: </w:t>
      </w:r>
      <w:r>
        <w:rPr>
          <w:rFonts w:ascii="Arial" w:cs="Arial" w:eastAsia="Arial" w:hAnsi="Arial"/>
          <w:sz w:val="16"/>
          <w:szCs w:val="16"/>
          <w:b w:val="1"/>
          <w:bCs w:val="1"/>
          <w:color w:val="005388"/>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535305</wp:posOffset>
            </wp:positionV>
            <wp:extent cx="2134235" cy="2682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134235" cy="268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80"/>
        <w:spacing w:after="0"/>
        <w:rPr>
          <w:sz w:val="20"/>
          <w:szCs w:val="20"/>
          <w:color w:val="auto"/>
        </w:rPr>
      </w:pPr>
      <w:r>
        <w:rPr>
          <w:rFonts w:ascii="Arial" w:cs="Arial" w:eastAsia="Arial" w:hAnsi="Arial"/>
          <w:sz w:val="36"/>
          <w:szCs w:val="36"/>
          <w:b w:val="1"/>
          <w:bCs w:val="1"/>
          <w:color w:val="005388"/>
        </w:rPr>
        <w:t>Robert Smith</w:t>
      </w:r>
    </w:p>
    <w:p>
      <w:pPr>
        <w:spacing w:after="0" w:line="136" w:lineRule="exact"/>
        <w:rPr>
          <w:sz w:val="20"/>
          <w:szCs w:val="20"/>
          <w:color w:val="auto"/>
        </w:rPr>
      </w:pPr>
    </w:p>
    <w:p>
      <w:pPr>
        <w:jc w:val="both"/>
        <w:ind w:left="4880" w:right="1080"/>
        <w:spacing w:after="0" w:line="258" w:lineRule="auto"/>
        <w:rPr>
          <w:sz w:val="20"/>
          <w:szCs w:val="20"/>
          <w:color w:val="auto"/>
        </w:rPr>
      </w:pPr>
      <w:r>
        <w:rPr>
          <w:rFonts w:ascii="Arial" w:cs="Arial" w:eastAsia="Arial" w:hAnsi="Arial"/>
          <w:sz w:val="16"/>
          <w:szCs w:val="16"/>
          <w:color w:val="auto"/>
        </w:rPr>
        <w:t>Mr. Smith has served as our Chief Risk Officer since May 2018, overseeing and managing credit risk and internal audit for NMI and serves on our Executive Committee. Mr. Smith joined the Company in 2012 as Vice President of Pricing and Portfolio Analytics and served in that capacity until May 2018. He has more than 19 years of experience in the mortgage and financial services industry, including previous roles at Washington Mutual and PMIC. Mr. Smith is a Chartered Financial Analyst and holds a master's degree in Engineering and an M.B.A. from Stanford's Graduate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1261745</wp:posOffset>
            </wp:positionV>
            <wp:extent cx="2160270" cy="10115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6027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VICE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RISK OFFICER</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56</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OFFICER SINCE: </w:t>
      </w:r>
      <w:r>
        <w:rPr>
          <w:rFonts w:ascii="Arial" w:cs="Arial" w:eastAsia="Arial" w:hAnsi="Arial"/>
          <w:sz w:val="16"/>
          <w:szCs w:val="16"/>
          <w:b w:val="1"/>
          <w:bCs w:val="1"/>
          <w:color w:val="005388"/>
        </w:rPr>
        <w:t>2018</w:t>
      </w:r>
    </w:p>
    <w:p>
      <w:pPr>
        <w:sectPr>
          <w:pgSz w:w="11900" w:h="16838" w:orient="portrait"/>
          <w:cols w:equalWidth="0" w:num="1">
            <w:col w:w="11220"/>
          </w:cols>
          <w:pgMar w:left="320" w:top="130" w:right="359" w:bottom="10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32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001"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469265</wp:posOffset>
            </wp:positionV>
            <wp:extent cx="2134235" cy="26574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3423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840"/>
        <w:spacing w:after="0"/>
        <w:rPr>
          <w:sz w:val="20"/>
          <w:szCs w:val="20"/>
          <w:color w:val="auto"/>
        </w:rPr>
      </w:pPr>
      <w:r>
        <w:rPr>
          <w:rFonts w:ascii="Arial" w:cs="Arial" w:eastAsia="Arial" w:hAnsi="Arial"/>
          <w:sz w:val="36"/>
          <w:szCs w:val="36"/>
          <w:b w:val="1"/>
          <w:bCs w:val="1"/>
          <w:color w:val="005388"/>
        </w:rPr>
        <w:t>Aurora Swithenbank</w:t>
      </w:r>
    </w:p>
    <w:p>
      <w:pPr>
        <w:spacing w:after="0" w:line="136" w:lineRule="exact"/>
        <w:rPr>
          <w:sz w:val="20"/>
          <w:szCs w:val="20"/>
          <w:color w:val="auto"/>
        </w:rPr>
      </w:pPr>
    </w:p>
    <w:p>
      <w:pPr>
        <w:jc w:val="both"/>
        <w:ind w:left="4840" w:right="1080"/>
        <w:spacing w:after="0" w:line="259" w:lineRule="auto"/>
        <w:rPr>
          <w:sz w:val="20"/>
          <w:szCs w:val="20"/>
          <w:color w:val="auto"/>
        </w:rPr>
      </w:pPr>
      <w:r>
        <w:rPr>
          <w:rFonts w:ascii="Arial" w:cs="Arial" w:eastAsia="Arial" w:hAnsi="Arial"/>
          <w:sz w:val="16"/>
          <w:szCs w:val="16"/>
          <w:color w:val="auto"/>
        </w:rPr>
        <w:t>Ms. Swithenbank is Executive Vice President and Chief Financial Officer of NMI. She joined the company in 2024. Prior to joining National MI, Ms. Swithenbank served as Chief Financial Officer at Vantage Group Holdings Ltd., a Bermuda-based specialty insurance and reinsurance group, where she led the organization of the company’s finance department as its first chief financial officer. Prior to Vantage Group, Ms. Swithenbank spent more than 20 years at Goldman Sachs in a number of roles, including most recently as a Partner and Head of Insurance in the Americas Financing Group. She holds a Bachelor’s degree from Harvard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1231900</wp:posOffset>
            </wp:positionV>
            <wp:extent cx="2160270" cy="10115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6027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VICE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FINANCIAL OFFICER</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50</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OFFICER SINCE: </w:t>
      </w:r>
      <w:r>
        <w:rPr>
          <w:rFonts w:ascii="Arial" w:cs="Arial" w:eastAsia="Arial" w:hAnsi="Arial"/>
          <w:sz w:val="16"/>
          <w:szCs w:val="16"/>
          <w:b w:val="1"/>
          <w:bCs w:val="1"/>
          <w:color w:val="005388"/>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535305</wp:posOffset>
            </wp:positionV>
            <wp:extent cx="2134235" cy="2674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3423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60"/>
        <w:spacing w:after="0"/>
        <w:rPr>
          <w:sz w:val="20"/>
          <w:szCs w:val="20"/>
          <w:color w:val="auto"/>
        </w:rPr>
      </w:pPr>
      <w:r>
        <w:rPr>
          <w:rFonts w:ascii="Arial" w:cs="Arial" w:eastAsia="Arial" w:hAnsi="Arial"/>
          <w:sz w:val="36"/>
          <w:szCs w:val="36"/>
          <w:b w:val="1"/>
          <w:bCs w:val="1"/>
          <w:color w:val="005388"/>
        </w:rPr>
        <w:t>Mohammed Yousaf</w:t>
      </w:r>
    </w:p>
    <w:p>
      <w:pPr>
        <w:spacing w:after="0" w:line="136" w:lineRule="exact"/>
        <w:rPr>
          <w:sz w:val="20"/>
          <w:szCs w:val="20"/>
          <w:color w:val="auto"/>
        </w:rPr>
      </w:pPr>
    </w:p>
    <w:p>
      <w:pPr>
        <w:jc w:val="both"/>
        <w:ind w:left="4860" w:right="1080"/>
        <w:spacing w:after="0" w:line="255" w:lineRule="auto"/>
        <w:rPr>
          <w:sz w:val="20"/>
          <w:szCs w:val="20"/>
          <w:color w:val="auto"/>
        </w:rPr>
      </w:pPr>
      <w:r>
        <w:rPr>
          <w:rFonts w:ascii="Arial" w:cs="Arial" w:eastAsia="Arial" w:hAnsi="Arial"/>
          <w:sz w:val="16"/>
          <w:szCs w:val="16"/>
          <w:color w:val="auto"/>
        </w:rPr>
        <w:t>Mr. Yousaf has served as our Executive Vice President, Chief of Operations and Technology since January 2025 and is responsible for overseeing the Operations and Information Technology departments and serves on our Executive Committee. Mr. Yousaf joined the Company in 2018 and previously served as Executive Vice President, Operations and Information Technology from 2022 to 2024, Senior Vice President and Chief Business Transformation Officer from 2020 to 2021 and VP, Business Development &amp; Technology Partnerships from 2018 to 2020. He has over 21 years of mortgage lending experience and has bridged business needs with mortgage technology advancements. Prior to joining the Company in 2018, Mr. Yousaf was a senior managing director of Home Point Financial Corporation from March 2018 until November 2018, and SVP, Operations of Mr. Cooper from October 2012 until March 2018 and led the originations and servicing operations. His prior experience includes operations and technology leadership roles at Wells Fargo. He attended Technical University of Budapest, Hungary and holds a bachelor’s degree in computer science from the Metropolitan State University in St. Paul, Minneapolis.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149225</wp:posOffset>
            </wp:positionV>
            <wp:extent cx="2160270" cy="11226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60270" cy="11226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EXECUTIVE VICE PRESIDENT,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CHIEF OF OPERATIONS AND</w:t>
      </w:r>
    </w:p>
    <w:p>
      <w:pPr>
        <w:spacing w:after="0" w:line="5" w:lineRule="exact"/>
        <w:rPr>
          <w:sz w:val="20"/>
          <w:szCs w:val="20"/>
          <w:color w:val="auto"/>
        </w:rPr>
      </w:pPr>
    </w:p>
    <w:p>
      <w:pPr>
        <w:ind w:left="1260"/>
        <w:spacing w:after="0"/>
        <w:rPr>
          <w:sz w:val="20"/>
          <w:szCs w:val="20"/>
          <w:color w:val="auto"/>
        </w:rPr>
      </w:pPr>
      <w:r>
        <w:rPr>
          <w:rFonts w:ascii="Arial" w:cs="Arial" w:eastAsia="Arial" w:hAnsi="Arial"/>
          <w:sz w:val="16"/>
          <w:szCs w:val="16"/>
          <w:color w:val="0C2940"/>
        </w:rPr>
        <w:t>TECHNOLOGY</w:t>
      </w:r>
    </w:p>
    <w:p>
      <w:pPr>
        <w:spacing w:after="0" w:line="354"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AGE: </w:t>
      </w:r>
      <w:r>
        <w:rPr>
          <w:rFonts w:ascii="Arial" w:cs="Arial" w:eastAsia="Arial" w:hAnsi="Arial"/>
          <w:sz w:val="16"/>
          <w:szCs w:val="16"/>
          <w:b w:val="1"/>
          <w:bCs w:val="1"/>
          <w:color w:val="005388"/>
        </w:rPr>
        <w:t>50</w:t>
      </w:r>
    </w:p>
    <w:p>
      <w:pPr>
        <w:spacing w:after="0" w:line="59"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0C2940"/>
        </w:rPr>
        <w:t xml:space="preserve">OFFICER SINCE: </w:t>
      </w:r>
      <w:r>
        <w:rPr>
          <w:rFonts w:ascii="Arial" w:cs="Arial" w:eastAsia="Arial" w:hAnsi="Arial"/>
          <w:sz w:val="16"/>
          <w:szCs w:val="16"/>
          <w:b w:val="1"/>
          <w:bCs w:val="1"/>
          <w:color w:val="005388"/>
        </w:rPr>
        <w:t>2022</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BENEFICIAL OWNERSHIP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the beneficial ownership of our common stock as of March 16, 2026 for:</w:t>
      </w:r>
    </w:p>
    <w:p>
      <w:pPr>
        <w:spacing w:after="0" w:line="113"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6"/>
          <w:szCs w:val="16"/>
          <w:color w:val="005388"/>
        </w:rPr>
      </w:pPr>
      <w:r>
        <w:rPr>
          <w:rFonts w:ascii="Arial" w:cs="Arial" w:eastAsia="Arial" w:hAnsi="Arial"/>
          <w:sz w:val="16"/>
          <w:szCs w:val="16"/>
          <w:color w:val="auto"/>
        </w:rPr>
        <w:t>each person known to us to be the beneficial owner of more than five percent of our common stock;</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6"/>
        </w:numPr>
        <w:rPr>
          <w:rFonts w:ascii="Arial" w:cs="Arial" w:eastAsia="Arial" w:hAnsi="Arial"/>
          <w:sz w:val="16"/>
          <w:szCs w:val="16"/>
          <w:color w:val="005388"/>
        </w:rPr>
      </w:pPr>
      <w:r>
        <w:rPr>
          <w:rFonts w:ascii="Arial" w:cs="Arial" w:eastAsia="Arial" w:hAnsi="Arial"/>
          <w:sz w:val="16"/>
          <w:szCs w:val="16"/>
          <w:color w:val="auto"/>
        </w:rPr>
        <w:t>each NEO;</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36"/>
        </w:numPr>
        <w:rPr>
          <w:rFonts w:ascii="Arial" w:cs="Arial" w:eastAsia="Arial" w:hAnsi="Arial"/>
          <w:sz w:val="16"/>
          <w:szCs w:val="16"/>
          <w:color w:val="005388"/>
        </w:rPr>
      </w:pPr>
      <w:r>
        <w:rPr>
          <w:rFonts w:ascii="Arial" w:cs="Arial" w:eastAsia="Arial" w:hAnsi="Arial"/>
          <w:sz w:val="16"/>
          <w:szCs w:val="16"/>
          <w:color w:val="auto"/>
        </w:rPr>
        <w:t>each director and nominee; and</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36"/>
        </w:numPr>
        <w:rPr>
          <w:rFonts w:ascii="Arial" w:cs="Arial" w:eastAsia="Arial" w:hAnsi="Arial"/>
          <w:sz w:val="16"/>
          <w:szCs w:val="16"/>
          <w:color w:val="005388"/>
        </w:rPr>
      </w:pPr>
      <w:r>
        <w:rPr>
          <w:rFonts w:ascii="Arial" w:cs="Arial" w:eastAsia="Arial" w:hAnsi="Arial"/>
          <w:sz w:val="16"/>
          <w:szCs w:val="16"/>
          <w:color w:val="auto"/>
        </w:rPr>
        <w:t>all of our current executive officers, identified above under the caption "</w:t>
      </w:r>
      <w:r>
        <w:rPr>
          <w:rFonts w:ascii="Arial" w:cs="Arial" w:eastAsia="Arial" w:hAnsi="Arial"/>
          <w:sz w:val="16"/>
          <w:szCs w:val="16"/>
          <w:i w:val="1"/>
          <w:iCs w:val="1"/>
          <w:color w:val="auto"/>
        </w:rPr>
        <w:t>Executive Officers</w:t>
      </w:r>
      <w:r>
        <w:rPr>
          <w:rFonts w:ascii="Arial" w:cs="Arial" w:eastAsia="Arial" w:hAnsi="Arial"/>
          <w:sz w:val="16"/>
          <w:szCs w:val="16"/>
          <w:color w:val="auto"/>
        </w:rPr>
        <w:t>," and directors as a group.</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Unless otherwise noted below, the address of each beneficial owner listed on the table is c/o NMI Holdings, Inc., 2100 Powell Street, 12th Floor, Emeryville, California 94608. We have determined beneficial ownership in accordance with the rules of the SEC. Except as indicated by the footnotes below, we believe, based on the information furnished to us, that the persons and entities named in the tables below have sole voting and investment power with respect to all shares of common stock that they beneficially own, subject to applicable community property laws. We have based our calculation of the percentage of beneficial ownership on 76,156,368 shares of our common stock outstanding as of March 16, 2026.</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computing the number of shares of common stock beneficially owned by a person and such person's percentage of ownership of all outstanding shares, we deemed as owned and outstanding for such person RSUs held by that person that will vest within 60 days of March 16, 2026 (i.e., on or by May 15, 2026). We, however, did not deem such shares as outstanding for the purpose of computing the percentage ownership of any other person.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00" w:type="dxa"/>
            <w:vAlign w:val="bottom"/>
            <w:shd w:val="clear" w:color="auto" w:fill="0C2940"/>
          </w:tcPr>
          <w:p>
            <w:pPr>
              <w:spacing w:after="0"/>
              <w:rPr>
                <w:sz w:val="15"/>
                <w:szCs w:val="15"/>
                <w:color w:val="auto"/>
              </w:rPr>
            </w:pPr>
          </w:p>
        </w:tc>
        <w:tc>
          <w:tcPr>
            <w:tcW w:w="5020" w:type="dxa"/>
            <w:vAlign w:val="bottom"/>
            <w:gridSpan w:val="2"/>
            <w:shd w:val="clear" w:color="auto" w:fill="0C2940"/>
          </w:tcPr>
          <w:p>
            <w:pPr>
              <w:jc w:val="center"/>
              <w:ind w:right="27"/>
              <w:spacing w:after="0"/>
              <w:rPr>
                <w:sz w:val="20"/>
                <w:szCs w:val="20"/>
                <w:color w:val="auto"/>
              </w:rPr>
            </w:pPr>
            <w:r>
              <w:rPr>
                <w:rFonts w:ascii="Arial" w:cs="Arial" w:eastAsia="Arial" w:hAnsi="Arial"/>
                <w:sz w:val="14"/>
                <w:szCs w:val="14"/>
                <w:color w:val="FFFFFF"/>
              </w:rPr>
              <w:t>SHARES OF COMMON STOCK</w:t>
            </w:r>
          </w:p>
        </w:tc>
      </w:tr>
      <w:tr>
        <w:trPr>
          <w:trHeight w:val="190"/>
        </w:trPr>
        <w:tc>
          <w:tcPr>
            <w:tcW w:w="6200" w:type="dxa"/>
            <w:vAlign w:val="bottom"/>
            <w:shd w:val="clear" w:color="auto" w:fill="0C2940"/>
          </w:tcPr>
          <w:p>
            <w:pPr>
              <w:spacing w:after="0"/>
              <w:rPr>
                <w:sz w:val="16"/>
                <w:szCs w:val="16"/>
                <w:color w:val="auto"/>
              </w:rPr>
            </w:pPr>
          </w:p>
        </w:tc>
        <w:tc>
          <w:tcPr>
            <w:tcW w:w="1620" w:type="dxa"/>
            <w:vAlign w:val="bottom"/>
            <w:shd w:val="clear" w:color="auto" w:fill="0C2940"/>
          </w:tcPr>
          <w:p>
            <w:pPr>
              <w:spacing w:after="0"/>
              <w:rPr>
                <w:sz w:val="16"/>
                <w:szCs w:val="16"/>
                <w:color w:val="auto"/>
              </w:rPr>
            </w:pPr>
          </w:p>
        </w:tc>
        <w:tc>
          <w:tcPr>
            <w:tcW w:w="3400" w:type="dxa"/>
            <w:vAlign w:val="bottom"/>
            <w:shd w:val="clear" w:color="auto" w:fill="0C2940"/>
          </w:tcPr>
          <w:p>
            <w:pPr>
              <w:jc w:val="center"/>
              <w:ind w:right="1647"/>
              <w:spacing w:after="0"/>
              <w:rPr>
                <w:sz w:val="20"/>
                <w:szCs w:val="20"/>
                <w:color w:val="auto"/>
              </w:rPr>
            </w:pPr>
            <w:r>
              <w:rPr>
                <w:rFonts w:ascii="Arial" w:cs="Arial" w:eastAsia="Arial" w:hAnsi="Arial"/>
                <w:sz w:val="14"/>
                <w:szCs w:val="14"/>
                <w:color w:val="FFFFFF"/>
              </w:rPr>
              <w:t>BENEFICIALLY OWNED</w:t>
            </w:r>
          </w:p>
        </w:tc>
      </w:tr>
      <w:tr>
        <w:trPr>
          <w:trHeight w:val="351"/>
        </w:trPr>
        <w:tc>
          <w:tcPr>
            <w:tcW w:w="620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NAMED EXECUTIVE OFFICERS AND DIRECTORS:</w:t>
            </w:r>
          </w:p>
        </w:tc>
        <w:tc>
          <w:tcPr>
            <w:tcW w:w="1620" w:type="dxa"/>
            <w:vAlign w:val="bottom"/>
            <w:shd w:val="clear" w:color="auto" w:fill="0C2940"/>
          </w:tcPr>
          <w:p>
            <w:pPr>
              <w:ind w:left="920"/>
              <w:spacing w:after="0"/>
              <w:rPr>
                <w:sz w:val="20"/>
                <w:szCs w:val="20"/>
                <w:color w:val="auto"/>
              </w:rPr>
            </w:pPr>
            <w:r>
              <w:rPr>
                <w:rFonts w:ascii="Arial" w:cs="Arial" w:eastAsia="Arial" w:hAnsi="Arial"/>
                <w:sz w:val="14"/>
                <w:szCs w:val="14"/>
                <w:color w:val="FFFFFF"/>
              </w:rPr>
              <w:t>NUMBER</w:t>
            </w:r>
          </w:p>
        </w:tc>
        <w:tc>
          <w:tcPr>
            <w:tcW w:w="3400" w:type="dxa"/>
            <w:vAlign w:val="bottom"/>
            <w:shd w:val="clear" w:color="auto" w:fill="0C2940"/>
          </w:tcPr>
          <w:p>
            <w:pPr>
              <w:jc w:val="center"/>
              <w:ind w:left="687"/>
              <w:spacing w:after="0"/>
              <w:rPr>
                <w:sz w:val="20"/>
                <w:szCs w:val="20"/>
                <w:color w:val="auto"/>
              </w:rPr>
            </w:pPr>
            <w:r>
              <w:rPr>
                <w:rFonts w:ascii="Arial" w:cs="Arial" w:eastAsia="Arial" w:hAnsi="Arial"/>
                <w:sz w:val="14"/>
                <w:szCs w:val="14"/>
                <w:color w:val="FFFFFF"/>
                <w:w w:val="96"/>
              </w:rPr>
              <w:t>%</w:t>
            </w:r>
          </w:p>
        </w:tc>
      </w:tr>
      <w:tr>
        <w:trPr>
          <w:trHeight w:val="130"/>
        </w:trPr>
        <w:tc>
          <w:tcPr>
            <w:tcW w:w="6200" w:type="dxa"/>
            <w:vAlign w:val="bottom"/>
            <w:shd w:val="clear" w:color="auto" w:fill="0C2940"/>
          </w:tcPr>
          <w:p>
            <w:pPr>
              <w:spacing w:after="0"/>
              <w:rPr>
                <w:sz w:val="11"/>
                <w:szCs w:val="11"/>
                <w:color w:val="auto"/>
              </w:rPr>
            </w:pPr>
          </w:p>
        </w:tc>
        <w:tc>
          <w:tcPr>
            <w:tcW w:w="1620" w:type="dxa"/>
            <w:vAlign w:val="bottom"/>
            <w:shd w:val="clear" w:color="auto" w:fill="0C2940"/>
          </w:tcPr>
          <w:p>
            <w:pPr>
              <w:spacing w:after="0"/>
              <w:rPr>
                <w:sz w:val="11"/>
                <w:szCs w:val="11"/>
                <w:color w:val="auto"/>
              </w:rPr>
            </w:pPr>
          </w:p>
        </w:tc>
        <w:tc>
          <w:tcPr>
            <w:tcW w:w="3400" w:type="dxa"/>
            <w:vAlign w:val="bottom"/>
            <w:shd w:val="clear" w:color="auto" w:fill="0C2940"/>
          </w:tcPr>
          <w:p>
            <w:pPr>
              <w:spacing w:after="0"/>
              <w:rPr>
                <w:sz w:val="11"/>
                <w:szCs w:val="11"/>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Bradley M. Shuster </w:t>
            </w:r>
            <w:r>
              <w:rPr>
                <w:rFonts w:ascii="Arial" w:cs="Arial" w:eastAsia="Arial" w:hAnsi="Arial"/>
                <w:sz w:val="18"/>
                <w:szCs w:val="18"/>
                <w:b w:val="1"/>
                <w:bCs w:val="1"/>
                <w:color w:val="005388"/>
                <w:vertAlign w:val="superscript"/>
              </w:rPr>
              <w:t>(1)</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756,796</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Adam S. Pollitzer </w:t>
            </w:r>
            <w:r>
              <w:rPr>
                <w:rFonts w:ascii="Arial" w:cs="Arial" w:eastAsia="Arial" w:hAnsi="Arial"/>
                <w:sz w:val="18"/>
                <w:szCs w:val="18"/>
                <w:b w:val="1"/>
                <w:bCs w:val="1"/>
                <w:color w:val="005388"/>
                <w:vertAlign w:val="superscript"/>
              </w:rPr>
              <w:t>(2)</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381,044</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Aurora Swithenbank </w:t>
            </w:r>
            <w:r>
              <w:rPr>
                <w:rFonts w:ascii="Arial" w:cs="Arial" w:eastAsia="Arial" w:hAnsi="Arial"/>
                <w:sz w:val="18"/>
                <w:szCs w:val="18"/>
                <w:b w:val="1"/>
                <w:bCs w:val="1"/>
                <w:color w:val="005388"/>
                <w:vertAlign w:val="superscript"/>
              </w:rPr>
              <w:t>(3)</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38,324</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William J. Leatherberry </w:t>
            </w:r>
            <w:r>
              <w:rPr>
                <w:rFonts w:ascii="Arial" w:cs="Arial" w:eastAsia="Arial" w:hAnsi="Arial"/>
                <w:sz w:val="18"/>
                <w:szCs w:val="18"/>
                <w:b w:val="1"/>
                <w:bCs w:val="1"/>
                <w:color w:val="005388"/>
                <w:vertAlign w:val="superscript"/>
              </w:rPr>
              <w:t>(4)</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180,493</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Robert Smith </w:t>
            </w:r>
            <w:r>
              <w:rPr>
                <w:rFonts w:ascii="Arial" w:cs="Arial" w:eastAsia="Arial" w:hAnsi="Arial"/>
                <w:sz w:val="18"/>
                <w:szCs w:val="18"/>
                <w:b w:val="1"/>
                <w:bCs w:val="1"/>
                <w:color w:val="005388"/>
                <w:vertAlign w:val="superscript"/>
              </w:rPr>
              <w:t>(5)</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123,639</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Steven L. Scheid </w:t>
            </w:r>
            <w:r>
              <w:rPr>
                <w:rFonts w:ascii="Arial" w:cs="Arial" w:eastAsia="Arial" w:hAnsi="Arial"/>
                <w:sz w:val="18"/>
                <w:szCs w:val="18"/>
                <w:b w:val="1"/>
                <w:bCs w:val="1"/>
                <w:color w:val="005388"/>
                <w:vertAlign w:val="superscript"/>
              </w:rPr>
              <w:t>(6)</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79,233</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22"/>
        </w:trPr>
        <w:tc>
          <w:tcPr>
            <w:tcW w:w="620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005388"/>
              </w:rPr>
              <w:t>Renu Agrawal</w:t>
            </w:r>
          </w:p>
        </w:tc>
        <w:tc>
          <w:tcPr>
            <w:tcW w:w="1620" w:type="dxa"/>
            <w:vAlign w:val="bottom"/>
            <w:shd w:val="clear" w:color="auto" w:fill="F5F5F5"/>
          </w:tcPr>
          <w:p>
            <w:pPr>
              <w:jc w:val="center"/>
              <w:ind w:left="808"/>
              <w:spacing w:after="0"/>
              <w:rPr>
                <w:sz w:val="20"/>
                <w:szCs w:val="20"/>
                <w:color w:val="auto"/>
              </w:rPr>
            </w:pPr>
            <w:r>
              <w:rPr>
                <w:rFonts w:ascii="Arial" w:cs="Arial" w:eastAsia="Arial" w:hAnsi="Arial"/>
                <w:sz w:val="14"/>
                <w:szCs w:val="14"/>
                <w:color w:val="auto"/>
                <w:w w:val="99"/>
              </w:rPr>
              <w:t>—</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123"/>
        </w:trPr>
        <w:tc>
          <w:tcPr>
            <w:tcW w:w="6200" w:type="dxa"/>
            <w:vAlign w:val="bottom"/>
            <w:shd w:val="clear" w:color="auto" w:fill="F5F5F5"/>
          </w:tcPr>
          <w:p>
            <w:pPr>
              <w:spacing w:after="0"/>
              <w:rPr>
                <w:sz w:val="10"/>
                <w:szCs w:val="10"/>
                <w:color w:val="auto"/>
              </w:rPr>
            </w:pPr>
          </w:p>
        </w:tc>
        <w:tc>
          <w:tcPr>
            <w:tcW w:w="1620" w:type="dxa"/>
            <w:vAlign w:val="bottom"/>
            <w:shd w:val="clear" w:color="auto" w:fill="F5F5F5"/>
          </w:tcPr>
          <w:p>
            <w:pPr>
              <w:spacing w:after="0"/>
              <w:rPr>
                <w:sz w:val="10"/>
                <w:szCs w:val="10"/>
                <w:color w:val="auto"/>
              </w:rPr>
            </w:pPr>
          </w:p>
        </w:tc>
        <w:tc>
          <w:tcPr>
            <w:tcW w:w="3400" w:type="dxa"/>
            <w:vAlign w:val="bottom"/>
            <w:shd w:val="clear" w:color="auto" w:fill="F5F5F5"/>
          </w:tcPr>
          <w:p>
            <w:pPr>
              <w:spacing w:after="0"/>
              <w:rPr>
                <w:sz w:val="10"/>
                <w:szCs w:val="10"/>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Michael Embler </w:t>
            </w:r>
            <w:r>
              <w:rPr>
                <w:rFonts w:ascii="Arial" w:cs="Arial" w:eastAsia="Arial" w:hAnsi="Arial"/>
                <w:sz w:val="18"/>
                <w:szCs w:val="18"/>
                <w:b w:val="1"/>
                <w:bCs w:val="1"/>
                <w:color w:val="005388"/>
                <w:vertAlign w:val="superscript"/>
              </w:rPr>
              <w:t>(7)</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46,046</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John Erickson </w:t>
            </w:r>
            <w:r>
              <w:rPr>
                <w:rFonts w:ascii="Arial" w:cs="Arial" w:eastAsia="Arial" w:hAnsi="Arial"/>
                <w:sz w:val="18"/>
                <w:szCs w:val="18"/>
                <w:b w:val="1"/>
                <w:bCs w:val="1"/>
                <w:color w:val="005388"/>
                <w:vertAlign w:val="superscript"/>
              </w:rPr>
              <w:t>(8)</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17,320</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Priya Huskins </w:t>
            </w:r>
            <w:r>
              <w:rPr>
                <w:rFonts w:ascii="Arial" w:cs="Arial" w:eastAsia="Arial" w:hAnsi="Arial"/>
                <w:sz w:val="18"/>
                <w:szCs w:val="18"/>
                <w:b w:val="1"/>
                <w:bCs w:val="1"/>
                <w:color w:val="005388"/>
                <w:vertAlign w:val="superscript"/>
              </w:rPr>
              <w:t>(9)</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31,652</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Lynn S. McCreary </w:t>
            </w:r>
            <w:r>
              <w:rPr>
                <w:rFonts w:ascii="Arial" w:cs="Arial" w:eastAsia="Arial" w:hAnsi="Arial"/>
                <w:sz w:val="18"/>
                <w:szCs w:val="18"/>
                <w:b w:val="1"/>
                <w:bCs w:val="1"/>
                <w:color w:val="005388"/>
                <w:vertAlign w:val="superscript"/>
              </w:rPr>
              <w:t>(10)</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44,245</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77"/>
        </w:trPr>
        <w:tc>
          <w:tcPr>
            <w:tcW w:w="6200" w:type="dxa"/>
            <w:vAlign w:val="bottom"/>
          </w:tcPr>
          <w:p>
            <w:pPr>
              <w:ind w:left="140"/>
              <w:spacing w:after="0"/>
              <w:rPr>
                <w:sz w:val="20"/>
                <w:szCs w:val="20"/>
                <w:color w:val="auto"/>
              </w:rPr>
            </w:pPr>
            <w:r>
              <w:rPr>
                <w:rFonts w:ascii="Arial" w:cs="Arial" w:eastAsia="Arial" w:hAnsi="Arial"/>
                <w:sz w:val="14"/>
                <w:szCs w:val="14"/>
                <w:b w:val="1"/>
                <w:bCs w:val="1"/>
                <w:color w:val="005388"/>
              </w:rPr>
              <w:t xml:space="preserve">Michael Montgomery </w:t>
            </w:r>
            <w:r>
              <w:rPr>
                <w:rFonts w:ascii="Arial" w:cs="Arial" w:eastAsia="Arial" w:hAnsi="Arial"/>
                <w:sz w:val="18"/>
                <w:szCs w:val="18"/>
                <w:b w:val="1"/>
                <w:bCs w:val="1"/>
                <w:color w:val="005388"/>
                <w:vertAlign w:val="superscript"/>
              </w:rPr>
              <w:t>(11)</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66,068</w:t>
            </w:r>
          </w:p>
        </w:tc>
        <w:tc>
          <w:tcPr>
            <w:tcW w:w="3400" w:type="dxa"/>
            <w:vAlign w:val="bottom"/>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3400" w:type="dxa"/>
            <w:vAlign w:val="bottom"/>
          </w:tcPr>
          <w:p>
            <w:pPr>
              <w:spacing w:after="0"/>
              <w:rPr>
                <w:sz w:val="5"/>
                <w:szCs w:val="5"/>
                <w:color w:val="auto"/>
              </w:rPr>
            </w:pPr>
          </w:p>
        </w:tc>
      </w:tr>
      <w:tr>
        <w:trPr>
          <w:trHeight w:val="377"/>
        </w:trPr>
        <w:tc>
          <w:tcPr>
            <w:tcW w:w="62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 xml:space="preserve">Regina Muehlhauser </w:t>
            </w:r>
            <w:r>
              <w:rPr>
                <w:rFonts w:ascii="Arial" w:cs="Arial" w:eastAsia="Arial" w:hAnsi="Arial"/>
                <w:sz w:val="18"/>
                <w:szCs w:val="18"/>
                <w:b w:val="1"/>
                <w:bCs w:val="1"/>
                <w:color w:val="005388"/>
                <w:vertAlign w:val="superscript"/>
              </w:rPr>
              <w:t>(12)</w:t>
            </w:r>
          </w:p>
        </w:tc>
        <w:tc>
          <w:tcPr>
            <w:tcW w:w="1620" w:type="dxa"/>
            <w:vAlign w:val="bottom"/>
            <w:shd w:val="clear" w:color="auto" w:fill="F5F5F5"/>
          </w:tcPr>
          <w:p>
            <w:pPr>
              <w:jc w:val="center"/>
              <w:ind w:left="788"/>
              <w:spacing w:after="0"/>
              <w:rPr>
                <w:sz w:val="20"/>
                <w:szCs w:val="20"/>
                <w:color w:val="auto"/>
              </w:rPr>
            </w:pPr>
            <w:r>
              <w:rPr>
                <w:rFonts w:ascii="Arial" w:cs="Arial" w:eastAsia="Arial" w:hAnsi="Arial"/>
                <w:sz w:val="14"/>
                <w:szCs w:val="14"/>
                <w:color w:val="auto"/>
              </w:rPr>
              <w:t>69,292</w:t>
            </w:r>
          </w:p>
        </w:tc>
        <w:tc>
          <w:tcPr>
            <w:tcW w:w="3400" w:type="dxa"/>
            <w:vAlign w:val="bottom"/>
            <w:shd w:val="clear" w:color="auto" w:fill="F5F5F5"/>
          </w:tcPr>
          <w:p>
            <w:pPr>
              <w:jc w:val="center"/>
              <w:ind w:left="707"/>
              <w:spacing w:after="0"/>
              <w:rPr>
                <w:sz w:val="20"/>
                <w:szCs w:val="20"/>
                <w:color w:val="auto"/>
              </w:rPr>
            </w:pPr>
            <w:r>
              <w:rPr>
                <w:rFonts w:ascii="Arial" w:cs="Arial" w:eastAsia="Arial" w:hAnsi="Arial"/>
                <w:sz w:val="14"/>
                <w:szCs w:val="14"/>
                <w:color w:val="auto"/>
              </w:rPr>
              <w:t>*</w:t>
            </w:r>
          </w:p>
        </w:tc>
      </w:tr>
      <w:tr>
        <w:trPr>
          <w:trHeight w:val="68"/>
        </w:trPr>
        <w:tc>
          <w:tcPr>
            <w:tcW w:w="6200" w:type="dxa"/>
            <w:vAlign w:val="bottom"/>
            <w:shd w:val="clear" w:color="auto" w:fill="F5F5F5"/>
          </w:tcPr>
          <w:p>
            <w:pPr>
              <w:spacing w:after="0"/>
              <w:rPr>
                <w:sz w:val="5"/>
                <w:szCs w:val="5"/>
                <w:color w:val="auto"/>
              </w:rPr>
            </w:pPr>
          </w:p>
        </w:tc>
        <w:tc>
          <w:tcPr>
            <w:tcW w:w="1620" w:type="dxa"/>
            <w:vAlign w:val="bottom"/>
            <w:shd w:val="clear" w:color="auto" w:fill="F5F5F5"/>
          </w:tcPr>
          <w:p>
            <w:pPr>
              <w:spacing w:after="0"/>
              <w:rPr>
                <w:sz w:val="5"/>
                <w:szCs w:val="5"/>
                <w:color w:val="auto"/>
              </w:rPr>
            </w:pPr>
          </w:p>
        </w:tc>
        <w:tc>
          <w:tcPr>
            <w:tcW w:w="3400" w:type="dxa"/>
            <w:vAlign w:val="bottom"/>
            <w:shd w:val="clear" w:color="auto" w:fill="F5F5F5"/>
          </w:tcPr>
          <w:p>
            <w:pPr>
              <w:spacing w:after="0"/>
              <w:rPr>
                <w:sz w:val="5"/>
                <w:szCs w:val="5"/>
                <w:color w:val="auto"/>
              </w:rPr>
            </w:pPr>
          </w:p>
        </w:tc>
      </w:tr>
      <w:tr>
        <w:trPr>
          <w:trHeight w:val="322"/>
        </w:trPr>
        <w:tc>
          <w:tcPr>
            <w:tcW w:w="6200" w:type="dxa"/>
            <w:vAlign w:val="bottom"/>
          </w:tcPr>
          <w:p>
            <w:pPr>
              <w:ind w:left="240"/>
              <w:spacing w:after="0"/>
              <w:rPr>
                <w:sz w:val="20"/>
                <w:szCs w:val="20"/>
                <w:color w:val="auto"/>
              </w:rPr>
            </w:pPr>
            <w:r>
              <w:rPr>
                <w:rFonts w:ascii="Arial" w:cs="Arial" w:eastAsia="Arial" w:hAnsi="Arial"/>
                <w:sz w:val="14"/>
                <w:szCs w:val="14"/>
                <w:b w:val="1"/>
                <w:bCs w:val="1"/>
                <w:color w:val="005388"/>
              </w:rPr>
              <w:t>All executive officers and directors as a group (15 persons)</w:t>
            </w:r>
          </w:p>
        </w:tc>
        <w:tc>
          <w:tcPr>
            <w:tcW w:w="1620" w:type="dxa"/>
            <w:vAlign w:val="bottom"/>
          </w:tcPr>
          <w:p>
            <w:pPr>
              <w:jc w:val="center"/>
              <w:ind w:left="788"/>
              <w:spacing w:after="0"/>
              <w:rPr>
                <w:sz w:val="20"/>
                <w:szCs w:val="20"/>
                <w:color w:val="auto"/>
              </w:rPr>
            </w:pPr>
            <w:r>
              <w:rPr>
                <w:rFonts w:ascii="Arial" w:cs="Arial" w:eastAsia="Arial" w:hAnsi="Arial"/>
                <w:sz w:val="14"/>
                <w:szCs w:val="14"/>
                <w:color w:val="auto"/>
              </w:rPr>
              <w:t>1,870,678</w:t>
            </w:r>
          </w:p>
        </w:tc>
        <w:tc>
          <w:tcPr>
            <w:tcW w:w="3400" w:type="dxa"/>
            <w:vAlign w:val="bottom"/>
          </w:tcPr>
          <w:p>
            <w:pPr>
              <w:jc w:val="center"/>
              <w:ind w:left="707"/>
              <w:spacing w:after="0"/>
              <w:rPr>
                <w:sz w:val="20"/>
                <w:szCs w:val="20"/>
                <w:color w:val="auto"/>
              </w:rPr>
            </w:pPr>
            <w:r>
              <w:rPr>
                <w:rFonts w:ascii="Arial" w:cs="Arial" w:eastAsia="Arial" w:hAnsi="Arial"/>
                <w:sz w:val="16"/>
                <w:szCs w:val="16"/>
                <w:color w:val="auto"/>
              </w:rPr>
              <w:t>2.44%</w:t>
            </w:r>
          </w:p>
        </w:tc>
      </w:tr>
      <w:tr>
        <w:trPr>
          <w:trHeight w:val="124"/>
        </w:trPr>
        <w:tc>
          <w:tcPr>
            <w:tcW w:w="6200" w:type="dxa"/>
            <w:vAlign w:val="bottom"/>
            <w:tcBorders>
              <w:bottom w:val="single" w:sz="8" w:color="DE762B"/>
            </w:tcBorders>
          </w:tcPr>
          <w:p>
            <w:pPr>
              <w:spacing w:after="0"/>
              <w:rPr>
                <w:sz w:val="10"/>
                <w:szCs w:val="10"/>
                <w:color w:val="auto"/>
              </w:rPr>
            </w:pPr>
          </w:p>
        </w:tc>
        <w:tc>
          <w:tcPr>
            <w:tcW w:w="1620" w:type="dxa"/>
            <w:vAlign w:val="bottom"/>
            <w:tcBorders>
              <w:bottom w:val="single" w:sz="8" w:color="DE762B"/>
            </w:tcBorders>
          </w:tcPr>
          <w:p>
            <w:pPr>
              <w:spacing w:after="0"/>
              <w:rPr>
                <w:sz w:val="10"/>
                <w:szCs w:val="10"/>
                <w:color w:val="auto"/>
              </w:rPr>
            </w:pPr>
          </w:p>
        </w:tc>
        <w:tc>
          <w:tcPr>
            <w:tcW w:w="3400" w:type="dxa"/>
            <w:vAlign w:val="bottom"/>
            <w:tcBorders>
              <w:bottom w:val="single" w:sz="8" w:color="DE762B"/>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-4251325</wp:posOffset>
            </wp:positionV>
            <wp:extent cx="3133090" cy="42564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133090" cy="42564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6D6D6D"/>
        </w:rPr>
        <w:t>*Represents less than 1% of beneficial ownership.</w:t>
      </w:r>
    </w:p>
    <w:p>
      <w:pPr>
        <w:spacing w:after="0" w:line="67" w:lineRule="exact"/>
        <w:rPr>
          <w:sz w:val="20"/>
          <w:szCs w:val="20"/>
          <w:color w:val="auto"/>
        </w:rPr>
      </w:pPr>
    </w:p>
    <w:p>
      <w:pPr>
        <w:ind w:left="260" w:hanging="252"/>
        <w:spacing w:after="0" w:line="264" w:lineRule="auto"/>
        <w:tabs>
          <w:tab w:leader="none" w:pos="257"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363,130 shares held directly, 47,150 shares held indirectly in the Shuster Family Trust, of which Mr. Shuster and his wife are co-trustees and beneficiaries, and 346,516 vested stock options.</w:t>
      </w:r>
    </w:p>
    <w:p>
      <w:pPr>
        <w:spacing w:after="0" w:line="22"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319,919 shares held directly and 61,125 vested stock options.</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14,629 shares held directly and 23,695 RSUs expected to vest within 60 days of March 16, 2026.</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124,901 shares held directly and 55,592 vested stock options.</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83,241 shares held directly and 40,398 vested stock options.</w:t>
      </w:r>
    </w:p>
    <w:p>
      <w:pPr>
        <w:spacing w:after="0" w:line="66"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2"/>
          <w:szCs w:val="12"/>
          <w:color w:val="6D6D6D"/>
        </w:rPr>
      </w:pPr>
      <w:r>
        <w:rPr>
          <w:rFonts w:ascii="Arial" w:cs="Arial" w:eastAsia="Arial" w:hAnsi="Arial"/>
          <w:sz w:val="12"/>
          <w:szCs w:val="12"/>
          <w:color w:val="6D6D6D"/>
        </w:rPr>
        <w:t>Represents 74,794 shares held in the Scheid Family Trust, of which Mr. Scheid and his wife are co-trustees and beneficiaries, and 4,439 RSUs expected to vest within 60 days of March 16, 2026.</w:t>
      </w:r>
    </w:p>
    <w:p>
      <w:pPr>
        <w:spacing w:after="0" w:line="64" w:lineRule="exact"/>
        <w:rPr>
          <w:rFonts w:ascii="Arial" w:cs="Arial" w:eastAsia="Arial" w:hAnsi="Arial"/>
          <w:sz w:val="12"/>
          <w:szCs w:val="12"/>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41,607 shares held directly and 4,439 RSUs expected to vest within 60 days of March 16, 2026.</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12,881 shares held directly and 4,439 RSUs expected to vest within 60 days of March 16, 2026.</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27,213 shares held directly and 4,439 RSUs expected to vest within 60 days of March 16, 2026.</w:t>
      </w:r>
    </w:p>
    <w:p>
      <w:pPr>
        <w:spacing w:after="0" w:line="53" w:lineRule="exact"/>
        <w:rPr>
          <w:rFonts w:ascii="Arial" w:cs="Arial" w:eastAsia="Arial" w:hAnsi="Arial"/>
          <w:sz w:val="13"/>
          <w:szCs w:val="13"/>
          <w:color w:val="6D6D6D"/>
        </w:rPr>
      </w:pPr>
    </w:p>
    <w:p>
      <w:pPr>
        <w:ind w:left="260" w:hanging="252"/>
        <w:spacing w:after="0"/>
        <w:tabs>
          <w:tab w:leader="none" w:pos="26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39,806 shares held directly and 4,439 RSUs expected to vest within 60 days of March 16, 2026.</w:t>
      </w:r>
    </w:p>
    <w:p>
      <w:pPr>
        <w:spacing w:after="0" w:line="66" w:lineRule="exact"/>
        <w:rPr>
          <w:rFonts w:ascii="Arial" w:cs="Arial" w:eastAsia="Arial" w:hAnsi="Arial"/>
          <w:sz w:val="13"/>
          <w:szCs w:val="13"/>
          <w:color w:val="6D6D6D"/>
        </w:rPr>
      </w:pPr>
    </w:p>
    <w:p>
      <w:pPr>
        <w:ind w:left="280" w:hanging="272"/>
        <w:spacing w:after="0"/>
        <w:tabs>
          <w:tab w:leader="none" w:pos="28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61,629 shares held directly and 4,439 RSUs expected to vest within 60 days of March 16, 2026.</w:t>
      </w:r>
    </w:p>
    <w:p>
      <w:pPr>
        <w:spacing w:after="0" w:line="53" w:lineRule="exact"/>
        <w:rPr>
          <w:rFonts w:ascii="Arial" w:cs="Arial" w:eastAsia="Arial" w:hAnsi="Arial"/>
          <w:sz w:val="13"/>
          <w:szCs w:val="13"/>
          <w:color w:val="6D6D6D"/>
        </w:rPr>
      </w:pPr>
    </w:p>
    <w:p>
      <w:pPr>
        <w:ind w:left="280" w:hanging="272"/>
        <w:spacing w:after="0"/>
        <w:tabs>
          <w:tab w:leader="none" w:pos="280" w:val="left"/>
        </w:tabs>
        <w:numPr>
          <w:ilvl w:val="0"/>
          <w:numId w:val="37"/>
        </w:numPr>
        <w:rPr>
          <w:rFonts w:ascii="Arial" w:cs="Arial" w:eastAsia="Arial" w:hAnsi="Arial"/>
          <w:sz w:val="13"/>
          <w:szCs w:val="13"/>
          <w:color w:val="6D6D6D"/>
        </w:rPr>
      </w:pPr>
      <w:r>
        <w:rPr>
          <w:rFonts w:ascii="Arial" w:cs="Arial" w:eastAsia="Arial" w:hAnsi="Arial"/>
          <w:sz w:val="13"/>
          <w:szCs w:val="13"/>
          <w:color w:val="6D6D6D"/>
        </w:rPr>
        <w:t>Represents 64,853 shares held directly and 4,439 RSUs expected to vest within 60 days of March 16, 2026.</w:t>
      </w:r>
    </w:p>
    <w:p>
      <w:pPr>
        <w:sectPr>
          <w:pgSz w:w="11900" w:h="16838" w:orient="portrait"/>
          <w:cols w:equalWidth="0" w:num="1">
            <w:col w:w="11240"/>
          </w:cols>
          <w:pgMar w:left="320" w:top="130" w:right="339" w:bottom="731" w:gutter="0" w:footer="0" w:header="0"/>
        </w:sectPr>
      </w:pPr>
    </w:p>
    <w:p>
      <w:pPr>
        <w:spacing w:after="0" w:line="30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34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731"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190"/>
        </w:trPr>
        <w:tc>
          <w:tcPr>
            <w:tcW w:w="4940" w:type="dxa"/>
            <w:vAlign w:val="bottom"/>
            <w:gridSpan w:val="2"/>
          </w:tcPr>
          <w:p>
            <w:pPr>
              <w:spacing w:after="0"/>
              <w:rPr>
                <w:sz w:val="20"/>
                <w:szCs w:val="20"/>
                <w:color w:val="auto"/>
              </w:rPr>
            </w:pPr>
            <w:r>
              <w:rPr>
                <w:rFonts w:ascii="Arial" w:cs="Arial" w:eastAsia="Arial" w:hAnsi="Arial"/>
                <w:sz w:val="14"/>
                <w:szCs w:val="14"/>
                <w:color w:val="auto"/>
              </w:rPr>
              <w:t>Table of Contents</w:t>
            </w:r>
          </w:p>
        </w:tc>
        <w:tc>
          <w:tcPr>
            <w:tcW w:w="384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710"/>
        </w:trPr>
        <w:tc>
          <w:tcPr>
            <w:tcW w:w="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4880" w:type="dxa"/>
            <w:vAlign w:val="bottom"/>
            <w:tcBorders>
              <w:bottom w:val="single" w:sz="8" w:color="0C2940"/>
            </w:tcBorders>
            <w:shd w:val="clear" w:color="auto" w:fill="0C2940"/>
          </w:tcPr>
          <w:p>
            <w:pPr>
              <w:ind w:left="120"/>
              <w:spacing w:after="0"/>
              <w:rPr>
                <w:sz w:val="20"/>
                <w:szCs w:val="20"/>
                <w:color w:val="auto"/>
              </w:rPr>
            </w:pPr>
            <w:r>
              <w:rPr>
                <w:rFonts w:ascii="Arial" w:cs="Arial" w:eastAsia="Arial" w:hAnsi="Arial"/>
                <w:sz w:val="14"/>
                <w:szCs w:val="14"/>
                <w:color w:val="FFFFFF"/>
              </w:rPr>
              <w:t>GREATER THAN 5% STOCKHOLDERS</w:t>
            </w:r>
          </w:p>
        </w:tc>
        <w:tc>
          <w:tcPr>
            <w:tcW w:w="3840" w:type="dxa"/>
            <w:vAlign w:val="bottom"/>
            <w:tcBorders>
              <w:bottom w:val="single" w:sz="8" w:color="0C2940"/>
            </w:tcBorders>
            <w:shd w:val="clear" w:color="auto" w:fill="0C2940"/>
          </w:tcPr>
          <w:p>
            <w:pPr>
              <w:ind w:left="2200"/>
              <w:spacing w:after="0"/>
              <w:rPr>
                <w:sz w:val="20"/>
                <w:szCs w:val="20"/>
                <w:color w:val="auto"/>
              </w:rPr>
            </w:pPr>
            <w:r>
              <w:rPr>
                <w:rFonts w:ascii="Arial" w:cs="Arial" w:eastAsia="Arial" w:hAnsi="Arial"/>
                <w:sz w:val="14"/>
                <w:szCs w:val="14"/>
                <w:color w:val="FFFFFF"/>
              </w:rPr>
              <w:t>NUMBER</w:t>
            </w:r>
          </w:p>
        </w:tc>
        <w:tc>
          <w:tcPr>
            <w:tcW w:w="2400" w:type="dxa"/>
            <w:vAlign w:val="bottom"/>
            <w:tcBorders>
              <w:bottom w:val="single" w:sz="8" w:color="0C2940"/>
            </w:tcBorders>
            <w:shd w:val="clear" w:color="auto" w:fill="0C2940"/>
          </w:tcPr>
          <w:p>
            <w:pPr>
              <w:jc w:val="center"/>
              <w:ind w:right="8"/>
              <w:spacing w:after="0"/>
              <w:rPr>
                <w:sz w:val="20"/>
                <w:szCs w:val="20"/>
                <w:color w:val="auto"/>
              </w:rPr>
            </w:pPr>
            <w:r>
              <w:rPr>
                <w:rFonts w:ascii="Arial" w:cs="Arial" w:eastAsia="Arial" w:hAnsi="Arial"/>
                <w:sz w:val="14"/>
                <w:szCs w:val="14"/>
                <w:color w:val="FFFFFF"/>
                <w:w w:val="96"/>
              </w:rPr>
              <w:t>%</w:t>
            </w:r>
          </w:p>
        </w:tc>
      </w:tr>
      <w:tr>
        <w:trPr>
          <w:trHeight w:val="283"/>
        </w:trPr>
        <w:tc>
          <w:tcPr>
            <w:tcW w:w="60" w:type="dxa"/>
            <w:vAlign w:val="bottom"/>
          </w:tcPr>
          <w:p>
            <w:pPr>
              <w:spacing w:after="0"/>
              <w:rPr>
                <w:sz w:val="24"/>
                <w:szCs w:val="24"/>
                <w:color w:val="auto"/>
              </w:rPr>
            </w:pPr>
          </w:p>
        </w:tc>
        <w:tc>
          <w:tcPr>
            <w:tcW w:w="4880" w:type="dxa"/>
            <w:vAlign w:val="bottom"/>
            <w:shd w:val="clear" w:color="auto" w:fill="F5F5F5"/>
          </w:tcPr>
          <w:p>
            <w:pPr>
              <w:ind w:left="120"/>
              <w:spacing w:after="0"/>
              <w:rPr>
                <w:sz w:val="20"/>
                <w:szCs w:val="20"/>
                <w:color w:val="auto"/>
              </w:rPr>
            </w:pPr>
            <w:r>
              <w:rPr>
                <w:rFonts w:ascii="Arial" w:cs="Arial" w:eastAsia="Arial" w:hAnsi="Arial"/>
                <w:sz w:val="14"/>
                <w:szCs w:val="14"/>
                <w:color w:val="auto"/>
              </w:rPr>
              <w:t>BlackRock, Inc</w:t>
            </w:r>
            <w:r>
              <w:rPr>
                <w:rFonts w:ascii="Arial" w:cs="Arial" w:eastAsia="Arial" w:hAnsi="Arial"/>
                <w:sz w:val="18"/>
                <w:szCs w:val="18"/>
                <w:color w:val="auto"/>
                <w:vertAlign w:val="superscript"/>
              </w:rPr>
              <w:t>.(1)</w:t>
            </w:r>
          </w:p>
        </w:tc>
        <w:tc>
          <w:tcPr>
            <w:tcW w:w="3840" w:type="dxa"/>
            <w:vAlign w:val="bottom"/>
            <w:shd w:val="clear" w:color="auto" w:fill="F5F5F5"/>
          </w:tcPr>
          <w:p>
            <w:pPr>
              <w:jc w:val="center"/>
              <w:ind w:left="1148"/>
              <w:spacing w:after="0"/>
              <w:rPr>
                <w:sz w:val="20"/>
                <w:szCs w:val="20"/>
                <w:color w:val="auto"/>
              </w:rPr>
            </w:pPr>
            <w:r>
              <w:rPr>
                <w:rFonts w:ascii="Arial" w:cs="Arial" w:eastAsia="Arial" w:hAnsi="Arial"/>
                <w:sz w:val="14"/>
                <w:szCs w:val="14"/>
                <w:color w:val="auto"/>
                <w:w w:val="99"/>
              </w:rPr>
              <w:t>11,919,771</w:t>
            </w:r>
          </w:p>
        </w:tc>
        <w:tc>
          <w:tcPr>
            <w:tcW w:w="24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15.7%</w:t>
            </w:r>
          </w:p>
        </w:tc>
      </w:tr>
      <w:tr>
        <w:trPr>
          <w:trHeight w:val="283"/>
        </w:trPr>
        <w:tc>
          <w:tcPr>
            <w:tcW w:w="60" w:type="dxa"/>
            <w:vAlign w:val="bottom"/>
          </w:tcPr>
          <w:p>
            <w:pPr>
              <w:spacing w:after="0"/>
              <w:rPr>
                <w:sz w:val="24"/>
                <w:szCs w:val="24"/>
                <w:color w:val="auto"/>
              </w:rPr>
            </w:pPr>
          </w:p>
        </w:tc>
        <w:tc>
          <w:tcPr>
            <w:tcW w:w="4880" w:type="dxa"/>
            <w:vAlign w:val="bottom"/>
          </w:tcPr>
          <w:p>
            <w:pPr>
              <w:ind w:left="120"/>
              <w:spacing w:after="0"/>
              <w:rPr>
                <w:sz w:val="20"/>
                <w:szCs w:val="20"/>
                <w:color w:val="auto"/>
              </w:rPr>
            </w:pPr>
            <w:r>
              <w:rPr>
                <w:rFonts w:ascii="Arial" w:cs="Arial" w:eastAsia="Arial" w:hAnsi="Arial"/>
                <w:sz w:val="14"/>
                <w:szCs w:val="14"/>
                <w:color w:val="auto"/>
              </w:rPr>
              <w:t>Vanguard Group Inc.</w:t>
            </w:r>
            <w:r>
              <w:rPr>
                <w:rFonts w:ascii="Arial" w:cs="Arial" w:eastAsia="Arial" w:hAnsi="Arial"/>
                <w:sz w:val="18"/>
                <w:szCs w:val="18"/>
                <w:color w:val="auto"/>
                <w:vertAlign w:val="superscript"/>
              </w:rPr>
              <w:t>(2)</w:t>
            </w:r>
          </w:p>
        </w:tc>
        <w:tc>
          <w:tcPr>
            <w:tcW w:w="3840" w:type="dxa"/>
            <w:vAlign w:val="bottom"/>
          </w:tcPr>
          <w:p>
            <w:pPr>
              <w:jc w:val="center"/>
              <w:ind w:left="1128"/>
              <w:spacing w:after="0"/>
              <w:rPr>
                <w:sz w:val="20"/>
                <w:szCs w:val="20"/>
                <w:color w:val="auto"/>
              </w:rPr>
            </w:pPr>
            <w:r>
              <w:rPr>
                <w:rFonts w:ascii="Arial" w:cs="Arial" w:eastAsia="Arial" w:hAnsi="Arial"/>
                <w:sz w:val="14"/>
                <w:szCs w:val="14"/>
                <w:color w:val="auto"/>
              </w:rPr>
              <w:t>6,809,208</w:t>
            </w:r>
          </w:p>
        </w:tc>
        <w:tc>
          <w:tcPr>
            <w:tcW w:w="2400" w:type="dxa"/>
            <w:vAlign w:val="bottom"/>
          </w:tcPr>
          <w:p>
            <w:pPr>
              <w:jc w:val="center"/>
              <w:spacing w:after="0"/>
              <w:rPr>
                <w:sz w:val="20"/>
                <w:szCs w:val="20"/>
                <w:color w:val="auto"/>
              </w:rPr>
            </w:pPr>
            <w:r>
              <w:rPr>
                <w:rFonts w:ascii="Arial" w:cs="Arial" w:eastAsia="Arial" w:hAnsi="Arial"/>
                <w:sz w:val="14"/>
                <w:szCs w:val="14"/>
                <w:color w:val="auto"/>
              </w:rPr>
              <w:t>8.9%</w:t>
            </w:r>
          </w:p>
        </w:tc>
      </w:tr>
      <w:tr>
        <w:trPr>
          <w:trHeight w:val="283"/>
        </w:trPr>
        <w:tc>
          <w:tcPr>
            <w:tcW w:w="60" w:type="dxa"/>
            <w:vAlign w:val="bottom"/>
          </w:tcPr>
          <w:p>
            <w:pPr>
              <w:spacing w:after="0"/>
              <w:rPr>
                <w:sz w:val="24"/>
                <w:szCs w:val="24"/>
                <w:color w:val="auto"/>
              </w:rPr>
            </w:pPr>
          </w:p>
        </w:tc>
        <w:tc>
          <w:tcPr>
            <w:tcW w:w="4880" w:type="dxa"/>
            <w:vAlign w:val="bottom"/>
            <w:tcBorders>
              <w:bottom w:val="single" w:sz="8" w:color="DE762B"/>
            </w:tcBorders>
            <w:shd w:val="clear" w:color="auto" w:fill="F5F5F5"/>
          </w:tcPr>
          <w:p>
            <w:pPr>
              <w:ind w:left="120"/>
              <w:spacing w:after="0"/>
              <w:rPr>
                <w:sz w:val="20"/>
                <w:szCs w:val="20"/>
                <w:color w:val="auto"/>
              </w:rPr>
            </w:pPr>
            <w:r>
              <w:rPr>
                <w:rFonts w:ascii="Arial" w:cs="Arial" w:eastAsia="Arial" w:hAnsi="Arial"/>
                <w:sz w:val="14"/>
                <w:szCs w:val="14"/>
                <w:color w:val="auto"/>
              </w:rPr>
              <w:t xml:space="preserve">Dimensional Fund Advisors LP </w:t>
            </w:r>
            <w:r>
              <w:rPr>
                <w:rFonts w:ascii="Arial" w:cs="Arial" w:eastAsia="Arial" w:hAnsi="Arial"/>
                <w:sz w:val="18"/>
                <w:szCs w:val="18"/>
                <w:color w:val="auto"/>
                <w:vertAlign w:val="superscript"/>
              </w:rPr>
              <w:t>(3)</w:t>
            </w:r>
          </w:p>
        </w:tc>
        <w:tc>
          <w:tcPr>
            <w:tcW w:w="3840" w:type="dxa"/>
            <w:vAlign w:val="bottom"/>
            <w:tcBorders>
              <w:bottom w:val="single" w:sz="8" w:color="DE762B"/>
            </w:tcBorders>
            <w:shd w:val="clear" w:color="auto" w:fill="F5F5F5"/>
          </w:tcPr>
          <w:p>
            <w:pPr>
              <w:jc w:val="center"/>
              <w:ind w:left="1128"/>
              <w:spacing w:after="0"/>
              <w:rPr>
                <w:sz w:val="20"/>
                <w:szCs w:val="20"/>
                <w:color w:val="auto"/>
              </w:rPr>
            </w:pPr>
            <w:r>
              <w:rPr>
                <w:rFonts w:ascii="Arial" w:cs="Arial" w:eastAsia="Arial" w:hAnsi="Arial"/>
                <w:sz w:val="14"/>
                <w:szCs w:val="14"/>
                <w:color w:val="auto"/>
              </w:rPr>
              <w:t>4,567,372</w:t>
            </w:r>
          </w:p>
        </w:tc>
        <w:tc>
          <w:tcPr>
            <w:tcW w:w="2400" w:type="dxa"/>
            <w:vAlign w:val="bottom"/>
            <w:tcBorders>
              <w:bottom w:val="single" w:sz="8" w:color="DE762B"/>
            </w:tcBorders>
            <w:shd w:val="clear" w:color="auto" w:fill="F5F5F5"/>
          </w:tcPr>
          <w:p>
            <w:pPr>
              <w:jc w:val="center"/>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5513070</wp:posOffset>
            </wp:positionH>
            <wp:positionV relativeFrom="paragraph">
              <wp:posOffset>-560705</wp:posOffset>
            </wp:positionV>
            <wp:extent cx="34290" cy="5651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4290" cy="565150"/>
                    </a:xfrm>
                    <a:prstGeom prst="rect">
                      <a:avLst/>
                    </a:prstGeom>
                    <a:noFill/>
                  </pic:spPr>
                </pic:pic>
              </a:graphicData>
            </a:graphic>
          </wp:anchor>
        </w:drawing>
        <w:drawing>
          <wp:anchor simplePos="0" relativeHeight="251657728" behindDoc="1" locked="0" layoutInCell="0" allowOverlap="1">
            <wp:simplePos x="0" y="0"/>
            <wp:positionH relativeFrom="column">
              <wp:posOffset>3935730</wp:posOffset>
            </wp:positionH>
            <wp:positionV relativeFrom="paragraph">
              <wp:posOffset>-560705</wp:posOffset>
            </wp:positionV>
            <wp:extent cx="33655" cy="5651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565150"/>
                    </a:xfrm>
                    <a:prstGeom prst="rect">
                      <a:avLst/>
                    </a:prstGeom>
                    <a:noFill/>
                  </pic:spPr>
                </pic:pic>
              </a:graphicData>
            </a:graphic>
          </wp:anchor>
        </w:drawing>
      </w:r>
    </w:p>
    <w:p>
      <w:pPr>
        <w:spacing w:after="0" w:line="165" w:lineRule="exact"/>
        <w:rPr>
          <w:sz w:val="20"/>
          <w:szCs w:val="20"/>
          <w:color w:val="auto"/>
        </w:rPr>
      </w:pPr>
    </w:p>
    <w:p>
      <w:pPr>
        <w:ind w:left="240" w:hanging="232"/>
        <w:spacing w:after="0"/>
        <w:tabs>
          <w:tab w:leader="none" w:pos="240" w:val="left"/>
        </w:tabs>
        <w:numPr>
          <w:ilvl w:val="0"/>
          <w:numId w:val="38"/>
        </w:numPr>
        <w:rPr>
          <w:rFonts w:ascii="Arial" w:cs="Arial" w:eastAsia="Arial" w:hAnsi="Arial"/>
          <w:sz w:val="13"/>
          <w:szCs w:val="13"/>
          <w:color w:val="6D6D6D"/>
        </w:rPr>
      </w:pPr>
      <w:r>
        <w:rPr>
          <w:rFonts w:ascii="Arial" w:cs="Arial" w:eastAsia="Arial" w:hAnsi="Arial"/>
          <w:sz w:val="13"/>
          <w:szCs w:val="13"/>
          <w:color w:val="6D6D6D"/>
        </w:rPr>
        <w:t>Based on a Schedule 13G/A filed with the SEC on April 28, 2025. The number of shares reported includes: (a) 11,773,499 shares over which BlackRock, Inc. has sole voting power and (b)</w:t>
      </w:r>
    </w:p>
    <w:p>
      <w:pPr>
        <w:spacing w:after="0" w:line="11" w:lineRule="exact"/>
        <w:rPr>
          <w:rFonts w:ascii="Arial" w:cs="Arial" w:eastAsia="Arial" w:hAnsi="Arial"/>
          <w:sz w:val="13"/>
          <w:szCs w:val="13"/>
          <w:color w:val="6D6D6D"/>
        </w:rPr>
      </w:pPr>
    </w:p>
    <w:p>
      <w:pPr>
        <w:jc w:val="both"/>
        <w:ind w:left="260"/>
        <w:spacing w:after="0" w:line="267" w:lineRule="auto"/>
        <w:rPr>
          <w:rFonts w:ascii="Arial" w:cs="Arial" w:eastAsia="Arial" w:hAnsi="Arial"/>
          <w:sz w:val="13"/>
          <w:szCs w:val="13"/>
          <w:color w:val="6D6D6D"/>
        </w:rPr>
      </w:pPr>
      <w:r>
        <w:rPr>
          <w:rFonts w:ascii="Arial" w:cs="Arial" w:eastAsia="Arial" w:hAnsi="Arial"/>
          <w:sz w:val="12"/>
          <w:szCs w:val="12"/>
          <w:color w:val="6D6D6D"/>
        </w:rPr>
        <w:t>11,919,771 shares over which it has sole dispositive power. Subsidiaries of BlackRock, Inc. reported to have acquired the securities being reported include the following: BlackRock (Netherlands) B.V., BlackRock Advisors, LLC, BlackRock Asset Management Canada Limited, BlackRock Asset Management Ireland Limited, BlackRock Asset Management Schweiz AG, BlackRock Financial Management, Inc., BlackRock Fund Advisors, BlackRock Fund Managers Ltd, BlackRock Institutional Trust Company, National Association, BlackRock Investment Management (Australia) Limited, BlackRock Investment Management (UK) Limited and BlackRock Investment Management, LLC. The reporting person's principal business address is 50 Hudson Yards, New York, NY 10001.</w:t>
      </w:r>
    </w:p>
    <w:p>
      <w:pPr>
        <w:spacing w:after="0" w:line="35" w:lineRule="exact"/>
        <w:rPr>
          <w:rFonts w:ascii="Arial" w:cs="Arial" w:eastAsia="Arial" w:hAnsi="Arial"/>
          <w:sz w:val="13"/>
          <w:szCs w:val="13"/>
          <w:color w:val="6D6D6D"/>
        </w:rPr>
      </w:pPr>
    </w:p>
    <w:p>
      <w:pPr>
        <w:jc w:val="both"/>
        <w:ind w:left="260" w:hanging="252"/>
        <w:spacing w:after="0" w:line="251" w:lineRule="auto"/>
        <w:tabs>
          <w:tab w:leader="none" w:pos="257" w:val="left"/>
        </w:tabs>
        <w:numPr>
          <w:ilvl w:val="0"/>
          <w:numId w:val="38"/>
        </w:numPr>
        <w:rPr>
          <w:rFonts w:ascii="Arial" w:cs="Arial" w:eastAsia="Arial" w:hAnsi="Arial"/>
          <w:sz w:val="13"/>
          <w:szCs w:val="13"/>
          <w:color w:val="6D6D6D"/>
        </w:rPr>
      </w:pPr>
      <w:r>
        <w:rPr>
          <w:rFonts w:ascii="Arial" w:cs="Arial" w:eastAsia="Arial" w:hAnsi="Arial"/>
          <w:sz w:val="13"/>
          <w:szCs w:val="13"/>
          <w:color w:val="6D6D6D"/>
        </w:rPr>
        <w:t>Based on a Schedule 13G/A filed with the SEC on February 13, 2024. The number of shares reported includes: (a) 87,310 shares over which The Vanguard Group has shared voting power; (b) 6,638,057 shares over which The Vanguard Group has sole dispositive power; and (c) 171,151 shares over which The Vanguard Group has shared dispositive power. The reporting person's principal business address is 100 Vanguard Blvd., Malvern, PA 19355.</w:t>
      </w:r>
    </w:p>
    <w:p>
      <w:pPr>
        <w:spacing w:after="0" w:line="30" w:lineRule="exact"/>
        <w:rPr>
          <w:rFonts w:ascii="Arial" w:cs="Arial" w:eastAsia="Arial" w:hAnsi="Arial"/>
          <w:sz w:val="13"/>
          <w:szCs w:val="13"/>
          <w:color w:val="6D6D6D"/>
        </w:rPr>
      </w:pPr>
    </w:p>
    <w:p>
      <w:pPr>
        <w:ind w:left="260" w:hanging="252"/>
        <w:spacing w:after="0" w:line="264" w:lineRule="auto"/>
        <w:tabs>
          <w:tab w:leader="none" w:pos="257" w:val="left"/>
        </w:tabs>
        <w:numPr>
          <w:ilvl w:val="0"/>
          <w:numId w:val="38"/>
        </w:numPr>
        <w:rPr>
          <w:rFonts w:ascii="Arial" w:cs="Arial" w:eastAsia="Arial" w:hAnsi="Arial"/>
          <w:sz w:val="13"/>
          <w:szCs w:val="13"/>
          <w:color w:val="6D6D6D"/>
        </w:rPr>
      </w:pPr>
      <w:r>
        <w:rPr>
          <w:rFonts w:ascii="Arial" w:cs="Arial" w:eastAsia="Arial" w:hAnsi="Arial"/>
          <w:sz w:val="13"/>
          <w:szCs w:val="13"/>
          <w:color w:val="6D6D6D"/>
        </w:rPr>
        <w:t>Based on a Schedule 13G filed with the SEC on February 9, 2024. The number of shares reported includes: (a) 4,476,607 shares over which Dimensional Fund Advisors LP has sole voting power and (b) 4,567,372 shares over which it has sole dispositive power. The reporting person's principal business address is 6300 Bee Cave Road, Building One, Austin, TX 78746.</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0C2940"/>
        </w:rPr>
        <w:t>DELINQUENT SECTION 16(A) REPORTS</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SEC rules require our executive officers and directors, and persons who own more than 10% of a registered class of our equity securities, to file initial statements of beneficial ownership (Form 3) and statements of changes in beneficial ownership (Forms 4 and 5) of our common stock with the SEC. Such persons are required to furnish us with copies of all such forms they file. Based solely on a review of the copies of such forms furnished to us and/or written representations that no additional forms were required, we believe that all our officers, directors and greater than 10% beneficial owners complied with their filing requirements for 2025, except for one report for Mr. Embler related to his November 19, 2025 sale, which was filed on November 24, 2025, and two reports for Ms. Swithenbank related to the vesting of restricted stock units on May 1, 2025 and May 8, 2025, which were filed on February 13, 2026.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0C2940"/>
        </w:rPr>
        <w:t>COMPENSATION COMMITTEE INTERLOCKS AND INSIDER PARTICIPATION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There are no relationships that are required to be disclosed under Item 407(e)(4)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0C2940"/>
        </w:rPr>
        <w:t>EQUITY COMPENSATION PLANS INFORMATION</w:t>
      </w:r>
    </w:p>
    <w:p>
      <w:pPr>
        <w:spacing w:after="0" w:line="59" w:lineRule="exact"/>
        <w:rPr>
          <w:sz w:val="20"/>
          <w:szCs w:val="20"/>
          <w:color w:val="auto"/>
        </w:rPr>
      </w:pPr>
    </w:p>
    <w:p>
      <w:pPr>
        <w:ind w:right="660"/>
        <w:spacing w:after="0" w:line="304" w:lineRule="auto"/>
        <w:rPr>
          <w:sz w:val="20"/>
          <w:szCs w:val="20"/>
          <w:color w:val="auto"/>
        </w:rPr>
      </w:pPr>
      <w:r>
        <w:rPr>
          <w:rFonts w:ascii="Arial" w:cs="Arial" w:eastAsia="Arial" w:hAnsi="Arial"/>
          <w:sz w:val="16"/>
          <w:szCs w:val="16"/>
          <w:color w:val="auto"/>
        </w:rPr>
        <w:t>The following table sets forth information as of December 31, 2025 with respect to equity compensation plans under which shares of the Company's common stock may be issued: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0" w:type="dxa"/>
            <w:vAlign w:val="bottom"/>
            <w:shd w:val="clear" w:color="auto" w:fill="0C2940"/>
          </w:tcPr>
          <w:p>
            <w:pPr>
              <w:spacing w:after="0"/>
              <w:rPr>
                <w:sz w:val="15"/>
                <w:szCs w:val="15"/>
                <w:color w:val="auto"/>
              </w:rPr>
            </w:pPr>
          </w:p>
        </w:tc>
        <w:tc>
          <w:tcPr>
            <w:tcW w:w="2180" w:type="dxa"/>
            <w:vAlign w:val="bottom"/>
            <w:shd w:val="clear" w:color="auto" w:fill="0C2940"/>
          </w:tcPr>
          <w:p>
            <w:pPr>
              <w:spacing w:after="0"/>
              <w:rPr>
                <w:sz w:val="15"/>
                <w:szCs w:val="15"/>
                <w:color w:val="auto"/>
              </w:rPr>
            </w:pPr>
          </w:p>
        </w:tc>
        <w:tc>
          <w:tcPr>
            <w:tcW w:w="3580" w:type="dxa"/>
            <w:vAlign w:val="bottom"/>
            <w:shd w:val="clear" w:color="auto" w:fill="0C2940"/>
          </w:tcPr>
          <w:p>
            <w:pPr>
              <w:jc w:val="center"/>
              <w:ind w:left="853"/>
              <w:spacing w:after="0"/>
              <w:rPr>
                <w:sz w:val="20"/>
                <w:szCs w:val="20"/>
                <w:color w:val="auto"/>
              </w:rPr>
            </w:pPr>
            <w:r>
              <w:rPr>
                <w:rFonts w:ascii="Arial" w:cs="Arial" w:eastAsia="Arial" w:hAnsi="Arial"/>
                <w:sz w:val="13"/>
                <w:szCs w:val="13"/>
                <w:color w:val="FFFFFF"/>
              </w:rPr>
              <w:t>NUMBER OF SECURITIES TO BE</w:t>
            </w:r>
          </w:p>
        </w:tc>
        <w:tc>
          <w:tcPr>
            <w:tcW w:w="2680" w:type="dxa"/>
            <w:vAlign w:val="bottom"/>
            <w:shd w:val="clear" w:color="auto" w:fill="0C2940"/>
          </w:tcPr>
          <w:p>
            <w:pPr>
              <w:jc w:val="center"/>
              <w:spacing w:after="0"/>
              <w:rPr>
                <w:sz w:val="20"/>
                <w:szCs w:val="20"/>
                <w:color w:val="auto"/>
              </w:rPr>
            </w:pPr>
            <w:r>
              <w:rPr>
                <w:rFonts w:ascii="Arial" w:cs="Arial" w:eastAsia="Arial" w:hAnsi="Arial"/>
                <w:sz w:val="13"/>
                <w:szCs w:val="13"/>
                <w:color w:val="FFFFFF"/>
              </w:rPr>
              <w:t>WEIGHTED-AVERAGE EXERCISE PRICE</w:t>
            </w:r>
          </w:p>
        </w:tc>
        <w:tc>
          <w:tcPr>
            <w:tcW w:w="2680" w:type="dxa"/>
            <w:vAlign w:val="bottom"/>
            <w:vMerge w:val="restart"/>
            <w:shd w:val="clear" w:color="auto" w:fill="0C2940"/>
          </w:tcPr>
          <w:p>
            <w:pPr>
              <w:jc w:val="center"/>
              <w:spacing w:after="0"/>
              <w:rPr>
                <w:sz w:val="20"/>
                <w:szCs w:val="20"/>
                <w:color w:val="auto"/>
              </w:rPr>
            </w:pPr>
            <w:r>
              <w:rPr>
                <w:rFonts w:ascii="Arial" w:cs="Arial" w:eastAsia="Arial" w:hAnsi="Arial"/>
                <w:sz w:val="13"/>
                <w:szCs w:val="13"/>
                <w:color w:val="FFFFFF"/>
              </w:rPr>
              <w:t>NUMBER OF SECURITIES REMAINING</w:t>
            </w:r>
          </w:p>
        </w:tc>
        <w:tc>
          <w:tcPr>
            <w:tcW w:w="0" w:type="dxa"/>
            <w:vAlign w:val="bottom"/>
          </w:tcPr>
          <w:p>
            <w:pPr>
              <w:spacing w:after="0"/>
              <w:rPr>
                <w:sz w:val="1"/>
                <w:szCs w:val="1"/>
                <w:color w:val="auto"/>
              </w:rPr>
            </w:pPr>
          </w:p>
        </w:tc>
      </w:tr>
      <w:tr>
        <w:trPr>
          <w:trHeight w:val="54"/>
        </w:trPr>
        <w:tc>
          <w:tcPr>
            <w:tcW w:w="120" w:type="dxa"/>
            <w:vAlign w:val="bottom"/>
            <w:shd w:val="clear" w:color="auto" w:fill="0C2940"/>
          </w:tcPr>
          <w:p>
            <w:pPr>
              <w:spacing w:after="0"/>
              <w:rPr>
                <w:sz w:val="4"/>
                <w:szCs w:val="4"/>
                <w:color w:val="auto"/>
              </w:rPr>
            </w:pPr>
          </w:p>
        </w:tc>
        <w:tc>
          <w:tcPr>
            <w:tcW w:w="2180" w:type="dxa"/>
            <w:vAlign w:val="bottom"/>
            <w:shd w:val="clear" w:color="auto" w:fill="0C2940"/>
          </w:tcPr>
          <w:p>
            <w:pPr>
              <w:spacing w:after="0"/>
              <w:rPr>
                <w:sz w:val="4"/>
                <w:szCs w:val="4"/>
                <w:color w:val="auto"/>
              </w:rPr>
            </w:pPr>
          </w:p>
        </w:tc>
        <w:tc>
          <w:tcPr>
            <w:tcW w:w="3580" w:type="dxa"/>
            <w:vAlign w:val="bottom"/>
            <w:vMerge w:val="restart"/>
            <w:shd w:val="clear" w:color="auto" w:fill="0C2940"/>
          </w:tcPr>
          <w:p>
            <w:pPr>
              <w:jc w:val="center"/>
              <w:ind w:left="873"/>
              <w:spacing w:after="0"/>
              <w:rPr>
                <w:sz w:val="20"/>
                <w:szCs w:val="20"/>
                <w:color w:val="auto"/>
              </w:rPr>
            </w:pPr>
            <w:r>
              <w:rPr>
                <w:rFonts w:ascii="Arial" w:cs="Arial" w:eastAsia="Arial" w:hAnsi="Arial"/>
                <w:sz w:val="13"/>
                <w:szCs w:val="13"/>
                <w:color w:val="FFFFFF"/>
              </w:rPr>
              <w:t>ISSUED UPON EXERCISE OF</w:t>
            </w:r>
          </w:p>
        </w:tc>
        <w:tc>
          <w:tcPr>
            <w:tcW w:w="2680" w:type="dxa"/>
            <w:vAlign w:val="bottom"/>
            <w:vMerge w:val="restart"/>
            <w:shd w:val="clear" w:color="auto" w:fill="0C2940"/>
          </w:tcPr>
          <w:p>
            <w:pPr>
              <w:jc w:val="center"/>
              <w:spacing w:after="0"/>
              <w:rPr>
                <w:sz w:val="20"/>
                <w:szCs w:val="20"/>
                <w:color w:val="auto"/>
              </w:rPr>
            </w:pPr>
            <w:r>
              <w:rPr>
                <w:rFonts w:ascii="Arial" w:cs="Arial" w:eastAsia="Arial" w:hAnsi="Arial"/>
                <w:sz w:val="13"/>
                <w:szCs w:val="13"/>
                <w:color w:val="FFFFFF"/>
              </w:rPr>
              <w:t>OF OUTSTANDING OPTIONS,</w:t>
            </w:r>
          </w:p>
        </w:tc>
        <w:tc>
          <w:tcPr>
            <w:tcW w:w="2680" w:type="dxa"/>
            <w:vAlign w:val="bottom"/>
            <w:vMerge w:val="continue"/>
            <w:shd w:val="clear" w:color="auto" w:fill="0C2940"/>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0" w:type="dxa"/>
            <w:vAlign w:val="bottom"/>
            <w:shd w:val="clear" w:color="auto" w:fill="0C2940"/>
          </w:tcPr>
          <w:p>
            <w:pPr>
              <w:spacing w:after="0"/>
              <w:rPr>
                <w:sz w:val="9"/>
                <w:szCs w:val="9"/>
                <w:color w:val="auto"/>
              </w:rPr>
            </w:pPr>
          </w:p>
        </w:tc>
        <w:tc>
          <w:tcPr>
            <w:tcW w:w="2180" w:type="dxa"/>
            <w:vAlign w:val="bottom"/>
            <w:shd w:val="clear" w:color="auto" w:fill="0C2940"/>
          </w:tcPr>
          <w:p>
            <w:pPr>
              <w:spacing w:after="0"/>
              <w:rPr>
                <w:sz w:val="9"/>
                <w:szCs w:val="9"/>
                <w:color w:val="auto"/>
              </w:rPr>
            </w:pPr>
          </w:p>
        </w:tc>
        <w:tc>
          <w:tcPr>
            <w:tcW w:w="3580" w:type="dxa"/>
            <w:vAlign w:val="bottom"/>
            <w:vMerge w:val="continue"/>
            <w:shd w:val="clear" w:color="auto" w:fill="0C2940"/>
          </w:tcPr>
          <w:p>
            <w:pPr>
              <w:spacing w:after="0"/>
              <w:rPr>
                <w:sz w:val="9"/>
                <w:szCs w:val="9"/>
                <w:color w:val="auto"/>
              </w:rPr>
            </w:pPr>
          </w:p>
        </w:tc>
        <w:tc>
          <w:tcPr>
            <w:tcW w:w="2680" w:type="dxa"/>
            <w:vAlign w:val="bottom"/>
            <w:vMerge w:val="continue"/>
            <w:shd w:val="clear" w:color="auto" w:fill="0C2940"/>
          </w:tcPr>
          <w:p>
            <w:pPr>
              <w:spacing w:after="0"/>
              <w:rPr>
                <w:sz w:val="9"/>
                <w:szCs w:val="9"/>
                <w:color w:val="auto"/>
              </w:rPr>
            </w:pPr>
          </w:p>
        </w:tc>
        <w:tc>
          <w:tcPr>
            <w:tcW w:w="2680" w:type="dxa"/>
            <w:vAlign w:val="bottom"/>
            <w:vMerge w:val="restart"/>
            <w:shd w:val="clear" w:color="auto" w:fill="0C2940"/>
          </w:tcPr>
          <w:p>
            <w:pPr>
              <w:jc w:val="center"/>
              <w:spacing w:after="0"/>
              <w:rPr>
                <w:sz w:val="20"/>
                <w:szCs w:val="20"/>
                <w:color w:val="auto"/>
              </w:rPr>
            </w:pPr>
            <w:r>
              <w:rPr>
                <w:rFonts w:ascii="Arial" w:cs="Arial" w:eastAsia="Arial" w:hAnsi="Arial"/>
                <w:sz w:val="13"/>
                <w:szCs w:val="13"/>
                <w:color w:val="FFFFFF"/>
              </w:rPr>
              <w:t>AVAILABLE FOR FUTURE ISSUANCE</w:t>
            </w:r>
          </w:p>
        </w:tc>
        <w:tc>
          <w:tcPr>
            <w:tcW w:w="0" w:type="dxa"/>
            <w:vAlign w:val="bottom"/>
          </w:tcPr>
          <w:p>
            <w:pPr>
              <w:spacing w:after="0"/>
              <w:rPr>
                <w:sz w:val="1"/>
                <w:szCs w:val="1"/>
                <w:color w:val="auto"/>
              </w:rPr>
            </w:pPr>
          </w:p>
        </w:tc>
      </w:tr>
      <w:tr>
        <w:trPr>
          <w:trHeight w:val="54"/>
        </w:trPr>
        <w:tc>
          <w:tcPr>
            <w:tcW w:w="120" w:type="dxa"/>
            <w:vAlign w:val="bottom"/>
            <w:shd w:val="clear" w:color="auto" w:fill="0C2940"/>
          </w:tcPr>
          <w:p>
            <w:pPr>
              <w:spacing w:after="0"/>
              <w:rPr>
                <w:sz w:val="4"/>
                <w:szCs w:val="4"/>
                <w:color w:val="auto"/>
              </w:rPr>
            </w:pPr>
          </w:p>
        </w:tc>
        <w:tc>
          <w:tcPr>
            <w:tcW w:w="2180" w:type="dxa"/>
            <w:vAlign w:val="bottom"/>
            <w:shd w:val="clear" w:color="auto" w:fill="0C2940"/>
          </w:tcPr>
          <w:p>
            <w:pPr>
              <w:spacing w:after="0"/>
              <w:rPr>
                <w:sz w:val="4"/>
                <w:szCs w:val="4"/>
                <w:color w:val="auto"/>
              </w:rPr>
            </w:pPr>
          </w:p>
        </w:tc>
        <w:tc>
          <w:tcPr>
            <w:tcW w:w="3580" w:type="dxa"/>
            <w:vAlign w:val="bottom"/>
            <w:vMerge w:val="restart"/>
            <w:shd w:val="clear" w:color="auto" w:fill="0C2940"/>
          </w:tcPr>
          <w:p>
            <w:pPr>
              <w:jc w:val="center"/>
              <w:ind w:left="853"/>
              <w:spacing w:after="0"/>
              <w:rPr>
                <w:sz w:val="20"/>
                <w:szCs w:val="20"/>
                <w:color w:val="auto"/>
              </w:rPr>
            </w:pPr>
            <w:r>
              <w:rPr>
                <w:rFonts w:ascii="Arial" w:cs="Arial" w:eastAsia="Arial" w:hAnsi="Arial"/>
                <w:sz w:val="13"/>
                <w:szCs w:val="13"/>
                <w:color w:val="FFFFFF"/>
              </w:rPr>
              <w:t>OUTSTANDING OPTIONS, WARRANTS,</w:t>
            </w:r>
          </w:p>
        </w:tc>
        <w:tc>
          <w:tcPr>
            <w:tcW w:w="2680" w:type="dxa"/>
            <w:vAlign w:val="bottom"/>
            <w:vMerge w:val="restart"/>
            <w:shd w:val="clear" w:color="auto" w:fill="0C2940"/>
          </w:tcPr>
          <w:p>
            <w:pPr>
              <w:jc w:val="center"/>
              <w:spacing w:after="0" w:line="189" w:lineRule="exact"/>
              <w:rPr>
                <w:sz w:val="20"/>
                <w:szCs w:val="20"/>
                <w:color w:val="auto"/>
              </w:rPr>
            </w:pPr>
            <w:r>
              <w:rPr>
                <w:rFonts w:ascii="Arial" w:cs="Arial" w:eastAsia="Arial" w:hAnsi="Arial"/>
                <w:sz w:val="13"/>
                <w:szCs w:val="13"/>
                <w:color w:val="FFFFFF"/>
              </w:rPr>
              <w:t xml:space="preserve">WARRANTS, AND RIGHTS </w:t>
            </w:r>
            <w:r>
              <w:rPr>
                <w:rFonts w:ascii="Arial" w:cs="Arial" w:eastAsia="Arial" w:hAnsi="Arial"/>
                <w:sz w:val="17"/>
                <w:szCs w:val="17"/>
                <w:color w:val="FFFFFF"/>
                <w:vertAlign w:val="superscript"/>
              </w:rPr>
              <w:t>(3)</w:t>
            </w:r>
          </w:p>
        </w:tc>
        <w:tc>
          <w:tcPr>
            <w:tcW w:w="2680" w:type="dxa"/>
            <w:vAlign w:val="bottom"/>
            <w:vMerge w:val="continue"/>
            <w:shd w:val="clear" w:color="auto" w:fill="0C2940"/>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20" w:type="dxa"/>
            <w:vAlign w:val="bottom"/>
            <w:shd w:val="clear" w:color="auto" w:fill="0C2940"/>
          </w:tcPr>
          <w:p>
            <w:pPr>
              <w:spacing w:after="0"/>
              <w:rPr>
                <w:sz w:val="11"/>
                <w:szCs w:val="11"/>
                <w:color w:val="auto"/>
              </w:rPr>
            </w:pPr>
          </w:p>
        </w:tc>
        <w:tc>
          <w:tcPr>
            <w:tcW w:w="2180" w:type="dxa"/>
            <w:vAlign w:val="bottom"/>
            <w:vMerge w:val="restart"/>
            <w:shd w:val="clear" w:color="auto" w:fill="0C2940"/>
          </w:tcPr>
          <w:p>
            <w:pPr>
              <w:ind w:left="20"/>
              <w:spacing w:after="0"/>
              <w:rPr>
                <w:sz w:val="20"/>
                <w:szCs w:val="20"/>
                <w:color w:val="auto"/>
              </w:rPr>
            </w:pPr>
            <w:r>
              <w:rPr>
                <w:rFonts w:ascii="Arial" w:cs="Arial" w:eastAsia="Arial" w:hAnsi="Arial"/>
                <w:sz w:val="13"/>
                <w:szCs w:val="13"/>
                <w:color w:val="FFFFFF"/>
              </w:rPr>
              <w:t>PLAN CATEGORY</w:t>
            </w:r>
          </w:p>
        </w:tc>
        <w:tc>
          <w:tcPr>
            <w:tcW w:w="3580" w:type="dxa"/>
            <w:vAlign w:val="bottom"/>
            <w:vMerge w:val="continue"/>
            <w:shd w:val="clear" w:color="auto" w:fill="0C2940"/>
          </w:tcPr>
          <w:p>
            <w:pPr>
              <w:spacing w:after="0"/>
              <w:rPr>
                <w:sz w:val="11"/>
                <w:szCs w:val="11"/>
                <w:color w:val="auto"/>
              </w:rPr>
            </w:pPr>
          </w:p>
        </w:tc>
        <w:tc>
          <w:tcPr>
            <w:tcW w:w="2680" w:type="dxa"/>
            <w:vAlign w:val="bottom"/>
            <w:vMerge w:val="continue"/>
            <w:shd w:val="clear" w:color="auto" w:fill="0C2940"/>
          </w:tcPr>
          <w:p>
            <w:pPr>
              <w:spacing w:after="0"/>
              <w:rPr>
                <w:sz w:val="11"/>
                <w:szCs w:val="11"/>
                <w:color w:val="auto"/>
              </w:rPr>
            </w:pPr>
          </w:p>
        </w:tc>
        <w:tc>
          <w:tcPr>
            <w:tcW w:w="2680" w:type="dxa"/>
            <w:vAlign w:val="bottom"/>
            <w:shd w:val="clear" w:color="auto" w:fill="0C2940"/>
          </w:tcPr>
          <w:p>
            <w:pPr>
              <w:jc w:val="center"/>
              <w:spacing w:after="0" w:line="134" w:lineRule="exact"/>
              <w:rPr>
                <w:sz w:val="20"/>
                <w:szCs w:val="20"/>
                <w:color w:val="auto"/>
              </w:rPr>
            </w:pPr>
            <w:r>
              <w:rPr>
                <w:rFonts w:ascii="Arial" w:cs="Arial" w:eastAsia="Arial" w:hAnsi="Arial"/>
                <w:sz w:val="13"/>
                <w:szCs w:val="13"/>
                <w:color w:val="FFFFFF"/>
              </w:rPr>
              <w:t>UNDER EQUITY COMPENSATION PLANS</w:t>
            </w:r>
          </w:p>
        </w:tc>
        <w:tc>
          <w:tcPr>
            <w:tcW w:w="0" w:type="dxa"/>
            <w:vAlign w:val="bottom"/>
          </w:tcPr>
          <w:p>
            <w:pPr>
              <w:spacing w:after="0"/>
              <w:rPr>
                <w:sz w:val="1"/>
                <w:szCs w:val="1"/>
                <w:color w:val="auto"/>
              </w:rPr>
            </w:pPr>
          </w:p>
        </w:tc>
      </w:tr>
      <w:tr>
        <w:trPr>
          <w:trHeight w:val="175"/>
        </w:trPr>
        <w:tc>
          <w:tcPr>
            <w:tcW w:w="120" w:type="dxa"/>
            <w:vAlign w:val="bottom"/>
            <w:shd w:val="clear" w:color="auto" w:fill="0C2940"/>
          </w:tcPr>
          <w:p>
            <w:pPr>
              <w:spacing w:after="0"/>
              <w:rPr>
                <w:sz w:val="15"/>
                <w:szCs w:val="15"/>
                <w:color w:val="auto"/>
              </w:rPr>
            </w:pPr>
          </w:p>
        </w:tc>
        <w:tc>
          <w:tcPr>
            <w:tcW w:w="2180" w:type="dxa"/>
            <w:vAlign w:val="bottom"/>
            <w:vMerge w:val="continue"/>
            <w:shd w:val="clear" w:color="auto" w:fill="0C2940"/>
          </w:tcPr>
          <w:p>
            <w:pPr>
              <w:spacing w:after="0"/>
              <w:rPr>
                <w:sz w:val="15"/>
                <w:szCs w:val="15"/>
                <w:color w:val="auto"/>
              </w:rPr>
            </w:pPr>
          </w:p>
        </w:tc>
        <w:tc>
          <w:tcPr>
            <w:tcW w:w="3580" w:type="dxa"/>
            <w:vAlign w:val="bottom"/>
            <w:shd w:val="clear" w:color="auto" w:fill="0C2940"/>
          </w:tcPr>
          <w:p>
            <w:pPr>
              <w:jc w:val="center"/>
              <w:ind w:left="873"/>
              <w:spacing w:after="0" w:line="176" w:lineRule="exact"/>
              <w:rPr>
                <w:sz w:val="20"/>
                <w:szCs w:val="20"/>
                <w:color w:val="auto"/>
              </w:rPr>
            </w:pPr>
            <w:r>
              <w:rPr>
                <w:rFonts w:ascii="Arial" w:cs="Arial" w:eastAsia="Arial" w:hAnsi="Arial"/>
                <w:sz w:val="13"/>
                <w:szCs w:val="13"/>
                <w:color w:val="FFFFFF"/>
                <w:w w:val="98"/>
              </w:rPr>
              <w:t xml:space="preserve">AND RIGHTS </w:t>
            </w:r>
            <w:r>
              <w:rPr>
                <w:rFonts w:ascii="Arial" w:cs="Arial" w:eastAsia="Arial" w:hAnsi="Arial"/>
                <w:sz w:val="17"/>
                <w:szCs w:val="17"/>
                <w:color w:val="FFFFFF"/>
                <w:w w:val="98"/>
                <w:vertAlign w:val="superscript"/>
              </w:rPr>
              <w:t>(2)</w:t>
            </w:r>
          </w:p>
        </w:tc>
        <w:tc>
          <w:tcPr>
            <w:tcW w:w="2680" w:type="dxa"/>
            <w:vAlign w:val="bottom"/>
            <w:shd w:val="clear" w:color="auto" w:fill="0C2940"/>
          </w:tcPr>
          <w:p>
            <w:pPr>
              <w:jc w:val="center"/>
              <w:spacing w:after="0"/>
              <w:rPr>
                <w:sz w:val="20"/>
                <w:szCs w:val="20"/>
                <w:color w:val="auto"/>
              </w:rPr>
            </w:pPr>
            <w:r>
              <w:rPr>
                <w:rFonts w:ascii="Arial" w:cs="Arial" w:eastAsia="Arial" w:hAnsi="Arial"/>
                <w:sz w:val="13"/>
                <w:szCs w:val="13"/>
                <w:color w:val="FFFFFF"/>
              </w:rPr>
              <w:t>($)</w:t>
            </w:r>
          </w:p>
        </w:tc>
        <w:tc>
          <w:tcPr>
            <w:tcW w:w="2680" w:type="dxa"/>
            <w:vAlign w:val="bottom"/>
            <w:shd w:val="clear" w:color="auto" w:fill="0C2940"/>
          </w:tcPr>
          <w:p>
            <w:pPr>
              <w:jc w:val="center"/>
              <w:spacing w:after="0"/>
              <w:rPr>
                <w:sz w:val="20"/>
                <w:szCs w:val="20"/>
                <w:color w:val="auto"/>
              </w:rPr>
            </w:pPr>
            <w:r>
              <w:rPr>
                <w:rFonts w:ascii="Arial" w:cs="Arial" w:eastAsia="Arial" w:hAnsi="Arial"/>
                <w:sz w:val="9"/>
                <w:szCs w:val="9"/>
                <w:color w:val="FFFFFF"/>
                <w:w w:val="90"/>
              </w:rPr>
              <w:t>(4)</w:t>
            </w:r>
          </w:p>
        </w:tc>
        <w:tc>
          <w:tcPr>
            <w:tcW w:w="0" w:type="dxa"/>
            <w:vAlign w:val="bottom"/>
          </w:tcPr>
          <w:p>
            <w:pPr>
              <w:spacing w:after="0"/>
              <w:rPr>
                <w:sz w:val="1"/>
                <w:szCs w:val="1"/>
                <w:color w:val="auto"/>
              </w:rPr>
            </w:pPr>
          </w:p>
        </w:tc>
      </w:tr>
      <w:tr>
        <w:trPr>
          <w:trHeight w:val="54"/>
        </w:trPr>
        <w:tc>
          <w:tcPr>
            <w:tcW w:w="120" w:type="dxa"/>
            <w:vAlign w:val="bottom"/>
            <w:shd w:val="clear" w:color="auto" w:fill="0C2940"/>
          </w:tcPr>
          <w:p>
            <w:pPr>
              <w:spacing w:after="0"/>
              <w:rPr>
                <w:sz w:val="4"/>
                <w:szCs w:val="4"/>
                <w:color w:val="auto"/>
              </w:rPr>
            </w:pPr>
          </w:p>
        </w:tc>
        <w:tc>
          <w:tcPr>
            <w:tcW w:w="2180" w:type="dxa"/>
            <w:vAlign w:val="bottom"/>
            <w:shd w:val="clear" w:color="auto" w:fill="0C2940"/>
          </w:tcPr>
          <w:p>
            <w:pPr>
              <w:spacing w:after="0"/>
              <w:rPr>
                <w:sz w:val="4"/>
                <w:szCs w:val="4"/>
                <w:color w:val="auto"/>
              </w:rPr>
            </w:pPr>
          </w:p>
        </w:tc>
        <w:tc>
          <w:tcPr>
            <w:tcW w:w="3580" w:type="dxa"/>
            <w:vAlign w:val="bottom"/>
            <w:shd w:val="clear" w:color="auto" w:fill="0C2940"/>
          </w:tcPr>
          <w:p>
            <w:pPr>
              <w:spacing w:after="0"/>
              <w:rPr>
                <w:sz w:val="4"/>
                <w:szCs w:val="4"/>
                <w:color w:val="auto"/>
              </w:rPr>
            </w:pPr>
          </w:p>
        </w:tc>
        <w:tc>
          <w:tcPr>
            <w:tcW w:w="2680" w:type="dxa"/>
            <w:vAlign w:val="bottom"/>
            <w:shd w:val="clear" w:color="auto" w:fill="0C2940"/>
          </w:tcPr>
          <w:p>
            <w:pPr>
              <w:spacing w:after="0"/>
              <w:rPr>
                <w:sz w:val="4"/>
                <w:szCs w:val="4"/>
                <w:color w:val="auto"/>
              </w:rPr>
            </w:pPr>
          </w:p>
        </w:tc>
        <w:tc>
          <w:tcPr>
            <w:tcW w:w="2680" w:type="dxa"/>
            <w:vAlign w:val="bottom"/>
            <w:shd w:val="clear" w:color="auto" w:fill="0C2940"/>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90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9090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18" w:lineRule="exact"/>
        <w:rPr>
          <w:sz w:val="20"/>
          <w:szCs w:val="20"/>
          <w:color w:val="auto"/>
        </w:rPr>
      </w:pPr>
    </w:p>
    <w:p>
      <w:pPr>
        <w:ind w:left="140" w:right="820"/>
        <w:spacing w:after="0" w:line="273" w:lineRule="auto"/>
        <w:rPr>
          <w:sz w:val="20"/>
          <w:szCs w:val="20"/>
          <w:color w:val="auto"/>
        </w:rPr>
      </w:pPr>
      <w:r>
        <w:rPr>
          <w:rFonts w:ascii="Arial" w:cs="Arial" w:eastAsia="Arial" w:hAnsi="Arial"/>
          <w:sz w:val="14"/>
          <w:szCs w:val="14"/>
          <w:color w:val="auto"/>
        </w:rPr>
        <w:t xml:space="preserve">Equity compensation plans approved by security holders </w:t>
      </w:r>
      <w:r>
        <w:rPr>
          <w:rFonts w:ascii="Arial" w:cs="Arial" w:eastAsia="Arial" w:hAnsi="Arial"/>
          <w:sz w:val="18"/>
          <w:szCs w:val="18"/>
          <w:color w:val="auto"/>
          <w:vertAlign w:val="superscript"/>
        </w:rPr>
        <w:t>(1)</w:t>
      </w:r>
    </w:p>
    <w:p>
      <w:pPr>
        <w:ind w:left="140" w:right="580"/>
        <w:spacing w:after="0" w:line="284" w:lineRule="auto"/>
        <w:rPr>
          <w:sz w:val="20"/>
          <w:szCs w:val="20"/>
          <w:color w:val="auto"/>
        </w:rPr>
      </w:pPr>
      <w:r>
        <w:rPr>
          <w:rFonts w:ascii="Arial" w:cs="Arial" w:eastAsia="Arial" w:hAnsi="Arial"/>
          <w:sz w:val="14"/>
          <w:szCs w:val="14"/>
          <w:color w:val="auto"/>
        </w:rPr>
        <w:t>Equity compensation plans not approved by security holders</w:t>
      </w:r>
    </w:p>
    <w:p>
      <w:pPr>
        <w:spacing w:after="0" w:line="22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Total</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720" w:type="dxa"/>
            <w:vAlign w:val="bottom"/>
          </w:tcPr>
          <w:p>
            <w:pPr>
              <w:jc w:val="center"/>
              <w:ind w:right="1008"/>
              <w:spacing w:after="0"/>
              <w:rPr>
                <w:sz w:val="20"/>
                <w:szCs w:val="20"/>
                <w:color w:val="auto"/>
              </w:rPr>
            </w:pPr>
            <w:r>
              <w:rPr>
                <w:rFonts w:ascii="Arial" w:cs="Arial" w:eastAsia="Arial" w:hAnsi="Arial"/>
                <w:sz w:val="14"/>
                <w:szCs w:val="14"/>
                <w:color w:val="auto"/>
              </w:rPr>
              <w:t>1,971,440</w:t>
            </w:r>
          </w:p>
        </w:tc>
        <w:tc>
          <w:tcPr>
            <w:tcW w:w="2560" w:type="dxa"/>
            <w:vAlign w:val="bottom"/>
          </w:tcPr>
          <w:p>
            <w:pPr>
              <w:jc w:val="center"/>
              <w:spacing w:after="0"/>
              <w:rPr>
                <w:sz w:val="20"/>
                <w:szCs w:val="20"/>
                <w:color w:val="auto"/>
              </w:rPr>
            </w:pPr>
            <w:r>
              <w:rPr>
                <w:rFonts w:ascii="Arial" w:cs="Arial" w:eastAsia="Arial" w:hAnsi="Arial"/>
                <w:sz w:val="14"/>
                <w:szCs w:val="14"/>
                <w:color w:val="auto"/>
              </w:rPr>
              <w:t>$15.53</w:t>
            </w:r>
          </w:p>
        </w:tc>
        <w:tc>
          <w:tcPr>
            <w:tcW w:w="1720" w:type="dxa"/>
            <w:vAlign w:val="bottom"/>
          </w:tcPr>
          <w:p>
            <w:pPr>
              <w:jc w:val="center"/>
              <w:ind w:left="1008"/>
              <w:spacing w:after="0"/>
              <w:rPr>
                <w:sz w:val="20"/>
                <w:szCs w:val="20"/>
                <w:color w:val="auto"/>
              </w:rPr>
            </w:pPr>
            <w:r>
              <w:rPr>
                <w:rFonts w:ascii="Arial" w:cs="Arial" w:eastAsia="Arial" w:hAnsi="Arial"/>
                <w:sz w:val="14"/>
                <w:szCs w:val="14"/>
                <w:color w:val="auto"/>
              </w:rPr>
              <w:t>1,553,929</w:t>
            </w:r>
          </w:p>
        </w:tc>
      </w:tr>
      <w:tr>
        <w:trPr>
          <w:trHeight w:val="459"/>
        </w:trPr>
        <w:tc>
          <w:tcPr>
            <w:tcW w:w="1720" w:type="dxa"/>
            <w:vAlign w:val="bottom"/>
          </w:tcPr>
          <w:p>
            <w:pPr>
              <w:jc w:val="center"/>
              <w:ind w:right="988"/>
              <w:spacing w:after="0"/>
              <w:rPr>
                <w:sz w:val="20"/>
                <w:szCs w:val="20"/>
                <w:color w:val="auto"/>
              </w:rPr>
            </w:pPr>
            <w:r>
              <w:rPr>
                <w:rFonts w:ascii="Arial" w:cs="Arial" w:eastAsia="Arial" w:hAnsi="Arial"/>
                <w:sz w:val="14"/>
                <w:szCs w:val="14"/>
                <w:color w:val="auto"/>
                <w:w w:val="99"/>
              </w:rPr>
              <w:t>—</w:t>
            </w:r>
          </w:p>
        </w:tc>
        <w:tc>
          <w:tcPr>
            <w:tcW w:w="2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720" w:type="dxa"/>
            <w:vAlign w:val="bottom"/>
          </w:tcPr>
          <w:p>
            <w:pPr>
              <w:jc w:val="center"/>
              <w:ind w:left="988"/>
              <w:spacing w:after="0"/>
              <w:rPr>
                <w:sz w:val="20"/>
                <w:szCs w:val="20"/>
                <w:color w:val="auto"/>
              </w:rPr>
            </w:pPr>
            <w:r>
              <w:rPr>
                <w:rFonts w:ascii="Arial" w:cs="Arial" w:eastAsia="Arial" w:hAnsi="Arial"/>
                <w:sz w:val="14"/>
                <w:szCs w:val="14"/>
                <w:color w:val="auto"/>
                <w:w w:val="99"/>
              </w:rPr>
              <w:t>—</w:t>
            </w:r>
          </w:p>
        </w:tc>
      </w:tr>
      <w:tr>
        <w:trPr>
          <w:trHeight w:val="486"/>
        </w:trPr>
        <w:tc>
          <w:tcPr>
            <w:tcW w:w="1720" w:type="dxa"/>
            <w:vAlign w:val="bottom"/>
          </w:tcPr>
          <w:p>
            <w:pPr>
              <w:jc w:val="center"/>
              <w:ind w:right="1008"/>
              <w:spacing w:after="0"/>
              <w:rPr>
                <w:sz w:val="20"/>
                <w:szCs w:val="20"/>
                <w:color w:val="auto"/>
              </w:rPr>
            </w:pPr>
            <w:r>
              <w:rPr>
                <w:rFonts w:ascii="Arial" w:cs="Arial" w:eastAsia="Arial" w:hAnsi="Arial"/>
                <w:sz w:val="14"/>
                <w:szCs w:val="14"/>
                <w:color w:val="auto"/>
              </w:rPr>
              <w:t>1,971,440</w:t>
            </w:r>
          </w:p>
        </w:tc>
        <w:tc>
          <w:tcPr>
            <w:tcW w:w="2560" w:type="dxa"/>
            <w:vAlign w:val="bottom"/>
          </w:tcPr>
          <w:p>
            <w:pPr>
              <w:jc w:val="center"/>
              <w:spacing w:after="0"/>
              <w:rPr>
                <w:sz w:val="20"/>
                <w:szCs w:val="20"/>
                <w:color w:val="auto"/>
              </w:rPr>
            </w:pPr>
            <w:r>
              <w:rPr>
                <w:rFonts w:ascii="Arial" w:cs="Arial" w:eastAsia="Arial" w:hAnsi="Arial"/>
                <w:sz w:val="14"/>
                <w:szCs w:val="14"/>
                <w:color w:val="auto"/>
              </w:rPr>
              <w:t>$15.53</w:t>
            </w:r>
          </w:p>
        </w:tc>
        <w:tc>
          <w:tcPr>
            <w:tcW w:w="1720" w:type="dxa"/>
            <w:vAlign w:val="bottom"/>
          </w:tcPr>
          <w:p>
            <w:pPr>
              <w:jc w:val="center"/>
              <w:ind w:left="1008"/>
              <w:spacing w:after="0"/>
              <w:rPr>
                <w:sz w:val="20"/>
                <w:szCs w:val="20"/>
                <w:color w:val="auto"/>
              </w:rPr>
            </w:pPr>
            <w:r>
              <w:rPr>
                <w:rFonts w:ascii="Arial" w:cs="Arial" w:eastAsia="Arial" w:hAnsi="Arial"/>
                <w:sz w:val="14"/>
                <w:szCs w:val="14"/>
                <w:color w:val="auto"/>
              </w:rPr>
              <w:t>1,553,929</w:t>
            </w:r>
          </w:p>
        </w:tc>
      </w:tr>
    </w:tbl>
    <w:p>
      <w:pPr>
        <w:spacing w:after="0" w:line="200" w:lineRule="exact"/>
        <w:rPr>
          <w:sz w:val="20"/>
          <w:szCs w:val="20"/>
          <w:color w:val="auto"/>
        </w:rPr>
      </w:pPr>
    </w:p>
    <w:p>
      <w:pPr>
        <w:sectPr>
          <w:pgSz w:w="11900" w:h="16838" w:orient="portrait"/>
          <w:cols w:equalWidth="0" w:num="2">
            <w:col w:w="3520" w:space="720"/>
            <w:col w:w="7000"/>
          </w:cols>
          <w:pgMar w:left="320" w:top="130" w:right="339" w:bottom="1440" w:gutter="0" w:footer="0" w:header="0"/>
          <w:type w:val="continuous"/>
        </w:sectPr>
      </w:pPr>
    </w:p>
    <w:p>
      <w:pPr>
        <w:spacing w:after="0" w:line="155" w:lineRule="exact"/>
        <w:rPr>
          <w:sz w:val="20"/>
          <w:szCs w:val="20"/>
          <w:color w:val="auto"/>
        </w:rPr>
      </w:pPr>
    </w:p>
    <w:p>
      <w:pPr>
        <w:ind w:left="240" w:hanging="232"/>
        <w:spacing w:after="0"/>
        <w:tabs>
          <w:tab w:leader="none" w:pos="240" w:val="left"/>
        </w:tabs>
        <w:numPr>
          <w:ilvl w:val="0"/>
          <w:numId w:val="39"/>
        </w:numPr>
        <w:rPr>
          <w:rFonts w:ascii="Arial" w:cs="Arial" w:eastAsia="Arial" w:hAnsi="Arial"/>
          <w:sz w:val="13"/>
          <w:szCs w:val="13"/>
          <w:color w:val="6D6D6D"/>
        </w:rPr>
      </w:pPr>
      <w:r>
        <w:rPr>
          <w:rFonts w:ascii="Arial" w:cs="Arial" w:eastAsia="Arial" w:hAnsi="Arial"/>
          <w:sz w:val="13"/>
          <w:szCs w:val="13"/>
          <w:color w:val="6D6D6D"/>
        </w:rPr>
        <w:t>NMI Holdings, Inc. 2012 Stock Incentive Plan (2012 Plan) and NMI Holdings, Inc. Amended and Restated 2014 Omnibus Incentive Plan (2014 Plan).</w:t>
      </w:r>
    </w:p>
    <w:p>
      <w:pPr>
        <w:spacing w:after="0" w:line="53" w:lineRule="exact"/>
        <w:rPr>
          <w:rFonts w:ascii="Arial" w:cs="Arial" w:eastAsia="Arial" w:hAnsi="Arial"/>
          <w:sz w:val="13"/>
          <w:szCs w:val="13"/>
          <w:color w:val="6D6D6D"/>
        </w:rPr>
      </w:pPr>
    </w:p>
    <w:p>
      <w:pPr>
        <w:jc w:val="both"/>
        <w:ind w:left="260" w:hanging="252"/>
        <w:spacing w:after="0" w:line="251" w:lineRule="auto"/>
        <w:tabs>
          <w:tab w:leader="none" w:pos="257" w:val="left"/>
        </w:tabs>
        <w:numPr>
          <w:ilvl w:val="0"/>
          <w:numId w:val="39"/>
        </w:numPr>
        <w:rPr>
          <w:rFonts w:ascii="Arial" w:cs="Arial" w:eastAsia="Arial" w:hAnsi="Arial"/>
          <w:sz w:val="13"/>
          <w:szCs w:val="13"/>
          <w:color w:val="6D6D6D"/>
        </w:rPr>
      </w:pPr>
      <w:r>
        <w:rPr>
          <w:rFonts w:ascii="Arial" w:cs="Arial" w:eastAsia="Arial" w:hAnsi="Arial"/>
          <w:sz w:val="13"/>
          <w:szCs w:val="13"/>
          <w:color w:val="6D6D6D"/>
        </w:rPr>
        <w:t>Includes 729,935 shares to be issued upon exercise of outstanding stock options under the 2012 Plan and 1,241,505 unvested restricted stock units (inclusive of RSUs and PRSUs) granted under the 2014 Plan. Of the unvested restricted stock units included herein, 530,985 are PRSUs (at target) that could potentially pay out between 0% and 200% of this represented count. At maximum performance, an additional 530,985 shares would be issued.</w:t>
      </w:r>
    </w:p>
    <w:p>
      <w:pPr>
        <w:spacing w:after="0" w:line="43" w:lineRule="exact"/>
        <w:rPr>
          <w:rFonts w:ascii="Arial" w:cs="Arial" w:eastAsia="Arial" w:hAnsi="Arial"/>
          <w:sz w:val="13"/>
          <w:szCs w:val="13"/>
          <w:color w:val="6D6D6D"/>
        </w:rPr>
      </w:pPr>
    </w:p>
    <w:p>
      <w:pPr>
        <w:ind w:left="240" w:hanging="232"/>
        <w:spacing w:after="0"/>
        <w:tabs>
          <w:tab w:leader="none" w:pos="240" w:val="left"/>
        </w:tabs>
        <w:numPr>
          <w:ilvl w:val="0"/>
          <w:numId w:val="39"/>
        </w:numPr>
        <w:rPr>
          <w:rFonts w:ascii="Arial" w:cs="Arial" w:eastAsia="Arial" w:hAnsi="Arial"/>
          <w:sz w:val="13"/>
          <w:szCs w:val="13"/>
          <w:color w:val="6D6D6D"/>
        </w:rPr>
      </w:pPr>
      <w:r>
        <w:rPr>
          <w:rFonts w:ascii="Arial" w:cs="Arial" w:eastAsia="Arial" w:hAnsi="Arial"/>
          <w:sz w:val="13"/>
          <w:szCs w:val="13"/>
          <w:color w:val="6D6D6D"/>
        </w:rPr>
        <w:t>Weighted-average exercise price is based solely on outstanding options.</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39"/>
        </w:numPr>
        <w:rPr>
          <w:rFonts w:ascii="Arial" w:cs="Arial" w:eastAsia="Arial" w:hAnsi="Arial"/>
          <w:sz w:val="13"/>
          <w:szCs w:val="13"/>
          <w:color w:val="6D6D6D"/>
        </w:rPr>
      </w:pPr>
      <w:r>
        <w:rPr>
          <w:rFonts w:ascii="Arial" w:cs="Arial" w:eastAsia="Arial" w:hAnsi="Arial"/>
          <w:sz w:val="13"/>
          <w:szCs w:val="13"/>
          <w:color w:val="6D6D6D"/>
        </w:rPr>
        <w:t>The amount shown includes shares available for use with awards granted under the 2014 Plan, assuming performance goals are achieved at the target level.</w:t>
      </w:r>
    </w:p>
    <w:p>
      <w:pPr>
        <w:spacing w:after="0" w:line="255"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1036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880"/>
        <w:spacing w:after="0"/>
        <w:rPr>
          <w:sz w:val="20"/>
          <w:szCs w:val="20"/>
          <w:color w:val="auto"/>
        </w:rPr>
      </w:pPr>
      <w:r>
        <w:rPr>
          <w:rFonts w:ascii="Arial" w:cs="Arial" w:eastAsia="Arial" w:hAnsi="Arial"/>
          <w:sz w:val="43"/>
          <w:szCs w:val="43"/>
          <w:color w:val="A7A9AC"/>
        </w:rPr>
        <w:t>Compensation of</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DE762B"/>
        </w:rPr>
        <w:t>Named Executive Officers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COMPENSATION DISCUSSION AND ANALYSIS</w:t>
      </w:r>
    </w:p>
    <w:p>
      <w:pPr>
        <w:spacing w:after="0" w:line="11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This Compensation Discussion and Analysis describes the objectives and components of our executive compensation program for our named executive officers (NEOs) and how we make compensation decisions. Our NEOs for the year ended December 31, 2025 were as set forth below:</w:t>
      </w:r>
    </w:p>
    <w:p>
      <w:pPr>
        <w:spacing w:after="0" w:line="52" w:lineRule="exact"/>
        <w:rPr>
          <w:sz w:val="20"/>
          <w:szCs w:val="20"/>
          <w:color w:val="auto"/>
        </w:rPr>
      </w:pPr>
    </w:p>
    <w:p>
      <w:pPr>
        <w:ind w:left="220" w:hanging="212"/>
        <w:spacing w:after="0"/>
        <w:tabs>
          <w:tab w:leader="none" w:pos="220" w:val="left"/>
        </w:tabs>
        <w:numPr>
          <w:ilvl w:val="0"/>
          <w:numId w:val="40"/>
        </w:numPr>
        <w:rPr>
          <w:rFonts w:ascii="Arial" w:cs="Arial" w:eastAsia="Arial" w:hAnsi="Arial"/>
          <w:sz w:val="16"/>
          <w:szCs w:val="16"/>
          <w:b w:val="1"/>
          <w:bCs w:val="1"/>
          <w:color w:val="005388"/>
        </w:rPr>
      </w:pPr>
      <w:r>
        <w:rPr>
          <w:rFonts w:ascii="Arial" w:cs="Arial" w:eastAsia="Arial" w:hAnsi="Arial"/>
          <w:sz w:val="14"/>
          <w:szCs w:val="14"/>
          <w:b w:val="1"/>
          <w:bCs w:val="1"/>
          <w:color w:val="005388"/>
        </w:rPr>
        <w:t>Adam S. Pollitzer</w:t>
      </w:r>
      <w:r>
        <w:rPr>
          <w:rFonts w:ascii="Arial" w:cs="Arial" w:eastAsia="Arial" w:hAnsi="Arial"/>
          <w:sz w:val="14"/>
          <w:szCs w:val="14"/>
          <w:color w:val="000000"/>
        </w:rPr>
        <w:t>, President and Chief Executive Officer</w:t>
      </w:r>
    </w:p>
    <w:p>
      <w:pPr>
        <w:spacing w:after="0" w:line="113" w:lineRule="exact"/>
        <w:rPr>
          <w:rFonts w:ascii="Arial" w:cs="Arial" w:eastAsia="Arial" w:hAnsi="Arial"/>
          <w:sz w:val="16"/>
          <w:szCs w:val="16"/>
          <w:b w:val="1"/>
          <w:bCs w:val="1"/>
          <w:color w:val="005388"/>
        </w:rPr>
      </w:pPr>
    </w:p>
    <w:p>
      <w:pPr>
        <w:ind w:left="220" w:hanging="212"/>
        <w:spacing w:after="0"/>
        <w:tabs>
          <w:tab w:leader="none" w:pos="220" w:val="left"/>
        </w:tabs>
        <w:numPr>
          <w:ilvl w:val="0"/>
          <w:numId w:val="40"/>
        </w:numPr>
        <w:rPr>
          <w:rFonts w:ascii="Arial" w:cs="Arial" w:eastAsia="Arial" w:hAnsi="Arial"/>
          <w:sz w:val="16"/>
          <w:szCs w:val="16"/>
          <w:b w:val="1"/>
          <w:bCs w:val="1"/>
          <w:color w:val="005388"/>
        </w:rPr>
      </w:pPr>
      <w:r>
        <w:rPr>
          <w:rFonts w:ascii="Arial" w:cs="Arial" w:eastAsia="Arial" w:hAnsi="Arial"/>
          <w:sz w:val="14"/>
          <w:szCs w:val="14"/>
          <w:b w:val="1"/>
          <w:bCs w:val="1"/>
          <w:color w:val="005388"/>
        </w:rPr>
        <w:t>Bradley M. Shuster</w:t>
      </w:r>
      <w:r>
        <w:rPr>
          <w:rFonts w:ascii="Arial" w:cs="Arial" w:eastAsia="Arial" w:hAnsi="Arial"/>
          <w:sz w:val="14"/>
          <w:szCs w:val="14"/>
          <w:color w:val="000000"/>
        </w:rPr>
        <w:t>, Executive Chairman and Chairman of the Board</w:t>
      </w:r>
    </w:p>
    <w:p>
      <w:pPr>
        <w:spacing w:after="0" w:line="126" w:lineRule="exact"/>
        <w:rPr>
          <w:rFonts w:ascii="Arial" w:cs="Arial" w:eastAsia="Arial" w:hAnsi="Arial"/>
          <w:sz w:val="16"/>
          <w:szCs w:val="16"/>
          <w:b w:val="1"/>
          <w:bCs w:val="1"/>
          <w:color w:val="005388"/>
        </w:rPr>
      </w:pPr>
    </w:p>
    <w:p>
      <w:pPr>
        <w:ind w:left="220" w:hanging="212"/>
        <w:spacing w:after="0"/>
        <w:tabs>
          <w:tab w:leader="none" w:pos="220" w:val="left"/>
        </w:tabs>
        <w:numPr>
          <w:ilvl w:val="0"/>
          <w:numId w:val="40"/>
        </w:numPr>
        <w:rPr>
          <w:rFonts w:ascii="Arial" w:cs="Arial" w:eastAsia="Arial" w:hAnsi="Arial"/>
          <w:sz w:val="16"/>
          <w:szCs w:val="16"/>
          <w:b w:val="1"/>
          <w:bCs w:val="1"/>
          <w:color w:val="005388"/>
        </w:rPr>
      </w:pPr>
      <w:r>
        <w:rPr>
          <w:rFonts w:ascii="Arial" w:cs="Arial" w:eastAsia="Arial" w:hAnsi="Arial"/>
          <w:sz w:val="14"/>
          <w:szCs w:val="14"/>
          <w:b w:val="1"/>
          <w:bCs w:val="1"/>
          <w:color w:val="005388"/>
        </w:rPr>
        <w:t>Aurora Swithenbank</w:t>
      </w:r>
      <w:r>
        <w:rPr>
          <w:rFonts w:ascii="Arial" w:cs="Arial" w:eastAsia="Arial" w:hAnsi="Arial"/>
          <w:sz w:val="14"/>
          <w:szCs w:val="14"/>
          <w:color w:val="000000"/>
        </w:rPr>
        <w:t>, Chief Financial Officer</w:t>
      </w:r>
    </w:p>
    <w:p>
      <w:pPr>
        <w:spacing w:after="0" w:line="113" w:lineRule="exact"/>
        <w:rPr>
          <w:rFonts w:ascii="Arial" w:cs="Arial" w:eastAsia="Arial" w:hAnsi="Arial"/>
          <w:sz w:val="16"/>
          <w:szCs w:val="16"/>
          <w:b w:val="1"/>
          <w:bCs w:val="1"/>
          <w:color w:val="005388"/>
        </w:rPr>
      </w:pPr>
    </w:p>
    <w:p>
      <w:pPr>
        <w:ind w:left="220" w:hanging="212"/>
        <w:spacing w:after="0"/>
        <w:tabs>
          <w:tab w:leader="none" w:pos="220" w:val="left"/>
        </w:tabs>
        <w:numPr>
          <w:ilvl w:val="0"/>
          <w:numId w:val="40"/>
        </w:numPr>
        <w:rPr>
          <w:rFonts w:ascii="Arial" w:cs="Arial" w:eastAsia="Arial" w:hAnsi="Arial"/>
          <w:sz w:val="16"/>
          <w:szCs w:val="16"/>
          <w:b w:val="1"/>
          <w:bCs w:val="1"/>
          <w:color w:val="005388"/>
        </w:rPr>
      </w:pPr>
      <w:r>
        <w:rPr>
          <w:rFonts w:ascii="Arial" w:cs="Arial" w:eastAsia="Arial" w:hAnsi="Arial"/>
          <w:sz w:val="14"/>
          <w:szCs w:val="14"/>
          <w:b w:val="1"/>
          <w:bCs w:val="1"/>
          <w:color w:val="005388"/>
        </w:rPr>
        <w:t>William J. Leatherberry</w:t>
      </w:r>
      <w:r>
        <w:rPr>
          <w:rFonts w:ascii="Arial" w:cs="Arial" w:eastAsia="Arial" w:hAnsi="Arial"/>
          <w:sz w:val="14"/>
          <w:szCs w:val="14"/>
          <w:color w:val="000000"/>
        </w:rPr>
        <w:t>, Chief Administrative Officer and General Counsel</w:t>
      </w:r>
    </w:p>
    <w:p>
      <w:pPr>
        <w:spacing w:after="0" w:line="126" w:lineRule="exact"/>
        <w:rPr>
          <w:rFonts w:ascii="Arial" w:cs="Arial" w:eastAsia="Arial" w:hAnsi="Arial"/>
          <w:sz w:val="16"/>
          <w:szCs w:val="16"/>
          <w:b w:val="1"/>
          <w:bCs w:val="1"/>
          <w:color w:val="005388"/>
        </w:rPr>
      </w:pPr>
    </w:p>
    <w:p>
      <w:pPr>
        <w:ind w:left="220" w:hanging="212"/>
        <w:spacing w:after="0"/>
        <w:tabs>
          <w:tab w:leader="none" w:pos="220" w:val="left"/>
        </w:tabs>
        <w:numPr>
          <w:ilvl w:val="0"/>
          <w:numId w:val="40"/>
        </w:numPr>
        <w:rPr>
          <w:rFonts w:ascii="Arial" w:cs="Arial" w:eastAsia="Arial" w:hAnsi="Arial"/>
          <w:sz w:val="16"/>
          <w:szCs w:val="16"/>
          <w:b w:val="1"/>
          <w:bCs w:val="1"/>
          <w:color w:val="005388"/>
        </w:rPr>
      </w:pPr>
      <w:r>
        <w:rPr>
          <w:rFonts w:ascii="Arial" w:cs="Arial" w:eastAsia="Arial" w:hAnsi="Arial"/>
          <w:sz w:val="14"/>
          <w:szCs w:val="14"/>
          <w:b w:val="1"/>
          <w:bCs w:val="1"/>
          <w:color w:val="005388"/>
        </w:rPr>
        <w:t>Robert Smith</w:t>
      </w:r>
      <w:r>
        <w:rPr>
          <w:rFonts w:ascii="Arial" w:cs="Arial" w:eastAsia="Arial" w:hAnsi="Arial"/>
          <w:sz w:val="14"/>
          <w:szCs w:val="14"/>
          <w:color w:val="000000"/>
        </w:rPr>
        <w:t>, Chief Risk Officer</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We present the compensation of our NEOs in the Summary Compensation Table and other compensation tables set forth below in this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0C2940"/>
        </w:rPr>
        <w:t>EXECUTIVE SUMMARY</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summarizes our Company's pay-for-performance objectives and key compensation-related actions that we took in 2025 and demonstrates the alignment of our executive compensation program with Company performance.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005388"/>
        </w:rPr>
        <w:t>Overview of Company Performance</w:t>
      </w:r>
    </w:p>
    <w:p>
      <w:pPr>
        <w:spacing w:after="0" w:line="73"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2025, the Company delivered standout operating performance — with notable success in terms of its people, its customer franchise, its insured portfolio, and its financial results. We were once again recognized as a Great Place to Work</w:t>
      </w:r>
      <w:r>
        <w:rPr>
          <w:rFonts w:ascii="Arial" w:cs="Arial" w:eastAsia="Arial" w:hAnsi="Arial"/>
          <w:sz w:val="21"/>
          <w:szCs w:val="21"/>
          <w:color w:val="auto"/>
          <w:vertAlign w:val="superscript"/>
        </w:rPr>
        <w:t>®</w:t>
      </w:r>
      <w:r>
        <w:rPr>
          <w:rFonts w:ascii="Arial" w:cs="Arial" w:eastAsia="Arial" w:hAnsi="Arial"/>
          <w:sz w:val="16"/>
          <w:szCs w:val="16"/>
          <w:color w:val="auto"/>
        </w:rPr>
        <w:t xml:space="preserve"> — our tenth consecutive award (which we view as a reflection of our unique corporate culture, and a testament to the hard work and dedication of our talented team). We saw success in customer development and continued to serve our lender customers and their borrowers with consistency and distinction. We achieved strong growth in our high-quality insured portfolio, continued to innovate in the risk-transfer market and once again delivered industry-leading credit performance. And we achieved record financial results – including record revenue of $706 million (up 9% compared to 2024), record net income of $389 million (up 8% compared to 2024), and record diluted earnings per share of $4.92 (up 11% compared to 2024). We closed 2025 with a record $2.6 billion of stockholders’ equity and $3.0 billion of total capital, and continued to efficiently return capital to stockholders, purchasing 2.8 million shares under our share repurchase program.</w:t>
      </w:r>
    </w:p>
    <w:p>
      <w:pPr>
        <w:spacing w:after="0" w:line="34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36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132320" cy="45472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454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FFFFFF"/>
        </w:rPr>
        <w:t>OVERVIEW OF OUR FINANCIAL PERFORMANCE AS OF YEAR END</w:t>
      </w:r>
    </w:p>
    <w:p>
      <w:pPr>
        <w:sectPr>
          <w:pgSz w:w="11900" w:h="16838" w:orient="portrait"/>
          <w:cols w:equalWidth="0" w:num="1">
            <w:col w:w="11240"/>
          </w:cols>
          <w:pgMar w:left="320" w:top="130" w:right="339" w:bottom="1440" w:gutter="0" w:footer="0" w:header="0"/>
        </w:sectPr>
      </w:pPr>
    </w:p>
    <w:p>
      <w:pPr>
        <w:spacing w:after="0" w:line="172"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$221.4 billion</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IIF</w:t>
      </w:r>
    </w:p>
    <w:p>
      <w:pPr>
        <w:spacing w:after="0" w:line="16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$48.9 billion</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NIW</w:t>
      </w:r>
    </w:p>
    <w:p>
      <w:pPr>
        <w:spacing w:after="0" w:line="165" w:lineRule="exact"/>
        <w:rPr>
          <w:sz w:val="20"/>
          <w:szCs w:val="20"/>
          <w:color w:val="auto"/>
        </w:rPr>
      </w:pPr>
    </w:p>
    <w:p>
      <w:pPr>
        <w:ind w:left="520" w:right="40" w:firstLine="202"/>
        <w:spacing w:after="0" w:line="286" w:lineRule="auto"/>
        <w:rPr>
          <w:sz w:val="20"/>
          <w:szCs w:val="20"/>
          <w:color w:val="auto"/>
        </w:rPr>
      </w:pPr>
      <w:r>
        <w:rPr>
          <w:rFonts w:ascii="Arial" w:cs="Arial" w:eastAsia="Arial" w:hAnsi="Arial"/>
          <w:sz w:val="16"/>
          <w:szCs w:val="16"/>
          <w:b w:val="1"/>
          <w:bCs w:val="1"/>
          <w:color w:val="005388"/>
        </w:rPr>
        <w:t xml:space="preserve">$602.2 million </w:t>
      </w:r>
      <w:r>
        <w:rPr>
          <w:rFonts w:ascii="Arial" w:cs="Arial" w:eastAsia="Arial" w:hAnsi="Arial"/>
          <w:sz w:val="16"/>
          <w:szCs w:val="16"/>
          <w:color w:val="000000"/>
        </w:rPr>
        <w:t>Net Premium Earned</w:t>
      </w:r>
    </w:p>
    <w:p>
      <w:pPr>
        <w:spacing w:after="0" w:line="16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$102.9 million</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NII</w:t>
      </w:r>
    </w:p>
    <w:p>
      <w:pPr>
        <w:spacing w:after="0" w:line="16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5388"/>
        </w:rPr>
        <w:t>$706.4 million</w:t>
      </w:r>
    </w:p>
    <w:p>
      <w:pPr>
        <w:spacing w:after="0" w:line="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Total Revenue</w:t>
      </w:r>
    </w:p>
    <w:p>
      <w:pPr>
        <w:spacing w:after="0" w:line="16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$388.9 million</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Net Income</w:t>
      </w:r>
    </w:p>
    <w:p>
      <w:pPr>
        <w:spacing w:after="0" w:line="16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16.2%</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Return on Equity</w:t>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$4.92</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Diluted EPS</w:t>
      </w:r>
    </w:p>
    <w:p>
      <w:pPr>
        <w:spacing w:after="0" w:line="16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1.12%</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Default Rate</w:t>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9.6%</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Loss Ratio</w:t>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19.9%</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color w:val="auto"/>
        </w:rPr>
        <w:t>Expense Ratio</w:t>
      </w:r>
    </w:p>
    <w:p>
      <w:pPr>
        <w:spacing w:after="0" w:line="219"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005388"/>
        </w:rPr>
        <w:t>$34.58</w:t>
      </w:r>
    </w:p>
    <w:p>
      <w:pPr>
        <w:spacing w:after="0" w:line="18"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Book Value Per Share</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closed the year with a record of $221.4 billion of high-quality, high-performing primary insurance-in-force (IIF), up 5% compared to December 31, 2024.</w:t>
      </w:r>
    </w:p>
    <w:p>
      <w:pPr>
        <w:spacing w:after="0" w:line="11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delivered $48.9 billion of high quality, new insurance written (NIW), up 6% compared to the year ended December 31, 2024.</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generated $602.2 million in net premium revenue, up 7% compared to the year ended December 31, 2024.</w:t>
      </w:r>
    </w:p>
    <w:p>
      <w:pPr>
        <w:spacing w:after="0" w:line="302"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generated net investment income (NII) of $102.9 million, up 21% compared to the year ended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We generated record total revenues of $706.4 million, up 9% compared to the year ended December 31, 2024.</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We earned a record net income of $388.9 million, up 8% compared to the year ended December 31, 2024.</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We delivered a 16.2% return on equity for the year ended December 31, 2025.</w:t>
      </w:r>
    </w:p>
    <w:p>
      <w:pPr>
        <w:spacing w:after="0" w:line="329" w:lineRule="exact"/>
        <w:rPr>
          <w:sz w:val="20"/>
          <w:szCs w:val="20"/>
          <w:color w:val="auto"/>
        </w:rPr>
      </w:pPr>
    </w:p>
    <w:p>
      <w:pPr>
        <w:ind w:left="100" w:right="120"/>
        <w:spacing w:after="0" w:line="286" w:lineRule="auto"/>
        <w:rPr>
          <w:sz w:val="20"/>
          <w:szCs w:val="20"/>
          <w:color w:val="auto"/>
        </w:rPr>
      </w:pPr>
      <w:r>
        <w:rPr>
          <w:rFonts w:ascii="Arial" w:cs="Arial" w:eastAsia="Arial" w:hAnsi="Arial"/>
          <w:sz w:val="16"/>
          <w:szCs w:val="16"/>
          <w:color w:val="auto"/>
        </w:rPr>
        <w:t>We grew our Diluted Earnings Per Share (EPS) to a record of $4.92, up 11% from $4.43 for the year ended December 31, 2024.</w:t>
      </w:r>
    </w:p>
    <w:p>
      <w:pPr>
        <w:spacing w:after="0" w:line="142" w:lineRule="exact"/>
        <w:rPr>
          <w:sz w:val="20"/>
          <w:szCs w:val="20"/>
          <w:color w:val="auto"/>
        </w:rPr>
      </w:pPr>
    </w:p>
    <w:p>
      <w:pPr>
        <w:ind w:left="100" w:right="120"/>
        <w:spacing w:after="0" w:line="286" w:lineRule="auto"/>
        <w:rPr>
          <w:sz w:val="20"/>
          <w:szCs w:val="20"/>
          <w:color w:val="auto"/>
        </w:rPr>
      </w:pPr>
      <w:r>
        <w:rPr>
          <w:rFonts w:ascii="Arial" w:cs="Arial" w:eastAsia="Arial" w:hAnsi="Arial"/>
          <w:sz w:val="16"/>
          <w:szCs w:val="16"/>
          <w:color w:val="auto"/>
        </w:rPr>
        <w:t>We achieved standout credit performance, delivering a 1.12% default rate in our insured portfolio as of December 31, 2025.</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had a loss ratio of 9.6%for the year ended December 31, 2025.</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We achieved a record-low expense ratio of 19.9%, down from 21.0% for the year ended December 31, 2024.</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We grew Book Value Per Share to $34.58, up 16% compared to December 31, 2024.</w:t>
      </w:r>
    </w:p>
    <w:p>
      <w:pPr>
        <w:spacing w:after="0" w:line="432" w:lineRule="exact"/>
        <w:rPr>
          <w:sz w:val="20"/>
          <w:szCs w:val="20"/>
          <w:color w:val="auto"/>
        </w:rPr>
      </w:pPr>
    </w:p>
    <w:p>
      <w:pPr>
        <w:sectPr>
          <w:pgSz w:w="11900" w:h="16838" w:orient="portrait"/>
          <w:cols w:equalWidth="0" w:num="2">
            <w:col w:w="2080" w:space="480"/>
            <w:col w:w="8680"/>
          </w:cols>
          <w:pgMar w:left="320" w:top="130" w:right="339" w:bottom="1440" w:gutter="0" w:footer="0" w:header="0"/>
          <w:type w:val="continuous"/>
        </w:sectPr>
      </w:pPr>
    </w:p>
    <w:p>
      <w:pPr>
        <w:ind w:left="260" w:hanging="252"/>
        <w:spacing w:after="0" w:line="264" w:lineRule="auto"/>
        <w:tabs>
          <w:tab w:leader="none" w:pos="257" w:val="left"/>
        </w:tabs>
        <w:numPr>
          <w:ilvl w:val="0"/>
          <w:numId w:val="41"/>
        </w:numPr>
        <w:rPr>
          <w:rFonts w:ascii="Arial" w:cs="Arial" w:eastAsia="Arial" w:hAnsi="Arial"/>
          <w:sz w:val="13"/>
          <w:szCs w:val="13"/>
          <w:color w:val="6D6D6D"/>
        </w:rPr>
      </w:pPr>
      <w:r>
        <w:rPr>
          <w:rFonts w:ascii="Arial" w:cs="Arial" w:eastAsia="Arial" w:hAnsi="Arial"/>
          <w:sz w:val="13"/>
          <w:szCs w:val="13"/>
          <w:color w:val="6D6D6D"/>
        </w:rPr>
        <w:t>Book value per share (excluding net unrealized gains and losses) is defined as total shareholder's equity, excluding accumulated other comprehensive income (AOCI), divided by shares outstanding. For more detail, please see Appendix A.</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005388"/>
        </w:rPr>
        <w:t>Key Matters Addressed by the Compensation Committee</w:t>
      </w:r>
    </w:p>
    <w:p>
      <w:pPr>
        <w:spacing w:after="0" w:line="7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Key matters addressed by the Compensation Committee (in consultation with its Compensation Consultant, Semler Brossy) with respect to executive compensation in 2025 included:</w:t>
      </w:r>
    </w:p>
    <w:p>
      <w:pPr>
        <w:spacing w:after="0" w:line="33" w:lineRule="exact"/>
        <w:rPr>
          <w:sz w:val="20"/>
          <w:szCs w:val="20"/>
          <w:color w:val="auto"/>
        </w:rPr>
      </w:pPr>
    </w:p>
    <w:p>
      <w:pPr>
        <w:ind w:left="260" w:hanging="252"/>
        <w:spacing w:after="0" w:line="286" w:lineRule="auto"/>
        <w:tabs>
          <w:tab w:leader="none" w:pos="222"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Setting performance objectives for the Company's 2025 bonus plan, including incentives to manage costs, write high-quality business to achieve sustainable revenues, and achieve objectives for adjusted operating income and strong ROE targets;</w:t>
      </w:r>
    </w:p>
    <w:p>
      <w:pPr>
        <w:spacing w:after="0" w:line="61" w:lineRule="exact"/>
        <w:rPr>
          <w:rFonts w:ascii="Arial" w:cs="Arial" w:eastAsia="Arial" w:hAnsi="Arial"/>
          <w:sz w:val="16"/>
          <w:szCs w:val="16"/>
          <w:color w:val="005388"/>
        </w:rPr>
      </w:pPr>
    </w:p>
    <w:p>
      <w:pPr>
        <w:ind w:left="220" w:hanging="212"/>
        <w:spacing w:after="0"/>
        <w:tabs>
          <w:tab w:leader="none" w:pos="220"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Reviewing performance outcomes relative to the performance objectives at the end of the year in determining incentive plan payouts;</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Reviewing our CEO compensation to ensure alignment with competitive market practice;</w:t>
      </w:r>
    </w:p>
    <w:p>
      <w:pPr>
        <w:spacing w:after="0" w:line="126" w:lineRule="exact"/>
        <w:rPr>
          <w:rFonts w:ascii="Arial" w:cs="Arial" w:eastAsia="Arial" w:hAnsi="Arial"/>
          <w:sz w:val="16"/>
          <w:szCs w:val="16"/>
          <w:color w:val="005388"/>
        </w:rPr>
      </w:pPr>
    </w:p>
    <w:p>
      <w:pPr>
        <w:ind w:left="220" w:hanging="212"/>
        <w:spacing w:after="0"/>
        <w:tabs>
          <w:tab w:leader="none" w:pos="220"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Analyzing and determining the Executive Chairman's compensation;</w:t>
      </w:r>
    </w:p>
    <w:p>
      <w:pPr>
        <w:spacing w:after="0" w:line="113" w:lineRule="exact"/>
        <w:rPr>
          <w:rFonts w:ascii="Arial" w:cs="Arial" w:eastAsia="Arial" w:hAnsi="Arial"/>
          <w:sz w:val="16"/>
          <w:szCs w:val="16"/>
          <w:color w:val="005388"/>
        </w:rPr>
      </w:pPr>
    </w:p>
    <w:p>
      <w:pPr>
        <w:ind w:left="260" w:hanging="252"/>
        <w:spacing w:after="0" w:line="286" w:lineRule="auto"/>
        <w:tabs>
          <w:tab w:leader="none" w:pos="222"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Conducting a comprehensive review and evaluation of our other NEOs’ compensation to ensure continued alignment with corporate performance objectives;</w:t>
      </w:r>
    </w:p>
    <w:p>
      <w:pPr>
        <w:spacing w:after="0" w:line="61" w:lineRule="exact"/>
        <w:rPr>
          <w:rFonts w:ascii="Arial" w:cs="Arial" w:eastAsia="Arial" w:hAnsi="Arial"/>
          <w:sz w:val="16"/>
          <w:szCs w:val="16"/>
          <w:color w:val="005388"/>
        </w:rPr>
      </w:pPr>
    </w:p>
    <w:p>
      <w:pPr>
        <w:ind w:left="220" w:hanging="212"/>
        <w:spacing w:after="0"/>
        <w:tabs>
          <w:tab w:leader="none" w:pos="220"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Reviewing and evaluating our compensation program to ensure that its policies and practices appropriately safeguard against excessive risk taking; and</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42"/>
        </w:numPr>
        <w:rPr>
          <w:rFonts w:ascii="Arial" w:cs="Arial" w:eastAsia="Arial" w:hAnsi="Arial"/>
          <w:sz w:val="16"/>
          <w:szCs w:val="16"/>
          <w:color w:val="005388"/>
        </w:rPr>
      </w:pPr>
      <w:r>
        <w:rPr>
          <w:rFonts w:ascii="Arial" w:cs="Arial" w:eastAsia="Arial" w:hAnsi="Arial"/>
          <w:sz w:val="16"/>
          <w:szCs w:val="16"/>
          <w:color w:val="auto"/>
        </w:rPr>
        <w:t>Reviewing the compensation paid to our independent directors.</w:t>
      </w:r>
    </w:p>
    <w:p>
      <w:pPr>
        <w:spacing w:after="0" w:line="379"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Executive Compensation Philosophy</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designed our compensation program to attract, retain and motivate talented and qualified executives, while maximizing stockholder value creation over the long-term by targeting compensation levels that are externally competitive when measured against other companies within our industry and geographic location. We are headquartered in the San Francisco Bay Area near Silicon Valley, and therefore compete for talent with other companies that offer competitive compensation packages. We structure our compensation program to include a portfolio of both cash and equity with an emphasis on performance-based compensation.</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Our compensation programs provide a strong alignment between Company performance results and resulting payouts:</w:t>
      </w:r>
    </w:p>
    <w:p>
      <w:pPr>
        <w:spacing w:after="0" w:line="127" w:lineRule="exact"/>
        <w:rPr>
          <w:sz w:val="20"/>
          <w:szCs w:val="20"/>
          <w:color w:val="auto"/>
        </w:rPr>
      </w:pPr>
    </w:p>
    <w:p>
      <w:pPr>
        <w:ind w:left="220" w:hanging="212"/>
        <w:spacing w:after="0"/>
        <w:tabs>
          <w:tab w:leader="none" w:pos="220" w:val="left"/>
        </w:tabs>
        <w:numPr>
          <w:ilvl w:val="0"/>
          <w:numId w:val="43"/>
        </w:numPr>
        <w:rPr>
          <w:rFonts w:ascii="Arial" w:cs="Arial" w:eastAsia="Arial" w:hAnsi="Arial"/>
          <w:sz w:val="16"/>
          <w:szCs w:val="16"/>
          <w:color w:val="005388"/>
        </w:rPr>
      </w:pPr>
      <w:r>
        <w:rPr>
          <w:rFonts w:ascii="Arial" w:cs="Arial" w:eastAsia="Arial" w:hAnsi="Arial"/>
          <w:sz w:val="16"/>
          <w:szCs w:val="16"/>
          <w:color w:val="auto"/>
        </w:rPr>
        <w:t>Our annual incentive program is entirely based on financial performance measures that are aligned with driving key business strategies for the year.</w:t>
      </w:r>
    </w:p>
    <w:p>
      <w:pPr>
        <w:spacing w:after="0" w:line="113" w:lineRule="exact"/>
        <w:rPr>
          <w:rFonts w:ascii="Arial" w:cs="Arial" w:eastAsia="Arial" w:hAnsi="Arial"/>
          <w:sz w:val="16"/>
          <w:szCs w:val="16"/>
          <w:color w:val="005388"/>
        </w:rPr>
      </w:pPr>
    </w:p>
    <w:p>
      <w:pPr>
        <w:ind w:left="220" w:hanging="212"/>
        <w:spacing w:after="0"/>
        <w:tabs>
          <w:tab w:leader="none" w:pos="220" w:val="left"/>
        </w:tabs>
        <w:numPr>
          <w:ilvl w:val="0"/>
          <w:numId w:val="43"/>
        </w:numPr>
        <w:rPr>
          <w:rFonts w:ascii="Arial" w:cs="Arial" w:eastAsia="Arial" w:hAnsi="Arial"/>
          <w:sz w:val="16"/>
          <w:szCs w:val="16"/>
          <w:color w:val="005388"/>
        </w:rPr>
      </w:pPr>
      <w:r>
        <w:rPr>
          <w:rFonts w:ascii="Arial" w:cs="Arial" w:eastAsia="Arial" w:hAnsi="Arial"/>
          <w:sz w:val="16"/>
          <w:szCs w:val="16"/>
          <w:color w:val="auto"/>
        </w:rPr>
        <w:t>Our long-term incentive program is comprised of a mix of RSUs and PRSUs.</w:t>
      </w:r>
    </w:p>
    <w:p>
      <w:pPr>
        <w:spacing w:after="0" w:line="113" w:lineRule="exact"/>
        <w:rPr>
          <w:rFonts w:ascii="Arial" w:cs="Arial" w:eastAsia="Arial" w:hAnsi="Arial"/>
          <w:sz w:val="16"/>
          <w:szCs w:val="16"/>
          <w:color w:val="005388"/>
        </w:rPr>
      </w:pPr>
    </w:p>
    <w:p>
      <w:pPr>
        <w:ind w:left="620" w:hanging="207"/>
        <w:spacing w:after="0"/>
        <w:tabs>
          <w:tab w:leader="none" w:pos="620" w:val="left"/>
        </w:tabs>
        <w:numPr>
          <w:ilvl w:val="1"/>
          <w:numId w:val="43"/>
        </w:numPr>
        <w:rPr>
          <w:rFonts w:ascii="Arial" w:cs="Arial" w:eastAsia="Arial" w:hAnsi="Arial"/>
          <w:sz w:val="16"/>
          <w:szCs w:val="16"/>
          <w:color w:val="005388"/>
        </w:rPr>
      </w:pPr>
      <w:r>
        <w:rPr>
          <w:rFonts w:ascii="Arial" w:cs="Arial" w:eastAsia="Arial" w:hAnsi="Arial"/>
          <w:sz w:val="16"/>
          <w:szCs w:val="16"/>
          <w:color w:val="auto"/>
        </w:rPr>
        <w:t>RSUs vest over three years and promote a long-term focus for our NEOs.</w:t>
      </w:r>
    </w:p>
    <w:p>
      <w:pPr>
        <w:spacing w:after="0" w:line="126" w:lineRule="exact"/>
        <w:rPr>
          <w:rFonts w:ascii="Arial" w:cs="Arial" w:eastAsia="Arial" w:hAnsi="Arial"/>
          <w:sz w:val="16"/>
          <w:szCs w:val="16"/>
          <w:color w:val="005388"/>
        </w:rPr>
      </w:pPr>
    </w:p>
    <w:p>
      <w:pPr>
        <w:ind w:left="660" w:hanging="247"/>
        <w:spacing w:after="0" w:line="286" w:lineRule="auto"/>
        <w:tabs>
          <w:tab w:leader="none" w:pos="622" w:val="left"/>
        </w:tabs>
        <w:numPr>
          <w:ilvl w:val="1"/>
          <w:numId w:val="43"/>
        </w:numPr>
        <w:rPr>
          <w:rFonts w:ascii="Arial" w:cs="Arial" w:eastAsia="Arial" w:hAnsi="Arial"/>
          <w:sz w:val="16"/>
          <w:szCs w:val="16"/>
          <w:color w:val="005388"/>
        </w:rPr>
      </w:pPr>
      <w:r>
        <w:rPr>
          <w:rFonts w:ascii="Arial" w:cs="Arial" w:eastAsia="Arial" w:hAnsi="Arial"/>
          <w:sz w:val="16"/>
          <w:szCs w:val="16"/>
          <w:color w:val="auto"/>
        </w:rPr>
        <w:t>PRSUs vest over three years and are measured against strong cumulative book-value per share performance goals, which further ties our executive compensation to the Company's long-term performance and incentivizes our NEOs to achieve sustainable long-term returns.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05388"/>
        </w:rPr>
        <w:t>Stockholder Say-on-Pay Votes</w:t>
      </w:r>
    </w:p>
    <w:p>
      <w:pPr>
        <w:spacing w:after="0" w:line="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are holding an annual say-on-pay advisory vote in this proxy statement as proposal Item 2. We value stockholder input and see Item 2 as giving our stockholders the opportunity to express their views on the design and effectiveness of our executive compensation program. The Compensation Committee takes into consideration stockholder input, including the outcome of the say-on-pay vote, when it reviews the Company's compensation philosophy and plan design. At our 2025 Annual Meeting, approximately 93.5% of the votes cast were in favor of the advisory vote to approve our executive compensation paid to our NEOs in 2024, and we've received over 90% approval of our executive compensation in each of the prior three years.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At our three most recent annual meetings, approximately 93.5%, 94.5% and 90.2% of the votes cast were in favor of the advisory vote to approve our executive compensation paid to our NEOs in 2024, 2023 and 2022, respectively.</w:t>
      </w:r>
    </w:p>
    <w:p>
      <w:pPr>
        <w:spacing w:after="0" w:line="4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We have a history of proactively engaging with and listening to our stockholders and other stakeholders throughout the year because we believe doing so is a fundamental aspect of good corporate governance and makes our business stronger. In 2025, we held more than 100 meetings with stockholders and potential investors to discuss various key corporate matters that included, among others, our executive compensation. See "</w:t>
      </w:r>
      <w:r>
        <w:rPr>
          <w:rFonts w:ascii="Arial" w:cs="Arial" w:eastAsia="Arial" w:hAnsi="Arial"/>
          <w:sz w:val="16"/>
          <w:szCs w:val="16"/>
          <w:i w:val="1"/>
          <w:iCs w:val="1"/>
          <w:color w:val="auto"/>
        </w:rPr>
        <w:t>Item 1 — Election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Corporate Governance and Board Matters — Stockholder Engagement</w:t>
      </w:r>
      <w:r>
        <w:rPr>
          <w:rFonts w:ascii="Arial" w:cs="Arial" w:eastAsia="Arial" w:hAnsi="Arial"/>
          <w:sz w:val="16"/>
          <w:szCs w:val="16"/>
          <w:color w:val="auto"/>
        </w:rPr>
        <w:t>" on page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30</w:t>
      </w:r>
      <w:r>
        <w:rPr>
          <w:rFonts w:ascii="Arial" w:cs="Arial" w:eastAsia="Arial" w:hAnsi="Arial"/>
          <w:sz w:val="16"/>
          <w:szCs w:val="16"/>
          <w:color w:val="auto"/>
        </w:rPr>
        <w:t>.</w:t>
      </w:r>
    </w:p>
    <w:p>
      <w:pPr>
        <w:spacing w:after="0" w:line="10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Following our 2025 Annual Meeting, as it does following each of our annual meetings of stockholders, our Compensation Committee reviewed the vote results and our executive compensation programs and determined that the 2025 programs and compensation opportunity for the current NEOs are both appropriate and aligned with stockholder interests.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Strong Executive Compensation Policies and Practices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maintain strong compensation-related governance policies and practices. Our compensation-related governance policies and practices align our executive compensation with long-term stockholder interests, as further described in "</w:t>
      </w:r>
      <w:r>
        <w:rPr>
          <w:rFonts w:ascii="Arial" w:cs="Arial" w:eastAsia="Arial" w:hAnsi="Arial"/>
          <w:sz w:val="16"/>
          <w:szCs w:val="16"/>
          <w:i w:val="1"/>
          <w:iCs w:val="1"/>
          <w:color w:val="auto"/>
        </w:rPr>
        <w:t>Compensation of Named Executive Officers — 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Elements of Executive Compensation Program — Other Important Governance and Executive Compensation Policies</w:t>
      </w:r>
      <w:r>
        <w:rPr>
          <w:rFonts w:ascii="Arial" w:cs="Arial" w:eastAsia="Arial" w:hAnsi="Arial"/>
          <w:sz w:val="16"/>
          <w:szCs w:val="16"/>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0C2940"/>
        </w:rPr>
        <w:t>Minimum Stock Ownership and Holding Period Requirements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Company's Stock Ownership Policy imposes rigorous stock ownership requirements on our NEOs, with our CEO required to hold Company shares valued at five times his base salary, our Executive Chairman (and founder) required to hold shares valued at 10 times his base salary, and our other NEOs required to hold shares valued at three times their base salary. The Stock Ownership Policy also includes a post-vesting share retention period until such NEO meets the applicable stock ownership threshold. All of our NEOs met our ownership requirements as of December 31, 2025. For more information, see "</w:t>
      </w:r>
      <w:r>
        <w:rPr>
          <w:rFonts w:ascii="Arial" w:cs="Arial" w:eastAsia="Arial" w:hAnsi="Arial"/>
          <w:sz w:val="16"/>
          <w:szCs w:val="16"/>
          <w:i w:val="1"/>
          <w:iCs w:val="1"/>
          <w:color w:val="auto"/>
        </w:rPr>
        <w:t>Compensation of Named Executive Officers — Compensation Discussion and Analysis — Elements of Executive Compensation Program — Our Process</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for Executive Compensation — Other Important Governance and Executive Compensation Policies — Minimum Stock Ownership and Holding Period (Executive Officers).</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C2940"/>
        </w:rPr>
        <w:t>Absolute Prohibition of Hedging and Pledging</w:t>
      </w:r>
    </w:p>
    <w:p>
      <w:pPr>
        <w:spacing w:after="0" w:line="3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policies prohibit our directors and NEOs from engaging in all forms of speculative hedging and pledging transactions involving the Company's equity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Clawback Policy</w:t>
      </w:r>
    </w:p>
    <w:p>
      <w:pPr>
        <w:spacing w:after="0" w:line="3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has adopted a robust Compensation Recovery Policy (Clawback Policy), to comply with the SEC’s regulations on the recovery of erroneously awarded compensation and NASDAQ Rule 5608. The Clawback Policy provides for the recovery of excess incentive-based compensation paid to any executive officer that is based upon the achievement of</w:t>
      </w:r>
    </w:p>
    <w:p>
      <w:pPr>
        <w:spacing w:after="0" w:line="38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38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financial results for which the Company is required to prepare an accounting restatement. A copy of the Clawback Policy is included as Exhibit 97.1 to our Annual Report on Form 10-K for the fiscal year ended December 31, 2025.</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0C2940"/>
        </w:rPr>
        <w:t>Compensation Consultant Performs No Additional Services for Us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Consultant is retained by the Compensation Committee and performs no other services for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0C2940"/>
        </w:rPr>
        <w:t>Compensation Risk Evaluation</w:t>
      </w:r>
    </w:p>
    <w:p>
      <w:pPr>
        <w:spacing w:after="0" w:line="3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Annually, the Compensation Committee performs an executive compensation risk evaluation that is designed to ensure that our compensation program does not motivate excessive risk-taking and is not reasonably likely to cause a material adverse effect on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Change-in-Control Severance Plan (CIC Severance Plan) Provides Limited Benefits</w:t>
      </w:r>
    </w:p>
    <w:p>
      <w:pPr>
        <w:spacing w:after="0" w:line="3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"double-trigger" (meaning both a change in control and severance qualifying termination of employment) is required before any severance benefits may be paid under the CIC Severance Plan.</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No Tax Gross-Ups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We do not provide golden parachute excise tax or other income tax gross-ups to any of our NEOs.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005388"/>
        </w:rPr>
        <w:t>Compensation of our President and CEO in 2025</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Mr. Pollitzer has served as the Company’s President and CEO since January 1, 2022, after serving as the Company’s CFO since 2017. In determining Mr. Pollitzer’s 2025 compensation, the Compensation Committee considered multiple market inputs, including the pay levels at other MI companies, broader peer group pay levels, industry survey pay data and the Company's strong performance during Mr. Pollitzer's tenure. Effective January 1, 2025, Mr. Pollitzer’s annual base salary was $975,000, with a target annual bonus opportunity of 175% of his base salary. The Compensation Committee granted Mr. Pollitzer restricted stock awards with an aggregate grant data fair value of $6.337 million split 60:40 between PRSUs and RSUs. The increased proportion of PRSUs reflects our continued commitment to our pay-for-performance philosophy and long-term stockholder value creation.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Mr. Pollitzer's performance-based RSUs are eligible to vest after three years based on meeting cumulative performance metrics set forth in his award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agreement. See "</w:t>
      </w:r>
      <w:r>
        <w:rPr>
          <w:rFonts w:ascii="Arial" w:cs="Arial" w:eastAsia="Arial" w:hAnsi="Arial"/>
          <w:sz w:val="16"/>
          <w:szCs w:val="16"/>
          <w:i w:val="1"/>
          <w:iCs w:val="1"/>
          <w:color w:val="auto"/>
        </w:rPr>
        <w:t>Compensation of Named Executive Officers — Compensation Discussion and Analysis — Elements of Executive Compensation Program</w:t>
      </w:r>
    </w:p>
    <w:p>
      <w:pPr>
        <w:spacing w:after="0" w:line="9" w:lineRule="exact"/>
        <w:rPr>
          <w:sz w:val="20"/>
          <w:szCs w:val="20"/>
          <w:color w:val="auto"/>
        </w:rPr>
      </w:pPr>
    </w:p>
    <w:p>
      <w:pPr>
        <w:spacing w:after="0" w:line="283" w:lineRule="auto"/>
        <w:rPr>
          <w:sz w:val="20"/>
          <w:szCs w:val="20"/>
          <w:color w:val="auto"/>
        </w:rPr>
      </w:pPr>
      <w:r>
        <w:rPr>
          <w:rFonts w:ascii="Arial" w:cs="Arial" w:eastAsia="Arial" w:hAnsi="Arial"/>
          <w:sz w:val="16"/>
          <w:szCs w:val="16"/>
          <w:i w:val="1"/>
          <w:iCs w:val="1"/>
          <w:color w:val="auto"/>
        </w:rPr>
        <w:t>— Compensation Program Details — Long Term Incentive Program &amp; BVPS Growth Targets</w:t>
      </w:r>
      <w:r>
        <w:rPr>
          <w:rFonts w:ascii="Arial" w:cs="Arial" w:eastAsia="Arial" w:hAnsi="Arial"/>
          <w:sz w:val="16"/>
          <w:szCs w:val="16"/>
          <w:color w:val="auto"/>
        </w:rPr>
        <w:t>" for a description of the performance metrics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2025 performance-based RSU grants.</w:t>
      </w:r>
    </w:p>
    <w:p>
      <w:pPr>
        <w:spacing w:after="0" w:line="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Pollitzer's RSUs are eligible to vest 40% on each of the first and second anniversaries of the grant date, with the remaining 20% eligible to vest on the third anniversary of the grant date.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illustrates the components of Mr. Pollitzer's total annualized target compensation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114935</wp:posOffset>
            </wp:positionV>
            <wp:extent cx="5760720" cy="131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6072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0C2940"/>
        </w:rPr>
        <w:t>OUR PROCESS FOR EXECUTIVE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5388"/>
        </w:rPr>
        <w:t>Role of the Compensation Committee</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Compensation Committee, which consists solely of independent directors, is responsible for overseeing the development and administration of our executive compensation program. The Compensation Committee designs new compensation arrangements for promoted or newly hired executive officers, and oversees retirement and separation arrangements for departing executive officers. The Compensation Committee, with the help of its Compensation Consultant (as described below), regularly reviews market pay and performance levels, as well as general executive compensation trends and practices to demonstrate that proper benchmarking is done for a variety of compensation-related topics. The Compensation Committee evaluates, within the context of the broader economy, Company performance against its operation plans, budgets, and pay and performance levels at comparable companies. The Compensation Committee retains complete and final discretion in determining the terms and payment of annual incentive awards and determines the vesting of our NEOs' performance awards, including any PRSUs. In general, the Compensation Committee evaluates the Company's performance in light of pre-established objectives that are subject to adjustment under the annual bonus plan and makes its final determination of annual bonus awards and achievement of awards earned based on long-term performance in the first quarter following the end of each performance period.</w:t>
      </w:r>
    </w:p>
    <w:p>
      <w:pPr>
        <w:spacing w:after="0" w:line="340"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39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Compensation Committee maintains an annual agenda to help ensure that it discharges its duties in a thoughtful and timely manner. Each meeting has a primary purpose, and as a general practice, the Compensation Committee makes significant decisions over multiple meetings by discussing conceptual matters, reviewing preliminary recommendations, discussing recommendations among the Compensation Committee members, and reviewing final recommendations before acting. The Compensation Committee also holds special meetings as necessary in order to perform its duties. In 2025, the Compensation Committee met six times, devoting significant time and attention to management compensation.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05388"/>
        </w:rPr>
        <w:t>Role of the Compensation Consultant</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used the services of Semler Brossy to assist it in evaluating executive and director compensation programs and levels during 2025. Semler Brossy assisted the Compensation Committee with evaluating compensation for non-employee members of our Board and our NEOs, including long-term and short-term annual incentive award design; an assessment of the risks associated with the Company's overall compensation policies and practices; and understanding trends in executive and board compensation. In addition, Semler Brossy provided the Compensation Committee with data on compensation levels and programs, including at peer companies, to ensure that our executive officers' total compensation opportunities were market competitive. Semler Brossy does not provide any other services directly to the Company. The Compensation Committee has assessed Semler Brossy's independence, taking into consideration the factors listed in NASDAQ Listing Rule 5605(d)(3)(D), and has determined that Semler Brossy's work with the Company does not raise any conflicts of interest.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005388"/>
        </w:rPr>
        <w:t>Role of the CEO</w:t>
      </w:r>
    </w:p>
    <w:p>
      <w:pPr>
        <w:spacing w:after="0" w:line="7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part of its review and determination of the Company's executive compensation objectives, philosophy, programs and decisions, the Compensation Committee works with and receives advice and recommendations from our CEO. At the beginning of each year, our CEO oversees the development of corporate and individual objectives for purposes of short- and long-term compensation of each other NEO (other than our Executive Chairman, who reports to the Board). These objectives are derived from our corporate business plan and include both quantitative measurements and qualitative considerations selected to reinforce and enhance achievement of our operating and growth objectives. At the end of each year, our CEO reviews with the Compensation Committee the achievement of objectives and the performance of our other NEOs who report to him and presents recommendations regarding adjustments to those NEOs' compensation to ensure alignment of stockholder interests with our objectives, as well as to reward the executive for performance. The Compensation Committee considers our CEO's recommendations, together with a review conducted by the Compensation Consultant, and makes an independent determination regarding executive compensation. Based on our CEO's day-to-day management of our NEOs, the CEO is well-positioned to evaluate the performance of each NEO who reports to him and make recommendations as to each NEO's overall performance and compensation. Our CEO attends all Committee meetings, other than those portions that are held in executive session, except where his attendance is requested, and is not present during any deliberations on matters involving CEO compensation.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005388"/>
        </w:rPr>
        <w:t>Market Data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executive compensation philosophy emphasizes competitive objectives for executive pay. The Compensation Committee does not benchmark to a specific percentile and prefers a flexible target range in order to be mindful of individual differences such as tenure and performance. Elements of compensation that are benchmarked, separately and in the aggregate, include base salary, cash-based annual incentive awards and long-term equity incentive awards.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considers several factors when reviewing companies for inclusion in the compensation peer group: size (as measured by revenue and market capitalization), recent growth patterns, geographical scope, and the companies with which we compete for executive talent. While the Compensation Committee considers peer group data collectively, it focuses on the Company's direct pure-play competitors within the MI industry: Enact Holdings, Inc., Essent Group Ltd., MGIC Investment Corporation, and Radian Group, Inc. In addition to proxy disclosed data from the peer group, the Compensation Committee also uses relevant survey information from companies of similar size and geographic scope. These additional data points played a role in the Compensation Committee's competitive benchmarking approach given the Company's size and the limited number of direct business comparators within the MI industry.</w:t>
      </w:r>
    </w:p>
    <w:p>
      <w:pPr>
        <w:spacing w:after="0" w:line="334"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Our peer group for fiscal year 2025 remained unchanged from the prior year and consists of the companies listed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 w:type="dxa"/>
            <w:vAlign w:val="bottom"/>
            <w:shd w:val="clear" w:color="auto" w:fill="0C2940"/>
          </w:tcPr>
          <w:p>
            <w:pPr>
              <w:spacing w:after="0"/>
              <w:rPr>
                <w:sz w:val="16"/>
                <w:szCs w:val="16"/>
                <w:color w:val="auto"/>
              </w:rPr>
            </w:pPr>
          </w:p>
        </w:tc>
        <w:tc>
          <w:tcPr>
            <w:tcW w:w="3100" w:type="dxa"/>
            <w:vAlign w:val="bottom"/>
            <w:shd w:val="clear" w:color="auto" w:fill="0C2940"/>
          </w:tcPr>
          <w:p>
            <w:pPr>
              <w:spacing w:after="0"/>
              <w:rPr>
                <w:sz w:val="16"/>
                <w:szCs w:val="16"/>
                <w:color w:val="auto"/>
              </w:rPr>
            </w:pPr>
          </w:p>
        </w:tc>
        <w:tc>
          <w:tcPr>
            <w:tcW w:w="2120" w:type="dxa"/>
            <w:vAlign w:val="bottom"/>
            <w:gridSpan w:val="3"/>
            <w:vMerge w:val="restart"/>
            <w:shd w:val="clear" w:color="auto" w:fill="0C2940"/>
          </w:tcPr>
          <w:p>
            <w:pPr>
              <w:jc w:val="center"/>
              <w:ind w:left="188"/>
              <w:spacing w:after="0"/>
              <w:rPr>
                <w:sz w:val="20"/>
                <w:szCs w:val="20"/>
                <w:color w:val="auto"/>
              </w:rPr>
            </w:pPr>
            <w:r>
              <w:rPr>
                <w:rFonts w:ascii="Arial" w:cs="Arial" w:eastAsia="Arial" w:hAnsi="Arial"/>
                <w:sz w:val="14"/>
                <w:szCs w:val="14"/>
                <w:color w:val="FFFFFF"/>
              </w:rPr>
              <w:t>MORTGAGE INSURER</w:t>
            </w:r>
          </w:p>
        </w:tc>
        <w:tc>
          <w:tcPr>
            <w:tcW w:w="1140" w:type="dxa"/>
            <w:vAlign w:val="bottom"/>
            <w:gridSpan w:val="3"/>
            <w:vMerge w:val="restart"/>
            <w:shd w:val="clear" w:color="auto" w:fill="0C2940"/>
          </w:tcPr>
          <w:p>
            <w:pPr>
              <w:jc w:val="center"/>
              <w:spacing w:after="0"/>
              <w:rPr>
                <w:sz w:val="20"/>
                <w:szCs w:val="20"/>
                <w:color w:val="auto"/>
              </w:rPr>
            </w:pPr>
            <w:r>
              <w:rPr>
                <w:rFonts w:ascii="Arial" w:cs="Arial" w:eastAsia="Arial" w:hAnsi="Arial"/>
                <w:sz w:val="14"/>
                <w:szCs w:val="14"/>
                <w:color w:val="FFFFFF"/>
              </w:rPr>
              <w:t>CHOSE NMI</w:t>
            </w:r>
          </w:p>
        </w:tc>
        <w:tc>
          <w:tcPr>
            <w:tcW w:w="1820" w:type="dxa"/>
            <w:vAlign w:val="bottom"/>
            <w:gridSpan w:val="3"/>
            <w:shd w:val="clear" w:color="auto" w:fill="0C2940"/>
          </w:tcPr>
          <w:p>
            <w:pPr>
              <w:jc w:val="center"/>
              <w:spacing w:after="0"/>
              <w:rPr>
                <w:sz w:val="20"/>
                <w:szCs w:val="20"/>
                <w:color w:val="auto"/>
              </w:rPr>
            </w:pPr>
            <w:r>
              <w:rPr>
                <w:rFonts w:ascii="Arial" w:cs="Arial" w:eastAsia="Arial" w:hAnsi="Arial"/>
                <w:sz w:val="14"/>
                <w:szCs w:val="14"/>
                <w:color w:val="FFFFFF"/>
              </w:rPr>
              <w:t>BROADER EXPOSURE</w:t>
            </w:r>
          </w:p>
        </w:tc>
        <w:tc>
          <w:tcPr>
            <w:tcW w:w="2940" w:type="dxa"/>
            <w:vAlign w:val="bottom"/>
            <w:shd w:val="clear" w:color="auto" w:fill="0C2940"/>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20" w:type="dxa"/>
            <w:vAlign w:val="bottom"/>
            <w:shd w:val="clear" w:color="auto" w:fill="0C2940"/>
          </w:tcPr>
          <w:p>
            <w:pPr>
              <w:spacing w:after="0"/>
              <w:rPr>
                <w:sz w:val="13"/>
                <w:szCs w:val="13"/>
                <w:color w:val="auto"/>
              </w:rPr>
            </w:pPr>
          </w:p>
        </w:tc>
        <w:tc>
          <w:tcPr>
            <w:tcW w:w="3100" w:type="dxa"/>
            <w:vAlign w:val="bottom"/>
            <w:shd w:val="clear" w:color="auto" w:fill="0C2940"/>
          </w:tcPr>
          <w:p>
            <w:pPr>
              <w:spacing w:after="0"/>
              <w:rPr>
                <w:sz w:val="13"/>
                <w:szCs w:val="13"/>
                <w:color w:val="auto"/>
              </w:rPr>
            </w:pPr>
          </w:p>
        </w:tc>
        <w:tc>
          <w:tcPr>
            <w:tcW w:w="2120" w:type="dxa"/>
            <w:vAlign w:val="bottom"/>
            <w:gridSpan w:val="3"/>
            <w:vMerge w:val="continue"/>
            <w:shd w:val="clear" w:color="auto" w:fill="0C2940"/>
          </w:tcPr>
          <w:p>
            <w:pPr>
              <w:spacing w:after="0"/>
              <w:rPr>
                <w:sz w:val="13"/>
                <w:szCs w:val="13"/>
                <w:color w:val="auto"/>
              </w:rPr>
            </w:pPr>
          </w:p>
        </w:tc>
        <w:tc>
          <w:tcPr>
            <w:tcW w:w="1140" w:type="dxa"/>
            <w:vAlign w:val="bottom"/>
            <w:gridSpan w:val="3"/>
            <w:vMerge w:val="continue"/>
            <w:shd w:val="clear" w:color="auto" w:fill="0C2940"/>
          </w:tcPr>
          <w:p>
            <w:pPr>
              <w:spacing w:after="0"/>
              <w:rPr>
                <w:sz w:val="13"/>
                <w:szCs w:val="13"/>
                <w:color w:val="auto"/>
              </w:rPr>
            </w:pPr>
          </w:p>
        </w:tc>
        <w:tc>
          <w:tcPr>
            <w:tcW w:w="1820" w:type="dxa"/>
            <w:vAlign w:val="bottom"/>
            <w:gridSpan w:val="3"/>
            <w:shd w:val="clear" w:color="auto" w:fill="0C2940"/>
          </w:tcPr>
          <w:p>
            <w:pPr>
              <w:jc w:val="center"/>
              <w:spacing w:after="0" w:line="159" w:lineRule="exact"/>
              <w:rPr>
                <w:sz w:val="20"/>
                <w:szCs w:val="20"/>
                <w:color w:val="auto"/>
              </w:rPr>
            </w:pPr>
            <w:r>
              <w:rPr>
                <w:rFonts w:ascii="Arial" w:cs="Arial" w:eastAsia="Arial" w:hAnsi="Arial"/>
                <w:sz w:val="14"/>
                <w:szCs w:val="14"/>
                <w:color w:val="FFFFFF"/>
              </w:rPr>
              <w:t>TO INSURANCE AND</w:t>
            </w:r>
          </w:p>
        </w:tc>
        <w:tc>
          <w:tcPr>
            <w:tcW w:w="2940" w:type="dxa"/>
            <w:vAlign w:val="bottom"/>
            <w:shd w:val="clear" w:color="auto" w:fill="0C2940"/>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120" w:type="dxa"/>
            <w:vAlign w:val="bottom"/>
            <w:tcBorders>
              <w:bottom w:val="single" w:sz="8" w:color="0C2940"/>
            </w:tcBorders>
            <w:shd w:val="clear" w:color="auto" w:fill="0C2940"/>
          </w:tcPr>
          <w:p>
            <w:pPr>
              <w:spacing w:after="0"/>
              <w:rPr>
                <w:sz w:val="21"/>
                <w:szCs w:val="21"/>
                <w:color w:val="auto"/>
              </w:rPr>
            </w:pPr>
          </w:p>
        </w:tc>
        <w:tc>
          <w:tcPr>
            <w:tcW w:w="3100" w:type="dxa"/>
            <w:vAlign w:val="bottom"/>
            <w:tcBorders>
              <w:bottom w:val="single" w:sz="8" w:color="0C2940"/>
            </w:tcBorders>
            <w:shd w:val="clear" w:color="auto" w:fill="0C2940"/>
          </w:tcPr>
          <w:p>
            <w:pPr>
              <w:ind w:left="20"/>
              <w:spacing w:after="0"/>
              <w:rPr>
                <w:sz w:val="20"/>
                <w:szCs w:val="20"/>
                <w:color w:val="auto"/>
              </w:rPr>
            </w:pPr>
            <w:r>
              <w:rPr>
                <w:rFonts w:ascii="Arial" w:cs="Arial" w:eastAsia="Arial" w:hAnsi="Arial"/>
                <w:sz w:val="14"/>
                <w:szCs w:val="14"/>
                <w:color w:val="FFFFFF"/>
              </w:rPr>
              <w:t>NMI 2025 PEER GROUP</w:t>
            </w:r>
          </w:p>
        </w:tc>
        <w:tc>
          <w:tcPr>
            <w:tcW w:w="2120" w:type="dxa"/>
            <w:vAlign w:val="bottom"/>
            <w:tcBorders>
              <w:bottom w:val="single" w:sz="8" w:color="0C2940"/>
            </w:tcBorders>
            <w:gridSpan w:val="3"/>
            <w:shd w:val="clear" w:color="auto" w:fill="0C2940"/>
          </w:tcPr>
          <w:p>
            <w:pPr>
              <w:jc w:val="center"/>
              <w:ind w:left="188"/>
              <w:spacing w:after="0"/>
              <w:rPr>
                <w:sz w:val="20"/>
                <w:szCs w:val="20"/>
                <w:color w:val="auto"/>
              </w:rPr>
            </w:pPr>
            <w:r>
              <w:rPr>
                <w:rFonts w:ascii="Arial" w:cs="Arial" w:eastAsia="Arial" w:hAnsi="Arial"/>
                <w:sz w:val="14"/>
                <w:szCs w:val="14"/>
                <w:color w:val="FFFFFF"/>
              </w:rPr>
              <w:t>DIRECT COMPETITOR</w:t>
            </w:r>
          </w:p>
        </w:tc>
        <w:tc>
          <w:tcPr>
            <w:tcW w:w="1140" w:type="dxa"/>
            <w:vAlign w:val="bottom"/>
            <w:tcBorders>
              <w:bottom w:val="single" w:sz="8" w:color="0C2940"/>
            </w:tcBorders>
            <w:gridSpan w:val="3"/>
            <w:shd w:val="clear" w:color="auto" w:fill="0C2940"/>
          </w:tcPr>
          <w:p>
            <w:pPr>
              <w:jc w:val="center"/>
              <w:spacing w:after="0"/>
              <w:rPr>
                <w:sz w:val="20"/>
                <w:szCs w:val="20"/>
                <w:color w:val="auto"/>
              </w:rPr>
            </w:pPr>
            <w:r>
              <w:rPr>
                <w:rFonts w:ascii="Arial" w:cs="Arial" w:eastAsia="Arial" w:hAnsi="Arial"/>
                <w:sz w:val="14"/>
                <w:szCs w:val="14"/>
                <w:color w:val="FFFFFF"/>
                <w:w w:val="98"/>
              </w:rPr>
              <w:t>AS PEER</w:t>
            </w:r>
            <w:r>
              <w:rPr>
                <w:rFonts w:ascii="Arial" w:cs="Arial" w:eastAsia="Arial" w:hAnsi="Arial"/>
                <w:sz w:val="18"/>
                <w:szCs w:val="18"/>
                <w:color w:val="FFFFFF"/>
                <w:w w:val="98"/>
                <w:vertAlign w:val="superscript"/>
              </w:rPr>
              <w:t>(1)</w:t>
            </w:r>
          </w:p>
        </w:tc>
        <w:tc>
          <w:tcPr>
            <w:tcW w:w="1820" w:type="dxa"/>
            <w:vAlign w:val="bottom"/>
            <w:tcBorders>
              <w:bottom w:val="single" w:sz="8" w:color="0C2940"/>
            </w:tcBorders>
            <w:gridSpan w:val="3"/>
            <w:shd w:val="clear" w:color="auto" w:fill="0C2940"/>
          </w:tcPr>
          <w:p>
            <w:pPr>
              <w:jc w:val="center"/>
              <w:spacing w:after="0"/>
              <w:rPr>
                <w:sz w:val="20"/>
                <w:szCs w:val="20"/>
                <w:color w:val="auto"/>
              </w:rPr>
            </w:pPr>
            <w:r>
              <w:rPr>
                <w:rFonts w:ascii="Arial" w:cs="Arial" w:eastAsia="Arial" w:hAnsi="Arial"/>
                <w:sz w:val="14"/>
                <w:szCs w:val="14"/>
                <w:color w:val="FFFFFF"/>
              </w:rPr>
              <w:t>REAL ESTATE</w:t>
            </w:r>
          </w:p>
        </w:tc>
        <w:tc>
          <w:tcPr>
            <w:tcW w:w="2940" w:type="dxa"/>
            <w:vAlign w:val="bottom"/>
            <w:tcBorders>
              <w:bottom w:val="single" w:sz="8" w:color="0C2940"/>
            </w:tcBorders>
            <w:shd w:val="clear" w:color="auto" w:fill="0C2940"/>
          </w:tcPr>
          <w:p>
            <w:pPr>
              <w:ind w:left="100"/>
              <w:spacing w:after="0"/>
              <w:rPr>
                <w:sz w:val="20"/>
                <w:szCs w:val="20"/>
                <w:color w:val="auto"/>
              </w:rPr>
            </w:pPr>
            <w:r>
              <w:rPr>
                <w:rFonts w:ascii="Arial" w:cs="Arial" w:eastAsia="Arial" w:hAnsi="Arial"/>
                <w:sz w:val="14"/>
                <w:szCs w:val="14"/>
                <w:color w:val="FFFFFF"/>
              </w:rPr>
              <w:t>BUSINESS</w:t>
            </w: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Ambac Financial Group, Inc.</w:t>
            </w:r>
          </w:p>
        </w:tc>
        <w:tc>
          <w:tcPr>
            <w:tcW w:w="116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shd w:val="clear" w:color="auto" w:fill="F5F5F5"/>
          </w:tcPr>
          <w:p>
            <w:pPr>
              <w:spacing w:after="0"/>
              <w:rPr>
                <w:sz w:val="14"/>
                <w:szCs w:val="14"/>
                <w:color w:val="auto"/>
              </w:rPr>
            </w:pPr>
          </w:p>
        </w:tc>
        <w:tc>
          <w:tcPr>
            <w:tcW w:w="54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Property &amp; Casualty Insurance</w:t>
            </w:r>
          </w:p>
        </w:tc>
        <w:tc>
          <w:tcPr>
            <w:tcW w:w="0" w:type="dxa"/>
            <w:vAlign w:val="bottom"/>
          </w:tcPr>
          <w:p>
            <w:pPr>
              <w:spacing w:after="0"/>
              <w:rPr>
                <w:sz w:val="1"/>
                <w:szCs w:val="1"/>
                <w:color w:val="auto"/>
              </w:rPr>
            </w:pPr>
          </w:p>
        </w:tc>
      </w:tr>
      <w:tr>
        <w:trPr>
          <w:trHeight w:val="126"/>
        </w:trPr>
        <w:tc>
          <w:tcPr>
            <w:tcW w:w="120" w:type="dxa"/>
            <w:vAlign w:val="bottom"/>
            <w:tcBorders>
              <w:bottom w:val="single" w:sz="8" w:color="F5F5F5"/>
            </w:tcBorders>
            <w:shd w:val="clear" w:color="auto" w:fill="F5F5F5"/>
          </w:tcPr>
          <w:p>
            <w:pPr>
              <w:spacing w:after="0"/>
              <w:rPr>
                <w:sz w:val="10"/>
                <w:szCs w:val="10"/>
                <w:color w:val="auto"/>
              </w:rPr>
            </w:pPr>
          </w:p>
        </w:tc>
        <w:tc>
          <w:tcPr>
            <w:tcW w:w="3100" w:type="dxa"/>
            <w:vAlign w:val="bottom"/>
            <w:tcBorders>
              <w:bottom w:val="single" w:sz="8" w:color="F5F5F5"/>
            </w:tcBorders>
            <w:vMerge w:val="continue"/>
            <w:shd w:val="clear" w:color="auto" w:fill="F5F5F5"/>
          </w:tcPr>
          <w:p>
            <w:pPr>
              <w:spacing w:after="0"/>
              <w:rPr>
                <w:sz w:val="10"/>
                <w:szCs w:val="10"/>
                <w:color w:val="auto"/>
              </w:rPr>
            </w:pPr>
          </w:p>
        </w:tc>
        <w:tc>
          <w:tcPr>
            <w:tcW w:w="116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880" w:type="dxa"/>
            <w:vAlign w:val="bottom"/>
            <w:tcBorders>
              <w:bottom w:val="single" w:sz="8" w:color="F5F5F5"/>
            </w:tcBorders>
            <w:shd w:val="clear" w:color="auto" w:fill="F5F5F5"/>
          </w:tcPr>
          <w:p>
            <w:pPr>
              <w:spacing w:after="0"/>
              <w:rPr>
                <w:sz w:val="10"/>
                <w:szCs w:val="10"/>
                <w:color w:val="auto"/>
              </w:rPr>
            </w:pPr>
          </w:p>
        </w:tc>
        <w:tc>
          <w:tcPr>
            <w:tcW w:w="54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520" w:type="dxa"/>
            <w:vAlign w:val="bottom"/>
            <w:tcBorders>
              <w:bottom w:val="single" w:sz="8" w:color="F5F5F5"/>
            </w:tcBorders>
            <w:shd w:val="clear" w:color="auto" w:fill="F5F5F5"/>
          </w:tcPr>
          <w:p>
            <w:pPr>
              <w:spacing w:after="0"/>
              <w:rPr>
                <w:sz w:val="10"/>
                <w:szCs w:val="10"/>
                <w:color w:val="auto"/>
              </w:rPr>
            </w:pPr>
          </w:p>
        </w:tc>
        <w:tc>
          <w:tcPr>
            <w:tcW w:w="900" w:type="dxa"/>
            <w:vAlign w:val="bottom"/>
            <w:tcBorders>
              <w:bottom w:val="single" w:sz="8" w:color="F5F5F5"/>
            </w:tcBorders>
            <w:vMerge w:val="continue"/>
            <w:shd w:val="clear" w:color="auto" w:fill="F5F5F5"/>
          </w:tcPr>
          <w:p>
            <w:pPr>
              <w:spacing w:after="0"/>
              <w:rPr>
                <w:sz w:val="10"/>
                <w:szCs w:val="10"/>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10"/>
                <w:szCs w:val="10"/>
                <w:color w:val="auto"/>
              </w:rPr>
            </w:pPr>
          </w:p>
        </w:tc>
        <w:tc>
          <w:tcPr>
            <w:tcW w:w="2940" w:type="dxa"/>
            <w:vAlign w:val="bottom"/>
            <w:tcBorders>
              <w:bottom w:val="single" w:sz="8" w:color="F5F5F5"/>
            </w:tcBorders>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F5F5F5"/>
          </w:tcPr>
          <w:p>
            <w:pPr>
              <w:spacing w:after="0"/>
              <w:rPr>
                <w:sz w:val="11"/>
                <w:szCs w:val="11"/>
                <w:color w:val="auto"/>
              </w:rPr>
            </w:pPr>
          </w:p>
        </w:tc>
        <w:tc>
          <w:tcPr>
            <w:tcW w:w="3100" w:type="dxa"/>
            <w:vAlign w:val="bottom"/>
            <w:shd w:val="clear" w:color="auto" w:fill="F5F5F5"/>
          </w:tcPr>
          <w:p>
            <w:pPr>
              <w:spacing w:after="0"/>
              <w:rPr>
                <w:sz w:val="11"/>
                <w:szCs w:val="11"/>
                <w:color w:val="auto"/>
              </w:rPr>
            </w:pPr>
          </w:p>
        </w:tc>
        <w:tc>
          <w:tcPr>
            <w:tcW w:w="116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880" w:type="dxa"/>
            <w:vAlign w:val="bottom"/>
            <w:shd w:val="clear" w:color="auto" w:fill="F5F5F5"/>
          </w:tcPr>
          <w:p>
            <w:pPr>
              <w:spacing w:after="0"/>
              <w:rPr>
                <w:sz w:val="11"/>
                <w:szCs w:val="11"/>
                <w:color w:val="auto"/>
              </w:rPr>
            </w:pPr>
          </w:p>
        </w:tc>
        <w:tc>
          <w:tcPr>
            <w:tcW w:w="54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520" w:type="dxa"/>
            <w:vAlign w:val="bottom"/>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820" w:type="dxa"/>
            <w:vAlign w:val="bottom"/>
            <w:shd w:val="clear" w:color="auto" w:fill="F5F5F5"/>
          </w:tcPr>
          <w:p>
            <w:pPr>
              <w:spacing w:after="0"/>
              <w:rPr>
                <w:sz w:val="11"/>
                <w:szCs w:val="11"/>
                <w:color w:val="auto"/>
              </w:rPr>
            </w:pPr>
          </w:p>
        </w:tc>
        <w:tc>
          <w:tcPr>
            <w:tcW w:w="2940" w:type="dxa"/>
            <w:vAlign w:val="bottom"/>
            <w:shd w:val="clear" w:color="auto" w:fill="F5F5F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Assured Guaranty Ltd.</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Financial Guaranty Insurer</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Enact Holdings, Inc.</w:t>
            </w:r>
          </w:p>
        </w:tc>
        <w:tc>
          <w:tcPr>
            <w:tcW w:w="116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vMerge w:val="restart"/>
            <w:shd w:val="clear" w:color="auto" w:fill="F5F5F5"/>
          </w:tcPr>
          <w:p>
            <w:pPr>
              <w:spacing w:after="0"/>
              <w:rPr>
                <w:sz w:val="14"/>
                <w:szCs w:val="14"/>
                <w:color w:val="auto"/>
              </w:rPr>
            </w:pPr>
          </w:p>
        </w:tc>
        <w:tc>
          <w:tcPr>
            <w:tcW w:w="54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vMerge w:val="restart"/>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Mortgage Insurer</w:t>
            </w:r>
          </w:p>
        </w:tc>
        <w:tc>
          <w:tcPr>
            <w:tcW w:w="0" w:type="dxa"/>
            <w:vAlign w:val="bottom"/>
          </w:tcPr>
          <w:p>
            <w:pPr>
              <w:spacing w:after="0"/>
              <w:rPr>
                <w:sz w:val="1"/>
                <w:szCs w:val="1"/>
                <w:color w:val="auto"/>
              </w:rPr>
            </w:pPr>
          </w:p>
        </w:tc>
      </w:tr>
      <w:tr>
        <w:trPr>
          <w:trHeight w:val="126"/>
        </w:trPr>
        <w:tc>
          <w:tcPr>
            <w:tcW w:w="120" w:type="dxa"/>
            <w:vAlign w:val="bottom"/>
            <w:tcBorders>
              <w:bottom w:val="single" w:sz="8" w:color="F5F5F5"/>
            </w:tcBorders>
            <w:shd w:val="clear" w:color="auto" w:fill="F5F5F5"/>
          </w:tcPr>
          <w:p>
            <w:pPr>
              <w:spacing w:after="0"/>
              <w:rPr>
                <w:sz w:val="10"/>
                <w:szCs w:val="10"/>
                <w:color w:val="auto"/>
              </w:rPr>
            </w:pPr>
          </w:p>
        </w:tc>
        <w:tc>
          <w:tcPr>
            <w:tcW w:w="3100" w:type="dxa"/>
            <w:vAlign w:val="bottom"/>
            <w:tcBorders>
              <w:bottom w:val="single" w:sz="8" w:color="F5F5F5"/>
            </w:tcBorders>
            <w:vMerge w:val="continue"/>
            <w:shd w:val="clear" w:color="auto" w:fill="F5F5F5"/>
          </w:tcPr>
          <w:p>
            <w:pPr>
              <w:spacing w:after="0"/>
              <w:rPr>
                <w:sz w:val="10"/>
                <w:szCs w:val="10"/>
                <w:color w:val="auto"/>
              </w:rPr>
            </w:pPr>
          </w:p>
        </w:tc>
        <w:tc>
          <w:tcPr>
            <w:tcW w:w="1160" w:type="dxa"/>
            <w:vAlign w:val="bottom"/>
            <w:tcBorders>
              <w:bottom w:val="single" w:sz="8" w:color="F5F5F5"/>
            </w:tcBorders>
            <w:vMerge w:val="continue"/>
            <w:shd w:val="clear" w:color="auto" w:fill="F5F5F5"/>
          </w:tcPr>
          <w:p>
            <w:pPr>
              <w:spacing w:after="0"/>
              <w:rPr>
                <w:sz w:val="10"/>
                <w:szCs w:val="10"/>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80" w:type="dxa"/>
            <w:vAlign w:val="bottom"/>
            <w:tcBorders>
              <w:bottom w:val="single" w:sz="8" w:color="F5F5F5"/>
            </w:tcBorders>
            <w:vMerge w:val="continue"/>
            <w:shd w:val="clear" w:color="auto" w:fill="F5F5F5"/>
          </w:tcPr>
          <w:p>
            <w:pPr>
              <w:spacing w:after="0"/>
              <w:rPr>
                <w:sz w:val="10"/>
                <w:szCs w:val="10"/>
                <w:color w:val="auto"/>
              </w:rPr>
            </w:pPr>
          </w:p>
        </w:tc>
        <w:tc>
          <w:tcPr>
            <w:tcW w:w="540" w:type="dxa"/>
            <w:vAlign w:val="bottom"/>
            <w:tcBorders>
              <w:bottom w:val="single" w:sz="8" w:color="F5F5F5"/>
            </w:tcBorders>
            <w:vMerge w:val="continue"/>
            <w:shd w:val="clear" w:color="auto" w:fill="F5F5F5"/>
          </w:tcPr>
          <w:p>
            <w:pPr>
              <w:spacing w:after="0"/>
              <w:rPr>
                <w:sz w:val="10"/>
                <w:szCs w:val="10"/>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520" w:type="dxa"/>
            <w:vAlign w:val="bottom"/>
            <w:tcBorders>
              <w:bottom w:val="single" w:sz="8" w:color="F5F5F5"/>
            </w:tcBorders>
            <w:vMerge w:val="continue"/>
            <w:shd w:val="clear" w:color="auto" w:fill="F5F5F5"/>
          </w:tcPr>
          <w:p>
            <w:pPr>
              <w:spacing w:after="0"/>
              <w:rPr>
                <w:sz w:val="10"/>
                <w:szCs w:val="10"/>
                <w:color w:val="auto"/>
              </w:rPr>
            </w:pPr>
          </w:p>
        </w:tc>
        <w:tc>
          <w:tcPr>
            <w:tcW w:w="900" w:type="dxa"/>
            <w:vAlign w:val="bottom"/>
            <w:tcBorders>
              <w:bottom w:val="single" w:sz="8" w:color="F5F5F5"/>
            </w:tcBorders>
            <w:vMerge w:val="continue"/>
            <w:shd w:val="clear" w:color="auto" w:fill="F5F5F5"/>
          </w:tcPr>
          <w:p>
            <w:pPr>
              <w:spacing w:after="0"/>
              <w:rPr>
                <w:sz w:val="10"/>
                <w:szCs w:val="10"/>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10"/>
                <w:szCs w:val="10"/>
                <w:color w:val="auto"/>
              </w:rPr>
            </w:pPr>
          </w:p>
        </w:tc>
        <w:tc>
          <w:tcPr>
            <w:tcW w:w="2940" w:type="dxa"/>
            <w:vAlign w:val="bottom"/>
            <w:tcBorders>
              <w:bottom w:val="single" w:sz="8" w:color="F5F5F5"/>
            </w:tcBorders>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0" w:type="dxa"/>
            <w:vAlign w:val="bottom"/>
            <w:shd w:val="clear" w:color="auto" w:fill="F5F5F5"/>
          </w:tcPr>
          <w:p>
            <w:pPr>
              <w:spacing w:after="0"/>
              <w:rPr>
                <w:sz w:val="11"/>
                <w:szCs w:val="11"/>
                <w:color w:val="auto"/>
              </w:rPr>
            </w:pPr>
          </w:p>
        </w:tc>
        <w:tc>
          <w:tcPr>
            <w:tcW w:w="3100" w:type="dxa"/>
            <w:vAlign w:val="bottom"/>
            <w:shd w:val="clear" w:color="auto" w:fill="F5F5F5"/>
          </w:tcPr>
          <w:p>
            <w:pPr>
              <w:spacing w:after="0"/>
              <w:rPr>
                <w:sz w:val="11"/>
                <w:szCs w:val="11"/>
                <w:color w:val="auto"/>
              </w:rPr>
            </w:pPr>
          </w:p>
        </w:tc>
        <w:tc>
          <w:tcPr>
            <w:tcW w:w="116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880" w:type="dxa"/>
            <w:vAlign w:val="bottom"/>
            <w:shd w:val="clear" w:color="auto" w:fill="F5F5F5"/>
          </w:tcPr>
          <w:p>
            <w:pPr>
              <w:spacing w:after="0"/>
              <w:rPr>
                <w:sz w:val="11"/>
                <w:szCs w:val="11"/>
                <w:color w:val="auto"/>
              </w:rPr>
            </w:pPr>
          </w:p>
        </w:tc>
        <w:tc>
          <w:tcPr>
            <w:tcW w:w="54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520" w:type="dxa"/>
            <w:vAlign w:val="bottom"/>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820" w:type="dxa"/>
            <w:vAlign w:val="bottom"/>
            <w:shd w:val="clear" w:color="auto" w:fill="F5F5F5"/>
          </w:tcPr>
          <w:p>
            <w:pPr>
              <w:spacing w:after="0"/>
              <w:rPr>
                <w:sz w:val="11"/>
                <w:szCs w:val="11"/>
                <w:color w:val="auto"/>
              </w:rPr>
            </w:pPr>
          </w:p>
        </w:tc>
        <w:tc>
          <w:tcPr>
            <w:tcW w:w="2940" w:type="dxa"/>
            <w:vAlign w:val="bottom"/>
            <w:shd w:val="clear" w:color="auto" w:fill="F5F5F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Essent Group Ltd.</w:t>
            </w:r>
          </w:p>
        </w:tc>
        <w:tc>
          <w:tcPr>
            <w:tcW w:w="11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restart"/>
          </w:tcPr>
          <w:p>
            <w:pPr>
              <w:spacing w:after="0"/>
              <w:rPr>
                <w:sz w:val="14"/>
                <w:szCs w:val="14"/>
                <w:color w:val="auto"/>
              </w:rPr>
            </w:pPr>
          </w:p>
        </w:tc>
        <w:tc>
          <w:tcPr>
            <w:tcW w:w="5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Mortgage Insurer</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Investors Title Company</w:t>
            </w:r>
          </w:p>
        </w:tc>
        <w:tc>
          <w:tcPr>
            <w:tcW w:w="116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shd w:val="clear" w:color="auto" w:fill="F5F5F5"/>
          </w:tcPr>
          <w:p>
            <w:pPr>
              <w:spacing w:after="0"/>
              <w:rPr>
                <w:sz w:val="14"/>
                <w:szCs w:val="14"/>
                <w:color w:val="auto"/>
              </w:rPr>
            </w:pPr>
          </w:p>
        </w:tc>
        <w:tc>
          <w:tcPr>
            <w:tcW w:w="54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Property &amp; Casualty Insurance</w:t>
            </w:r>
          </w:p>
        </w:tc>
        <w:tc>
          <w:tcPr>
            <w:tcW w:w="0" w:type="dxa"/>
            <w:vAlign w:val="bottom"/>
          </w:tcPr>
          <w:p>
            <w:pPr>
              <w:spacing w:after="0"/>
              <w:rPr>
                <w:sz w:val="1"/>
                <w:szCs w:val="1"/>
                <w:color w:val="auto"/>
              </w:rPr>
            </w:pPr>
          </w:p>
        </w:tc>
      </w:tr>
      <w:tr>
        <w:trPr>
          <w:trHeight w:val="126"/>
        </w:trPr>
        <w:tc>
          <w:tcPr>
            <w:tcW w:w="120" w:type="dxa"/>
            <w:vAlign w:val="bottom"/>
            <w:tcBorders>
              <w:bottom w:val="single" w:sz="8" w:color="F5F5F5"/>
            </w:tcBorders>
            <w:shd w:val="clear" w:color="auto" w:fill="F5F5F5"/>
          </w:tcPr>
          <w:p>
            <w:pPr>
              <w:spacing w:after="0"/>
              <w:rPr>
                <w:sz w:val="10"/>
                <w:szCs w:val="10"/>
                <w:color w:val="auto"/>
              </w:rPr>
            </w:pPr>
          </w:p>
        </w:tc>
        <w:tc>
          <w:tcPr>
            <w:tcW w:w="3100" w:type="dxa"/>
            <w:vAlign w:val="bottom"/>
            <w:tcBorders>
              <w:bottom w:val="single" w:sz="8" w:color="F5F5F5"/>
            </w:tcBorders>
            <w:vMerge w:val="continue"/>
            <w:shd w:val="clear" w:color="auto" w:fill="F5F5F5"/>
          </w:tcPr>
          <w:p>
            <w:pPr>
              <w:spacing w:after="0"/>
              <w:rPr>
                <w:sz w:val="10"/>
                <w:szCs w:val="10"/>
                <w:color w:val="auto"/>
              </w:rPr>
            </w:pPr>
          </w:p>
        </w:tc>
        <w:tc>
          <w:tcPr>
            <w:tcW w:w="116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880" w:type="dxa"/>
            <w:vAlign w:val="bottom"/>
            <w:tcBorders>
              <w:bottom w:val="single" w:sz="8" w:color="F5F5F5"/>
            </w:tcBorders>
            <w:shd w:val="clear" w:color="auto" w:fill="F5F5F5"/>
          </w:tcPr>
          <w:p>
            <w:pPr>
              <w:spacing w:after="0"/>
              <w:rPr>
                <w:sz w:val="10"/>
                <w:szCs w:val="10"/>
                <w:color w:val="auto"/>
              </w:rPr>
            </w:pPr>
          </w:p>
        </w:tc>
        <w:tc>
          <w:tcPr>
            <w:tcW w:w="54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520" w:type="dxa"/>
            <w:vAlign w:val="bottom"/>
            <w:tcBorders>
              <w:bottom w:val="single" w:sz="8" w:color="F5F5F5"/>
            </w:tcBorders>
            <w:shd w:val="clear" w:color="auto" w:fill="F5F5F5"/>
          </w:tcPr>
          <w:p>
            <w:pPr>
              <w:spacing w:after="0"/>
              <w:rPr>
                <w:sz w:val="10"/>
                <w:szCs w:val="10"/>
                <w:color w:val="auto"/>
              </w:rPr>
            </w:pPr>
          </w:p>
        </w:tc>
        <w:tc>
          <w:tcPr>
            <w:tcW w:w="900" w:type="dxa"/>
            <w:vAlign w:val="bottom"/>
            <w:tcBorders>
              <w:bottom w:val="single" w:sz="8" w:color="F5F5F5"/>
            </w:tcBorders>
            <w:vMerge w:val="continue"/>
            <w:shd w:val="clear" w:color="auto" w:fill="F5F5F5"/>
          </w:tcPr>
          <w:p>
            <w:pPr>
              <w:spacing w:after="0"/>
              <w:rPr>
                <w:sz w:val="10"/>
                <w:szCs w:val="10"/>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10"/>
                <w:szCs w:val="10"/>
                <w:color w:val="auto"/>
              </w:rPr>
            </w:pPr>
          </w:p>
        </w:tc>
        <w:tc>
          <w:tcPr>
            <w:tcW w:w="2940" w:type="dxa"/>
            <w:vAlign w:val="bottom"/>
            <w:tcBorders>
              <w:bottom w:val="single" w:sz="8" w:color="F5F5F5"/>
            </w:tcBorders>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F5F5F5"/>
          </w:tcPr>
          <w:p>
            <w:pPr>
              <w:spacing w:after="0"/>
              <w:rPr>
                <w:sz w:val="11"/>
                <w:szCs w:val="11"/>
                <w:color w:val="auto"/>
              </w:rPr>
            </w:pPr>
          </w:p>
        </w:tc>
        <w:tc>
          <w:tcPr>
            <w:tcW w:w="3100" w:type="dxa"/>
            <w:vAlign w:val="bottom"/>
            <w:shd w:val="clear" w:color="auto" w:fill="F5F5F5"/>
          </w:tcPr>
          <w:p>
            <w:pPr>
              <w:spacing w:after="0"/>
              <w:rPr>
                <w:sz w:val="11"/>
                <w:szCs w:val="11"/>
                <w:color w:val="auto"/>
              </w:rPr>
            </w:pPr>
          </w:p>
        </w:tc>
        <w:tc>
          <w:tcPr>
            <w:tcW w:w="116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880" w:type="dxa"/>
            <w:vAlign w:val="bottom"/>
            <w:shd w:val="clear" w:color="auto" w:fill="F5F5F5"/>
          </w:tcPr>
          <w:p>
            <w:pPr>
              <w:spacing w:after="0"/>
              <w:rPr>
                <w:sz w:val="11"/>
                <w:szCs w:val="11"/>
                <w:color w:val="auto"/>
              </w:rPr>
            </w:pPr>
          </w:p>
        </w:tc>
        <w:tc>
          <w:tcPr>
            <w:tcW w:w="54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520" w:type="dxa"/>
            <w:vAlign w:val="bottom"/>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820" w:type="dxa"/>
            <w:vAlign w:val="bottom"/>
            <w:shd w:val="clear" w:color="auto" w:fill="F5F5F5"/>
          </w:tcPr>
          <w:p>
            <w:pPr>
              <w:spacing w:after="0"/>
              <w:rPr>
                <w:sz w:val="11"/>
                <w:szCs w:val="11"/>
                <w:color w:val="auto"/>
              </w:rPr>
            </w:pPr>
          </w:p>
        </w:tc>
        <w:tc>
          <w:tcPr>
            <w:tcW w:w="2940" w:type="dxa"/>
            <w:vAlign w:val="bottom"/>
            <w:shd w:val="clear" w:color="auto" w:fill="F5F5F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Kinsale Capital Group, Inc.</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Property &amp; Casualty Insurance</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MGIC Investment Corporation</w:t>
            </w:r>
          </w:p>
        </w:tc>
        <w:tc>
          <w:tcPr>
            <w:tcW w:w="116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vMerge w:val="restart"/>
            <w:shd w:val="clear" w:color="auto" w:fill="F5F5F5"/>
          </w:tcPr>
          <w:p>
            <w:pPr>
              <w:spacing w:after="0"/>
              <w:rPr>
                <w:sz w:val="14"/>
                <w:szCs w:val="14"/>
                <w:color w:val="auto"/>
              </w:rPr>
            </w:pPr>
          </w:p>
        </w:tc>
        <w:tc>
          <w:tcPr>
            <w:tcW w:w="54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vMerge w:val="restart"/>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Mortgage Insurer</w:t>
            </w:r>
          </w:p>
        </w:tc>
        <w:tc>
          <w:tcPr>
            <w:tcW w:w="0" w:type="dxa"/>
            <w:vAlign w:val="bottom"/>
          </w:tcPr>
          <w:p>
            <w:pPr>
              <w:spacing w:after="0"/>
              <w:rPr>
                <w:sz w:val="1"/>
                <w:szCs w:val="1"/>
                <w:color w:val="auto"/>
              </w:rPr>
            </w:pPr>
          </w:p>
        </w:tc>
      </w:tr>
      <w:tr>
        <w:trPr>
          <w:trHeight w:val="99"/>
        </w:trPr>
        <w:tc>
          <w:tcPr>
            <w:tcW w:w="120" w:type="dxa"/>
            <w:vAlign w:val="bottom"/>
            <w:tcBorders>
              <w:bottom w:val="single" w:sz="8" w:color="F5F5F5"/>
            </w:tcBorders>
            <w:shd w:val="clear" w:color="auto" w:fill="F5F5F5"/>
          </w:tcPr>
          <w:p>
            <w:pPr>
              <w:spacing w:after="0"/>
              <w:rPr>
                <w:sz w:val="8"/>
                <w:szCs w:val="8"/>
                <w:color w:val="auto"/>
              </w:rPr>
            </w:pPr>
          </w:p>
        </w:tc>
        <w:tc>
          <w:tcPr>
            <w:tcW w:w="3100" w:type="dxa"/>
            <w:vAlign w:val="bottom"/>
            <w:tcBorders>
              <w:bottom w:val="single" w:sz="8" w:color="F5F5F5"/>
            </w:tcBorders>
            <w:vMerge w:val="continue"/>
            <w:shd w:val="clear" w:color="auto" w:fill="F5F5F5"/>
          </w:tcPr>
          <w:p>
            <w:pPr>
              <w:spacing w:after="0"/>
              <w:rPr>
                <w:sz w:val="8"/>
                <w:szCs w:val="8"/>
                <w:color w:val="auto"/>
              </w:rPr>
            </w:pPr>
          </w:p>
        </w:tc>
        <w:tc>
          <w:tcPr>
            <w:tcW w:w="1160" w:type="dxa"/>
            <w:vAlign w:val="bottom"/>
            <w:tcBorders>
              <w:bottom w:val="single" w:sz="8" w:color="F5F5F5"/>
            </w:tcBorders>
            <w:vMerge w:val="continue"/>
            <w:shd w:val="clear" w:color="auto" w:fill="F5F5F5"/>
          </w:tcPr>
          <w:p>
            <w:pPr>
              <w:spacing w:after="0"/>
              <w:rPr>
                <w:sz w:val="8"/>
                <w:szCs w:val="8"/>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80" w:type="dxa"/>
            <w:vAlign w:val="bottom"/>
            <w:tcBorders>
              <w:bottom w:val="single" w:sz="8" w:color="F5F5F5"/>
            </w:tcBorders>
            <w:vMerge w:val="continue"/>
            <w:shd w:val="clear" w:color="auto" w:fill="F5F5F5"/>
          </w:tcPr>
          <w:p>
            <w:pPr>
              <w:spacing w:after="0"/>
              <w:rPr>
                <w:sz w:val="8"/>
                <w:szCs w:val="8"/>
                <w:color w:val="auto"/>
              </w:rPr>
            </w:pPr>
          </w:p>
        </w:tc>
        <w:tc>
          <w:tcPr>
            <w:tcW w:w="540" w:type="dxa"/>
            <w:vAlign w:val="bottom"/>
            <w:tcBorders>
              <w:bottom w:val="single" w:sz="8" w:color="F5F5F5"/>
            </w:tcBorders>
            <w:vMerge w:val="continue"/>
            <w:shd w:val="clear" w:color="auto" w:fill="F5F5F5"/>
          </w:tcPr>
          <w:p>
            <w:pPr>
              <w:spacing w:after="0"/>
              <w:rPr>
                <w:sz w:val="8"/>
                <w:szCs w:val="8"/>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520" w:type="dxa"/>
            <w:vAlign w:val="bottom"/>
            <w:tcBorders>
              <w:bottom w:val="single" w:sz="8" w:color="F5F5F5"/>
            </w:tcBorders>
            <w:vMerge w:val="continue"/>
            <w:shd w:val="clear" w:color="auto" w:fill="F5F5F5"/>
          </w:tcPr>
          <w:p>
            <w:pPr>
              <w:spacing w:after="0"/>
              <w:rPr>
                <w:sz w:val="8"/>
                <w:szCs w:val="8"/>
                <w:color w:val="auto"/>
              </w:rPr>
            </w:pPr>
          </w:p>
        </w:tc>
        <w:tc>
          <w:tcPr>
            <w:tcW w:w="900" w:type="dxa"/>
            <w:vAlign w:val="bottom"/>
            <w:tcBorders>
              <w:bottom w:val="single" w:sz="8" w:color="F5F5F5"/>
            </w:tcBorders>
            <w:vMerge w:val="continue"/>
            <w:shd w:val="clear" w:color="auto" w:fill="F5F5F5"/>
          </w:tcPr>
          <w:p>
            <w:pPr>
              <w:spacing w:after="0"/>
              <w:rPr>
                <w:sz w:val="8"/>
                <w:szCs w:val="8"/>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8"/>
                <w:szCs w:val="8"/>
                <w:color w:val="auto"/>
              </w:rPr>
            </w:pPr>
          </w:p>
        </w:tc>
        <w:tc>
          <w:tcPr>
            <w:tcW w:w="2940" w:type="dxa"/>
            <w:vAlign w:val="bottom"/>
            <w:tcBorders>
              <w:bottom w:val="single" w:sz="8" w:color="F5F5F5"/>
            </w:tcBorders>
            <w:vMerge w:val="continue"/>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20" w:type="dxa"/>
            <w:vAlign w:val="bottom"/>
            <w:shd w:val="clear" w:color="auto" w:fill="F5F5F5"/>
          </w:tcPr>
          <w:p>
            <w:pPr>
              <w:spacing w:after="0"/>
              <w:rPr>
                <w:sz w:val="13"/>
                <w:szCs w:val="13"/>
                <w:color w:val="auto"/>
              </w:rPr>
            </w:pPr>
          </w:p>
        </w:tc>
        <w:tc>
          <w:tcPr>
            <w:tcW w:w="3100" w:type="dxa"/>
            <w:vAlign w:val="bottom"/>
            <w:shd w:val="clear" w:color="auto" w:fill="F5F5F5"/>
          </w:tcPr>
          <w:p>
            <w:pPr>
              <w:spacing w:after="0"/>
              <w:rPr>
                <w:sz w:val="13"/>
                <w:szCs w:val="13"/>
                <w:color w:val="auto"/>
              </w:rPr>
            </w:pPr>
          </w:p>
        </w:tc>
        <w:tc>
          <w:tcPr>
            <w:tcW w:w="1160" w:type="dxa"/>
            <w:vAlign w:val="bottom"/>
            <w:shd w:val="clear" w:color="auto" w:fill="F5F5F5"/>
          </w:tcPr>
          <w:p>
            <w:pPr>
              <w:spacing w:after="0"/>
              <w:rPr>
                <w:sz w:val="13"/>
                <w:szCs w:val="13"/>
                <w:color w:val="auto"/>
              </w:rPr>
            </w:pPr>
          </w:p>
        </w:tc>
        <w:tc>
          <w:tcPr>
            <w:tcW w:w="80" w:type="dxa"/>
            <w:vAlign w:val="bottom"/>
            <w:shd w:val="clear" w:color="auto" w:fill="F5F5F5"/>
          </w:tcPr>
          <w:p>
            <w:pPr>
              <w:spacing w:after="0"/>
              <w:rPr>
                <w:sz w:val="13"/>
                <w:szCs w:val="13"/>
                <w:color w:val="auto"/>
              </w:rPr>
            </w:pPr>
          </w:p>
        </w:tc>
        <w:tc>
          <w:tcPr>
            <w:tcW w:w="880" w:type="dxa"/>
            <w:vAlign w:val="bottom"/>
            <w:shd w:val="clear" w:color="auto" w:fill="F5F5F5"/>
          </w:tcPr>
          <w:p>
            <w:pPr>
              <w:spacing w:after="0"/>
              <w:rPr>
                <w:sz w:val="13"/>
                <w:szCs w:val="13"/>
                <w:color w:val="auto"/>
              </w:rPr>
            </w:pPr>
          </w:p>
        </w:tc>
        <w:tc>
          <w:tcPr>
            <w:tcW w:w="540" w:type="dxa"/>
            <w:vAlign w:val="bottom"/>
            <w:shd w:val="clear" w:color="auto" w:fill="F5F5F5"/>
          </w:tcPr>
          <w:p>
            <w:pPr>
              <w:spacing w:after="0"/>
              <w:rPr>
                <w:sz w:val="13"/>
                <w:szCs w:val="13"/>
                <w:color w:val="auto"/>
              </w:rPr>
            </w:pPr>
          </w:p>
        </w:tc>
        <w:tc>
          <w:tcPr>
            <w:tcW w:w="80" w:type="dxa"/>
            <w:vAlign w:val="bottom"/>
            <w:shd w:val="clear" w:color="auto" w:fill="F5F5F5"/>
          </w:tcPr>
          <w:p>
            <w:pPr>
              <w:spacing w:after="0"/>
              <w:rPr>
                <w:sz w:val="13"/>
                <w:szCs w:val="13"/>
                <w:color w:val="auto"/>
              </w:rPr>
            </w:pPr>
          </w:p>
        </w:tc>
        <w:tc>
          <w:tcPr>
            <w:tcW w:w="520" w:type="dxa"/>
            <w:vAlign w:val="bottom"/>
            <w:shd w:val="clear" w:color="auto" w:fill="F5F5F5"/>
          </w:tcPr>
          <w:p>
            <w:pPr>
              <w:spacing w:after="0"/>
              <w:rPr>
                <w:sz w:val="13"/>
                <w:szCs w:val="13"/>
                <w:color w:val="auto"/>
              </w:rPr>
            </w:pPr>
          </w:p>
        </w:tc>
        <w:tc>
          <w:tcPr>
            <w:tcW w:w="900" w:type="dxa"/>
            <w:vAlign w:val="bottom"/>
            <w:shd w:val="clear" w:color="auto" w:fill="F5F5F5"/>
          </w:tcPr>
          <w:p>
            <w:pPr>
              <w:spacing w:after="0"/>
              <w:rPr>
                <w:sz w:val="13"/>
                <w:szCs w:val="13"/>
                <w:color w:val="auto"/>
              </w:rPr>
            </w:pPr>
          </w:p>
        </w:tc>
        <w:tc>
          <w:tcPr>
            <w:tcW w:w="100" w:type="dxa"/>
            <w:vAlign w:val="bottom"/>
            <w:shd w:val="clear" w:color="auto" w:fill="F5F5F5"/>
          </w:tcPr>
          <w:p>
            <w:pPr>
              <w:spacing w:after="0"/>
              <w:rPr>
                <w:sz w:val="13"/>
                <w:szCs w:val="13"/>
                <w:color w:val="auto"/>
              </w:rPr>
            </w:pPr>
          </w:p>
        </w:tc>
        <w:tc>
          <w:tcPr>
            <w:tcW w:w="820" w:type="dxa"/>
            <w:vAlign w:val="bottom"/>
            <w:shd w:val="clear" w:color="auto" w:fill="F5F5F5"/>
          </w:tcPr>
          <w:p>
            <w:pPr>
              <w:spacing w:after="0"/>
              <w:rPr>
                <w:sz w:val="13"/>
                <w:szCs w:val="13"/>
                <w:color w:val="auto"/>
              </w:rPr>
            </w:pPr>
          </w:p>
        </w:tc>
        <w:tc>
          <w:tcPr>
            <w:tcW w:w="2940" w:type="dxa"/>
            <w:vAlign w:val="bottom"/>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Mr. Cooper Group Inc.</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Mortgage Service &amp; Lending</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Onity Group</w:t>
            </w:r>
          </w:p>
        </w:tc>
        <w:tc>
          <w:tcPr>
            <w:tcW w:w="116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shd w:val="clear" w:color="auto" w:fill="F5F5F5"/>
          </w:tcPr>
          <w:p>
            <w:pPr>
              <w:spacing w:after="0"/>
              <w:rPr>
                <w:sz w:val="14"/>
                <w:szCs w:val="14"/>
                <w:color w:val="auto"/>
              </w:rPr>
            </w:pPr>
          </w:p>
        </w:tc>
        <w:tc>
          <w:tcPr>
            <w:tcW w:w="54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900" w:type="dxa"/>
            <w:vAlign w:val="bottom"/>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Mortgage Service &amp; Lending</w:t>
            </w:r>
          </w:p>
        </w:tc>
        <w:tc>
          <w:tcPr>
            <w:tcW w:w="0" w:type="dxa"/>
            <w:vAlign w:val="bottom"/>
          </w:tcPr>
          <w:p>
            <w:pPr>
              <w:spacing w:after="0"/>
              <w:rPr>
                <w:sz w:val="1"/>
                <w:szCs w:val="1"/>
                <w:color w:val="auto"/>
              </w:rPr>
            </w:pPr>
          </w:p>
        </w:tc>
      </w:tr>
      <w:tr>
        <w:trPr>
          <w:trHeight w:val="36"/>
        </w:trPr>
        <w:tc>
          <w:tcPr>
            <w:tcW w:w="120" w:type="dxa"/>
            <w:vAlign w:val="bottom"/>
            <w:shd w:val="clear" w:color="auto" w:fill="F5F5F5"/>
          </w:tcPr>
          <w:p>
            <w:pPr>
              <w:spacing w:after="0"/>
              <w:rPr>
                <w:sz w:val="3"/>
                <w:szCs w:val="3"/>
                <w:color w:val="auto"/>
              </w:rPr>
            </w:pPr>
          </w:p>
        </w:tc>
        <w:tc>
          <w:tcPr>
            <w:tcW w:w="3100" w:type="dxa"/>
            <w:vAlign w:val="bottom"/>
            <w:vMerge w:val="continue"/>
            <w:shd w:val="clear" w:color="auto" w:fill="F5F5F5"/>
          </w:tcPr>
          <w:p>
            <w:pPr>
              <w:spacing w:after="0"/>
              <w:rPr>
                <w:sz w:val="3"/>
                <w:szCs w:val="3"/>
                <w:color w:val="auto"/>
              </w:rPr>
            </w:pPr>
          </w:p>
        </w:tc>
        <w:tc>
          <w:tcPr>
            <w:tcW w:w="1160" w:type="dxa"/>
            <w:vAlign w:val="bottom"/>
            <w:shd w:val="clear" w:color="auto" w:fill="F5F5F5"/>
          </w:tcPr>
          <w:p>
            <w:pPr>
              <w:spacing w:after="0"/>
              <w:rPr>
                <w:sz w:val="3"/>
                <w:szCs w:val="3"/>
                <w:color w:val="auto"/>
              </w:rPr>
            </w:pPr>
          </w:p>
        </w:tc>
        <w:tc>
          <w:tcPr>
            <w:tcW w:w="80" w:type="dxa"/>
            <w:vAlign w:val="bottom"/>
            <w:shd w:val="clear" w:color="auto" w:fill="F5F5F5"/>
          </w:tcPr>
          <w:p>
            <w:pPr>
              <w:spacing w:after="0"/>
              <w:rPr>
                <w:sz w:val="3"/>
                <w:szCs w:val="3"/>
                <w:color w:val="auto"/>
              </w:rPr>
            </w:pPr>
          </w:p>
        </w:tc>
        <w:tc>
          <w:tcPr>
            <w:tcW w:w="880" w:type="dxa"/>
            <w:vAlign w:val="bottom"/>
            <w:shd w:val="clear" w:color="auto" w:fill="F5F5F5"/>
          </w:tcPr>
          <w:p>
            <w:pPr>
              <w:spacing w:after="0"/>
              <w:rPr>
                <w:sz w:val="3"/>
                <w:szCs w:val="3"/>
                <w:color w:val="auto"/>
              </w:rPr>
            </w:pPr>
          </w:p>
        </w:tc>
        <w:tc>
          <w:tcPr>
            <w:tcW w:w="540" w:type="dxa"/>
            <w:vAlign w:val="bottom"/>
            <w:shd w:val="clear" w:color="auto" w:fill="F5F5F5"/>
          </w:tcPr>
          <w:p>
            <w:pPr>
              <w:spacing w:after="0"/>
              <w:rPr>
                <w:sz w:val="3"/>
                <w:szCs w:val="3"/>
                <w:color w:val="auto"/>
              </w:rPr>
            </w:pPr>
          </w:p>
        </w:tc>
        <w:tc>
          <w:tcPr>
            <w:tcW w:w="80" w:type="dxa"/>
            <w:vAlign w:val="bottom"/>
            <w:shd w:val="clear" w:color="auto" w:fill="F5F5F5"/>
          </w:tcPr>
          <w:p>
            <w:pPr>
              <w:spacing w:after="0"/>
              <w:rPr>
                <w:sz w:val="3"/>
                <w:szCs w:val="3"/>
                <w:color w:val="auto"/>
              </w:rPr>
            </w:pPr>
          </w:p>
        </w:tc>
        <w:tc>
          <w:tcPr>
            <w:tcW w:w="520" w:type="dxa"/>
            <w:vAlign w:val="bottom"/>
            <w:shd w:val="clear" w:color="auto" w:fill="F5F5F5"/>
          </w:tcPr>
          <w:p>
            <w:pPr>
              <w:spacing w:after="0"/>
              <w:rPr>
                <w:sz w:val="3"/>
                <w:szCs w:val="3"/>
                <w:color w:val="auto"/>
              </w:rPr>
            </w:pPr>
          </w:p>
        </w:tc>
        <w:tc>
          <w:tcPr>
            <w:tcW w:w="900" w:type="dxa"/>
            <w:vAlign w:val="bottom"/>
            <w:shd w:val="clear" w:color="auto" w:fill="F5F5F5"/>
          </w:tcPr>
          <w:p>
            <w:pPr>
              <w:spacing w:after="0"/>
              <w:rPr>
                <w:sz w:val="3"/>
                <w:szCs w:val="3"/>
                <w:color w:val="auto"/>
              </w:rPr>
            </w:pPr>
          </w:p>
        </w:tc>
        <w:tc>
          <w:tcPr>
            <w:tcW w:w="100" w:type="dxa"/>
            <w:vAlign w:val="bottom"/>
            <w:vMerge w:val="restart"/>
            <w:shd w:val="clear" w:color="auto" w:fill="DE762B"/>
          </w:tcPr>
          <w:p>
            <w:pPr>
              <w:jc w:val="center"/>
              <w:spacing w:after="0" w:line="89" w:lineRule="exact"/>
              <w:rPr>
                <w:sz w:val="20"/>
                <w:szCs w:val="20"/>
                <w:color w:val="auto"/>
              </w:rPr>
            </w:pPr>
            <w:r>
              <w:rPr>
                <w:rFonts w:ascii="Wingdings" w:cs="Wingdings" w:eastAsia="Wingdings" w:hAnsi="Wingdings"/>
                <w:sz w:val="10"/>
                <w:szCs w:val="10"/>
                <w:b w:val="1"/>
                <w:bCs w:val="1"/>
                <w:color w:val="auto"/>
                <w:shd w:val="clear" w:color="auto" w:fill="DE762B"/>
              </w:rPr>
              <w:t>n</w:t>
            </w:r>
          </w:p>
        </w:tc>
        <w:tc>
          <w:tcPr>
            <w:tcW w:w="820" w:type="dxa"/>
            <w:vAlign w:val="bottom"/>
            <w:shd w:val="clear" w:color="auto" w:fill="F5F5F5"/>
          </w:tcPr>
          <w:p>
            <w:pPr>
              <w:spacing w:after="0"/>
              <w:rPr>
                <w:sz w:val="3"/>
                <w:szCs w:val="3"/>
                <w:color w:val="auto"/>
              </w:rPr>
            </w:pPr>
          </w:p>
        </w:tc>
        <w:tc>
          <w:tcPr>
            <w:tcW w:w="2940" w:type="dxa"/>
            <w:vAlign w:val="bottom"/>
            <w:vMerge w:val="continue"/>
            <w:shd w:val="clear" w:color="auto" w:fill="F5F5F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53"/>
        </w:trPr>
        <w:tc>
          <w:tcPr>
            <w:tcW w:w="120" w:type="dxa"/>
            <w:vAlign w:val="bottom"/>
            <w:shd w:val="clear" w:color="auto" w:fill="F5F5F5"/>
          </w:tcPr>
          <w:p>
            <w:pPr>
              <w:spacing w:after="0"/>
              <w:rPr>
                <w:sz w:val="4"/>
                <w:szCs w:val="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(formerly Ocwen Financial Corporation)</w:t>
            </w:r>
          </w:p>
        </w:tc>
        <w:tc>
          <w:tcPr>
            <w:tcW w:w="1160" w:type="dxa"/>
            <w:vAlign w:val="bottom"/>
            <w:shd w:val="clear" w:color="auto" w:fill="F5F5F5"/>
          </w:tcPr>
          <w:p>
            <w:pPr>
              <w:spacing w:after="0"/>
              <w:rPr>
                <w:sz w:val="4"/>
                <w:szCs w:val="4"/>
                <w:color w:val="auto"/>
              </w:rPr>
            </w:pPr>
          </w:p>
        </w:tc>
        <w:tc>
          <w:tcPr>
            <w:tcW w:w="80" w:type="dxa"/>
            <w:vAlign w:val="bottom"/>
            <w:shd w:val="clear" w:color="auto" w:fill="F5F5F5"/>
          </w:tcPr>
          <w:p>
            <w:pPr>
              <w:spacing w:after="0"/>
              <w:rPr>
                <w:sz w:val="4"/>
                <w:szCs w:val="4"/>
                <w:color w:val="auto"/>
              </w:rPr>
            </w:pPr>
          </w:p>
        </w:tc>
        <w:tc>
          <w:tcPr>
            <w:tcW w:w="880" w:type="dxa"/>
            <w:vAlign w:val="bottom"/>
            <w:shd w:val="clear" w:color="auto" w:fill="F5F5F5"/>
          </w:tcPr>
          <w:p>
            <w:pPr>
              <w:spacing w:after="0"/>
              <w:rPr>
                <w:sz w:val="4"/>
                <w:szCs w:val="4"/>
                <w:color w:val="auto"/>
              </w:rPr>
            </w:pPr>
          </w:p>
        </w:tc>
        <w:tc>
          <w:tcPr>
            <w:tcW w:w="540" w:type="dxa"/>
            <w:vAlign w:val="bottom"/>
            <w:shd w:val="clear" w:color="auto" w:fill="F5F5F5"/>
          </w:tcPr>
          <w:p>
            <w:pPr>
              <w:spacing w:after="0"/>
              <w:rPr>
                <w:sz w:val="4"/>
                <w:szCs w:val="4"/>
                <w:color w:val="auto"/>
              </w:rPr>
            </w:pPr>
          </w:p>
        </w:tc>
        <w:tc>
          <w:tcPr>
            <w:tcW w:w="80" w:type="dxa"/>
            <w:vAlign w:val="bottom"/>
            <w:shd w:val="clear" w:color="auto" w:fill="F5F5F5"/>
          </w:tcPr>
          <w:p>
            <w:pPr>
              <w:spacing w:after="0"/>
              <w:rPr>
                <w:sz w:val="4"/>
                <w:szCs w:val="4"/>
                <w:color w:val="auto"/>
              </w:rPr>
            </w:pPr>
          </w:p>
        </w:tc>
        <w:tc>
          <w:tcPr>
            <w:tcW w:w="520" w:type="dxa"/>
            <w:vAlign w:val="bottom"/>
            <w:shd w:val="clear" w:color="auto" w:fill="F5F5F5"/>
          </w:tcPr>
          <w:p>
            <w:pPr>
              <w:spacing w:after="0"/>
              <w:rPr>
                <w:sz w:val="4"/>
                <w:szCs w:val="4"/>
                <w:color w:val="auto"/>
              </w:rPr>
            </w:pPr>
          </w:p>
        </w:tc>
        <w:tc>
          <w:tcPr>
            <w:tcW w:w="900" w:type="dxa"/>
            <w:vAlign w:val="bottom"/>
            <w:shd w:val="clear" w:color="auto" w:fill="F5F5F5"/>
          </w:tcPr>
          <w:p>
            <w:pPr>
              <w:spacing w:after="0"/>
              <w:rPr>
                <w:sz w:val="4"/>
                <w:szCs w:val="4"/>
                <w:color w:val="auto"/>
              </w:rPr>
            </w:pPr>
          </w:p>
        </w:tc>
        <w:tc>
          <w:tcPr>
            <w:tcW w:w="100" w:type="dxa"/>
            <w:vAlign w:val="bottom"/>
            <w:vMerge w:val="continue"/>
            <w:shd w:val="clear" w:color="auto" w:fill="DE762B"/>
          </w:tcPr>
          <w:p>
            <w:pPr>
              <w:spacing w:after="0"/>
              <w:rPr>
                <w:sz w:val="4"/>
                <w:szCs w:val="4"/>
                <w:color w:val="auto"/>
              </w:rPr>
            </w:pPr>
          </w:p>
        </w:tc>
        <w:tc>
          <w:tcPr>
            <w:tcW w:w="820" w:type="dxa"/>
            <w:vAlign w:val="bottom"/>
            <w:shd w:val="clear" w:color="auto" w:fill="F5F5F5"/>
          </w:tcPr>
          <w:p>
            <w:pPr>
              <w:spacing w:after="0"/>
              <w:rPr>
                <w:sz w:val="4"/>
                <w:szCs w:val="4"/>
                <w:color w:val="auto"/>
              </w:rPr>
            </w:pPr>
          </w:p>
        </w:tc>
        <w:tc>
          <w:tcPr>
            <w:tcW w:w="2940" w:type="dxa"/>
            <w:vAlign w:val="bottom"/>
            <w:vMerge w:val="continue"/>
            <w:shd w:val="clear" w:color="auto" w:fill="F5F5F5"/>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20" w:type="dxa"/>
            <w:vAlign w:val="bottom"/>
            <w:tcBorders>
              <w:bottom w:val="single" w:sz="8" w:color="F5F5F5"/>
            </w:tcBorders>
            <w:shd w:val="clear" w:color="auto" w:fill="F5F5F5"/>
          </w:tcPr>
          <w:p>
            <w:pPr>
              <w:spacing w:after="0"/>
              <w:rPr>
                <w:sz w:val="14"/>
                <w:szCs w:val="14"/>
                <w:color w:val="auto"/>
              </w:rPr>
            </w:pPr>
          </w:p>
        </w:tc>
        <w:tc>
          <w:tcPr>
            <w:tcW w:w="3100" w:type="dxa"/>
            <w:vAlign w:val="bottom"/>
            <w:tcBorders>
              <w:bottom w:val="single" w:sz="8" w:color="F5F5F5"/>
            </w:tcBorders>
            <w:vMerge w:val="continue"/>
            <w:shd w:val="clear" w:color="auto" w:fill="F5F5F5"/>
          </w:tcPr>
          <w:p>
            <w:pPr>
              <w:spacing w:after="0"/>
              <w:rPr>
                <w:sz w:val="14"/>
                <w:szCs w:val="14"/>
                <w:color w:val="auto"/>
              </w:rPr>
            </w:pPr>
          </w:p>
        </w:tc>
        <w:tc>
          <w:tcPr>
            <w:tcW w:w="1160" w:type="dxa"/>
            <w:vAlign w:val="bottom"/>
            <w:tcBorders>
              <w:bottom w:val="single" w:sz="8" w:color="F5F5F5"/>
            </w:tcBorders>
            <w:shd w:val="clear" w:color="auto" w:fill="F5F5F5"/>
          </w:tcPr>
          <w:p>
            <w:pPr>
              <w:spacing w:after="0"/>
              <w:rPr>
                <w:sz w:val="14"/>
                <w:szCs w:val="14"/>
                <w:color w:val="auto"/>
              </w:rPr>
            </w:pPr>
          </w:p>
        </w:tc>
        <w:tc>
          <w:tcPr>
            <w:tcW w:w="80" w:type="dxa"/>
            <w:vAlign w:val="bottom"/>
            <w:tcBorders>
              <w:bottom w:val="single" w:sz="8" w:color="F5F5F5"/>
            </w:tcBorders>
            <w:shd w:val="clear" w:color="auto" w:fill="F5F5F5"/>
          </w:tcPr>
          <w:p>
            <w:pPr>
              <w:spacing w:after="0"/>
              <w:rPr>
                <w:sz w:val="14"/>
                <w:szCs w:val="14"/>
                <w:color w:val="auto"/>
              </w:rPr>
            </w:pPr>
          </w:p>
        </w:tc>
        <w:tc>
          <w:tcPr>
            <w:tcW w:w="880" w:type="dxa"/>
            <w:vAlign w:val="bottom"/>
            <w:tcBorders>
              <w:bottom w:val="single" w:sz="8" w:color="F5F5F5"/>
            </w:tcBorders>
            <w:shd w:val="clear" w:color="auto" w:fill="F5F5F5"/>
          </w:tcPr>
          <w:p>
            <w:pPr>
              <w:spacing w:after="0"/>
              <w:rPr>
                <w:sz w:val="14"/>
                <w:szCs w:val="14"/>
                <w:color w:val="auto"/>
              </w:rPr>
            </w:pPr>
          </w:p>
        </w:tc>
        <w:tc>
          <w:tcPr>
            <w:tcW w:w="540" w:type="dxa"/>
            <w:vAlign w:val="bottom"/>
            <w:tcBorders>
              <w:bottom w:val="single" w:sz="8" w:color="F5F5F5"/>
            </w:tcBorders>
            <w:shd w:val="clear" w:color="auto" w:fill="F5F5F5"/>
          </w:tcPr>
          <w:p>
            <w:pPr>
              <w:spacing w:after="0"/>
              <w:rPr>
                <w:sz w:val="14"/>
                <w:szCs w:val="14"/>
                <w:color w:val="auto"/>
              </w:rPr>
            </w:pPr>
          </w:p>
        </w:tc>
        <w:tc>
          <w:tcPr>
            <w:tcW w:w="80" w:type="dxa"/>
            <w:vAlign w:val="bottom"/>
            <w:tcBorders>
              <w:bottom w:val="single" w:sz="8" w:color="F5F5F5"/>
            </w:tcBorders>
            <w:shd w:val="clear" w:color="auto" w:fill="F5F5F5"/>
          </w:tcPr>
          <w:p>
            <w:pPr>
              <w:spacing w:after="0"/>
              <w:rPr>
                <w:sz w:val="14"/>
                <w:szCs w:val="14"/>
                <w:color w:val="auto"/>
              </w:rPr>
            </w:pPr>
          </w:p>
        </w:tc>
        <w:tc>
          <w:tcPr>
            <w:tcW w:w="520" w:type="dxa"/>
            <w:vAlign w:val="bottom"/>
            <w:tcBorders>
              <w:bottom w:val="single" w:sz="8" w:color="F5F5F5"/>
            </w:tcBorders>
            <w:shd w:val="clear" w:color="auto" w:fill="F5F5F5"/>
          </w:tcPr>
          <w:p>
            <w:pPr>
              <w:spacing w:after="0"/>
              <w:rPr>
                <w:sz w:val="14"/>
                <w:szCs w:val="14"/>
                <w:color w:val="auto"/>
              </w:rPr>
            </w:pPr>
          </w:p>
        </w:tc>
        <w:tc>
          <w:tcPr>
            <w:tcW w:w="900" w:type="dxa"/>
            <w:vAlign w:val="bottom"/>
            <w:tcBorders>
              <w:bottom w:val="single" w:sz="8" w:color="F5F5F5"/>
            </w:tcBorders>
            <w:shd w:val="clear" w:color="auto" w:fill="F5F5F5"/>
          </w:tcPr>
          <w:p>
            <w:pPr>
              <w:spacing w:after="0"/>
              <w:rPr>
                <w:sz w:val="14"/>
                <w:szCs w:val="14"/>
                <w:color w:val="auto"/>
              </w:rPr>
            </w:pPr>
          </w:p>
        </w:tc>
        <w:tc>
          <w:tcPr>
            <w:tcW w:w="100" w:type="dxa"/>
            <w:vAlign w:val="bottom"/>
            <w:tcBorders>
              <w:bottom w:val="single" w:sz="8" w:color="F5F5F5"/>
            </w:tcBorders>
            <w:shd w:val="clear" w:color="auto" w:fill="F5F5F5"/>
          </w:tcPr>
          <w:p>
            <w:pPr>
              <w:spacing w:after="0"/>
              <w:rPr>
                <w:sz w:val="14"/>
                <w:szCs w:val="14"/>
                <w:color w:val="auto"/>
              </w:rPr>
            </w:pPr>
          </w:p>
        </w:tc>
        <w:tc>
          <w:tcPr>
            <w:tcW w:w="820" w:type="dxa"/>
            <w:vAlign w:val="bottom"/>
            <w:tcBorders>
              <w:bottom w:val="single" w:sz="8" w:color="F5F5F5"/>
            </w:tcBorders>
            <w:shd w:val="clear" w:color="auto" w:fill="F5F5F5"/>
          </w:tcPr>
          <w:p>
            <w:pPr>
              <w:spacing w:after="0"/>
              <w:rPr>
                <w:sz w:val="14"/>
                <w:szCs w:val="14"/>
                <w:color w:val="auto"/>
              </w:rPr>
            </w:pPr>
          </w:p>
        </w:tc>
        <w:tc>
          <w:tcPr>
            <w:tcW w:w="2940" w:type="dxa"/>
            <w:vAlign w:val="bottom"/>
            <w:tcBorders>
              <w:bottom w:val="single" w:sz="8" w:color="F5F5F5"/>
            </w:tcBorders>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PennyMac Financial Services</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Mortgage Service &amp; Lending</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Radian Group Inc.</w:t>
            </w:r>
          </w:p>
        </w:tc>
        <w:tc>
          <w:tcPr>
            <w:tcW w:w="116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vMerge w:val="restart"/>
            <w:shd w:val="clear" w:color="auto" w:fill="F5F5F5"/>
          </w:tcPr>
          <w:p>
            <w:pPr>
              <w:spacing w:after="0"/>
              <w:rPr>
                <w:sz w:val="14"/>
                <w:szCs w:val="14"/>
                <w:color w:val="auto"/>
              </w:rPr>
            </w:pPr>
          </w:p>
        </w:tc>
        <w:tc>
          <w:tcPr>
            <w:tcW w:w="540" w:type="dxa"/>
            <w:vAlign w:val="bottom"/>
            <w:vMerge w:val="restart"/>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vMerge w:val="restart"/>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Mortgage Insurer</w:t>
            </w:r>
          </w:p>
        </w:tc>
        <w:tc>
          <w:tcPr>
            <w:tcW w:w="0" w:type="dxa"/>
            <w:vAlign w:val="bottom"/>
          </w:tcPr>
          <w:p>
            <w:pPr>
              <w:spacing w:after="0"/>
              <w:rPr>
                <w:sz w:val="1"/>
                <w:szCs w:val="1"/>
                <w:color w:val="auto"/>
              </w:rPr>
            </w:pPr>
          </w:p>
        </w:tc>
      </w:tr>
      <w:tr>
        <w:trPr>
          <w:trHeight w:val="99"/>
        </w:trPr>
        <w:tc>
          <w:tcPr>
            <w:tcW w:w="120" w:type="dxa"/>
            <w:vAlign w:val="bottom"/>
            <w:tcBorders>
              <w:bottom w:val="single" w:sz="8" w:color="F5F5F5"/>
            </w:tcBorders>
            <w:shd w:val="clear" w:color="auto" w:fill="F5F5F5"/>
          </w:tcPr>
          <w:p>
            <w:pPr>
              <w:spacing w:after="0"/>
              <w:rPr>
                <w:sz w:val="8"/>
                <w:szCs w:val="8"/>
                <w:color w:val="auto"/>
              </w:rPr>
            </w:pPr>
          </w:p>
        </w:tc>
        <w:tc>
          <w:tcPr>
            <w:tcW w:w="3100" w:type="dxa"/>
            <w:vAlign w:val="bottom"/>
            <w:tcBorders>
              <w:bottom w:val="single" w:sz="8" w:color="F5F5F5"/>
            </w:tcBorders>
            <w:vMerge w:val="continue"/>
            <w:shd w:val="clear" w:color="auto" w:fill="F5F5F5"/>
          </w:tcPr>
          <w:p>
            <w:pPr>
              <w:spacing w:after="0"/>
              <w:rPr>
                <w:sz w:val="8"/>
                <w:szCs w:val="8"/>
                <w:color w:val="auto"/>
              </w:rPr>
            </w:pPr>
          </w:p>
        </w:tc>
        <w:tc>
          <w:tcPr>
            <w:tcW w:w="1160" w:type="dxa"/>
            <w:vAlign w:val="bottom"/>
            <w:tcBorders>
              <w:bottom w:val="single" w:sz="8" w:color="F5F5F5"/>
            </w:tcBorders>
            <w:vMerge w:val="continue"/>
            <w:shd w:val="clear" w:color="auto" w:fill="F5F5F5"/>
          </w:tcPr>
          <w:p>
            <w:pPr>
              <w:spacing w:after="0"/>
              <w:rPr>
                <w:sz w:val="8"/>
                <w:szCs w:val="8"/>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80" w:type="dxa"/>
            <w:vAlign w:val="bottom"/>
            <w:tcBorders>
              <w:bottom w:val="single" w:sz="8" w:color="F5F5F5"/>
            </w:tcBorders>
            <w:vMerge w:val="continue"/>
            <w:shd w:val="clear" w:color="auto" w:fill="F5F5F5"/>
          </w:tcPr>
          <w:p>
            <w:pPr>
              <w:spacing w:after="0"/>
              <w:rPr>
                <w:sz w:val="8"/>
                <w:szCs w:val="8"/>
                <w:color w:val="auto"/>
              </w:rPr>
            </w:pPr>
          </w:p>
        </w:tc>
        <w:tc>
          <w:tcPr>
            <w:tcW w:w="540" w:type="dxa"/>
            <w:vAlign w:val="bottom"/>
            <w:tcBorders>
              <w:bottom w:val="single" w:sz="8" w:color="F5F5F5"/>
            </w:tcBorders>
            <w:vMerge w:val="continue"/>
            <w:shd w:val="clear" w:color="auto" w:fill="F5F5F5"/>
          </w:tcPr>
          <w:p>
            <w:pPr>
              <w:spacing w:after="0"/>
              <w:rPr>
                <w:sz w:val="8"/>
                <w:szCs w:val="8"/>
                <w:color w:val="auto"/>
              </w:rPr>
            </w:pPr>
          </w:p>
        </w:tc>
        <w:tc>
          <w:tcPr>
            <w:tcW w:w="8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520" w:type="dxa"/>
            <w:vAlign w:val="bottom"/>
            <w:tcBorders>
              <w:bottom w:val="single" w:sz="8" w:color="F5F5F5"/>
            </w:tcBorders>
            <w:vMerge w:val="continue"/>
            <w:shd w:val="clear" w:color="auto" w:fill="F5F5F5"/>
          </w:tcPr>
          <w:p>
            <w:pPr>
              <w:spacing w:after="0"/>
              <w:rPr>
                <w:sz w:val="8"/>
                <w:szCs w:val="8"/>
                <w:color w:val="auto"/>
              </w:rPr>
            </w:pPr>
          </w:p>
        </w:tc>
        <w:tc>
          <w:tcPr>
            <w:tcW w:w="900" w:type="dxa"/>
            <w:vAlign w:val="bottom"/>
            <w:tcBorders>
              <w:bottom w:val="single" w:sz="8" w:color="F5F5F5"/>
            </w:tcBorders>
            <w:vMerge w:val="continue"/>
            <w:shd w:val="clear" w:color="auto" w:fill="F5F5F5"/>
          </w:tcPr>
          <w:p>
            <w:pPr>
              <w:spacing w:after="0"/>
              <w:rPr>
                <w:sz w:val="8"/>
                <w:szCs w:val="8"/>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8"/>
                <w:szCs w:val="8"/>
                <w:color w:val="auto"/>
              </w:rPr>
            </w:pPr>
          </w:p>
        </w:tc>
        <w:tc>
          <w:tcPr>
            <w:tcW w:w="2940" w:type="dxa"/>
            <w:vAlign w:val="bottom"/>
            <w:tcBorders>
              <w:bottom w:val="single" w:sz="8" w:color="F5F5F5"/>
            </w:tcBorders>
            <w:vMerge w:val="continue"/>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20" w:type="dxa"/>
            <w:vAlign w:val="bottom"/>
            <w:shd w:val="clear" w:color="auto" w:fill="F5F5F5"/>
          </w:tcPr>
          <w:p>
            <w:pPr>
              <w:spacing w:after="0"/>
              <w:rPr>
                <w:sz w:val="13"/>
                <w:szCs w:val="13"/>
                <w:color w:val="auto"/>
              </w:rPr>
            </w:pPr>
          </w:p>
        </w:tc>
        <w:tc>
          <w:tcPr>
            <w:tcW w:w="3100" w:type="dxa"/>
            <w:vAlign w:val="bottom"/>
            <w:shd w:val="clear" w:color="auto" w:fill="F5F5F5"/>
          </w:tcPr>
          <w:p>
            <w:pPr>
              <w:spacing w:after="0"/>
              <w:rPr>
                <w:sz w:val="13"/>
                <w:szCs w:val="13"/>
                <w:color w:val="auto"/>
              </w:rPr>
            </w:pPr>
          </w:p>
        </w:tc>
        <w:tc>
          <w:tcPr>
            <w:tcW w:w="1160" w:type="dxa"/>
            <w:vAlign w:val="bottom"/>
            <w:shd w:val="clear" w:color="auto" w:fill="F5F5F5"/>
          </w:tcPr>
          <w:p>
            <w:pPr>
              <w:spacing w:after="0"/>
              <w:rPr>
                <w:sz w:val="13"/>
                <w:szCs w:val="13"/>
                <w:color w:val="auto"/>
              </w:rPr>
            </w:pPr>
          </w:p>
        </w:tc>
        <w:tc>
          <w:tcPr>
            <w:tcW w:w="80" w:type="dxa"/>
            <w:vAlign w:val="bottom"/>
            <w:shd w:val="clear" w:color="auto" w:fill="F5F5F5"/>
          </w:tcPr>
          <w:p>
            <w:pPr>
              <w:spacing w:after="0"/>
              <w:rPr>
                <w:sz w:val="13"/>
                <w:szCs w:val="13"/>
                <w:color w:val="auto"/>
              </w:rPr>
            </w:pPr>
          </w:p>
        </w:tc>
        <w:tc>
          <w:tcPr>
            <w:tcW w:w="880" w:type="dxa"/>
            <w:vAlign w:val="bottom"/>
            <w:shd w:val="clear" w:color="auto" w:fill="F5F5F5"/>
          </w:tcPr>
          <w:p>
            <w:pPr>
              <w:spacing w:after="0"/>
              <w:rPr>
                <w:sz w:val="13"/>
                <w:szCs w:val="13"/>
                <w:color w:val="auto"/>
              </w:rPr>
            </w:pPr>
          </w:p>
        </w:tc>
        <w:tc>
          <w:tcPr>
            <w:tcW w:w="540" w:type="dxa"/>
            <w:vAlign w:val="bottom"/>
            <w:shd w:val="clear" w:color="auto" w:fill="F5F5F5"/>
          </w:tcPr>
          <w:p>
            <w:pPr>
              <w:spacing w:after="0"/>
              <w:rPr>
                <w:sz w:val="13"/>
                <w:szCs w:val="13"/>
                <w:color w:val="auto"/>
              </w:rPr>
            </w:pPr>
          </w:p>
        </w:tc>
        <w:tc>
          <w:tcPr>
            <w:tcW w:w="80" w:type="dxa"/>
            <w:vAlign w:val="bottom"/>
            <w:shd w:val="clear" w:color="auto" w:fill="F5F5F5"/>
          </w:tcPr>
          <w:p>
            <w:pPr>
              <w:spacing w:after="0"/>
              <w:rPr>
                <w:sz w:val="13"/>
                <w:szCs w:val="13"/>
                <w:color w:val="auto"/>
              </w:rPr>
            </w:pPr>
          </w:p>
        </w:tc>
        <w:tc>
          <w:tcPr>
            <w:tcW w:w="520" w:type="dxa"/>
            <w:vAlign w:val="bottom"/>
            <w:shd w:val="clear" w:color="auto" w:fill="F5F5F5"/>
          </w:tcPr>
          <w:p>
            <w:pPr>
              <w:spacing w:after="0"/>
              <w:rPr>
                <w:sz w:val="13"/>
                <w:szCs w:val="13"/>
                <w:color w:val="auto"/>
              </w:rPr>
            </w:pPr>
          </w:p>
        </w:tc>
        <w:tc>
          <w:tcPr>
            <w:tcW w:w="900" w:type="dxa"/>
            <w:vAlign w:val="bottom"/>
            <w:shd w:val="clear" w:color="auto" w:fill="F5F5F5"/>
          </w:tcPr>
          <w:p>
            <w:pPr>
              <w:spacing w:after="0"/>
              <w:rPr>
                <w:sz w:val="13"/>
                <w:szCs w:val="13"/>
                <w:color w:val="auto"/>
              </w:rPr>
            </w:pPr>
          </w:p>
        </w:tc>
        <w:tc>
          <w:tcPr>
            <w:tcW w:w="100" w:type="dxa"/>
            <w:vAlign w:val="bottom"/>
            <w:shd w:val="clear" w:color="auto" w:fill="F5F5F5"/>
          </w:tcPr>
          <w:p>
            <w:pPr>
              <w:spacing w:after="0"/>
              <w:rPr>
                <w:sz w:val="13"/>
                <w:szCs w:val="13"/>
                <w:color w:val="auto"/>
              </w:rPr>
            </w:pPr>
          </w:p>
        </w:tc>
        <w:tc>
          <w:tcPr>
            <w:tcW w:w="820" w:type="dxa"/>
            <w:vAlign w:val="bottom"/>
            <w:shd w:val="clear" w:color="auto" w:fill="F5F5F5"/>
          </w:tcPr>
          <w:p>
            <w:pPr>
              <w:spacing w:after="0"/>
              <w:rPr>
                <w:sz w:val="13"/>
                <w:szCs w:val="13"/>
                <w:color w:val="auto"/>
              </w:rPr>
            </w:pPr>
          </w:p>
        </w:tc>
        <w:tc>
          <w:tcPr>
            <w:tcW w:w="2940" w:type="dxa"/>
            <w:vAlign w:val="bottom"/>
            <w:shd w:val="clear" w:color="auto" w:fill="F5F5F5"/>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Redwood Trust</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Mortgage Banking &amp; Investments</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5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3100" w:type="dxa"/>
            <w:vAlign w:val="bottom"/>
            <w:vMerge w:val="continue"/>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9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20" w:type="dxa"/>
            <w:vAlign w:val="bottom"/>
            <w:shd w:val="clear" w:color="auto" w:fill="F5F5F5"/>
          </w:tcPr>
          <w:p>
            <w:pPr>
              <w:spacing w:after="0"/>
              <w:rPr>
                <w:sz w:val="14"/>
                <w:szCs w:val="14"/>
                <w:color w:val="auto"/>
              </w:rPr>
            </w:pPr>
          </w:p>
        </w:tc>
        <w:tc>
          <w:tcPr>
            <w:tcW w:w="3100" w:type="dxa"/>
            <w:vAlign w:val="bottom"/>
            <w:vMerge w:val="restart"/>
            <w:shd w:val="clear" w:color="auto" w:fill="F5F5F5"/>
          </w:tcPr>
          <w:p>
            <w:pPr>
              <w:ind w:left="20"/>
              <w:spacing w:after="0"/>
              <w:rPr>
                <w:sz w:val="20"/>
                <w:szCs w:val="20"/>
                <w:color w:val="auto"/>
              </w:rPr>
            </w:pPr>
            <w:r>
              <w:rPr>
                <w:rFonts w:ascii="Arial" w:cs="Arial" w:eastAsia="Arial" w:hAnsi="Arial"/>
                <w:sz w:val="14"/>
                <w:szCs w:val="14"/>
                <w:color w:val="auto"/>
              </w:rPr>
              <w:t>RLI Corp.</w:t>
            </w:r>
          </w:p>
        </w:tc>
        <w:tc>
          <w:tcPr>
            <w:tcW w:w="116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880" w:type="dxa"/>
            <w:vAlign w:val="bottom"/>
            <w:shd w:val="clear" w:color="auto" w:fill="F5F5F5"/>
          </w:tcPr>
          <w:p>
            <w:pPr>
              <w:spacing w:after="0"/>
              <w:rPr>
                <w:sz w:val="14"/>
                <w:szCs w:val="14"/>
                <w:color w:val="auto"/>
              </w:rPr>
            </w:pPr>
          </w:p>
        </w:tc>
        <w:tc>
          <w:tcPr>
            <w:tcW w:w="540" w:type="dxa"/>
            <w:vAlign w:val="bottom"/>
            <w:shd w:val="clear" w:color="auto" w:fill="F5F5F5"/>
          </w:tcPr>
          <w:p>
            <w:pPr>
              <w:spacing w:after="0"/>
              <w:rPr>
                <w:sz w:val="14"/>
                <w:szCs w:val="14"/>
                <w:color w:val="auto"/>
              </w:rPr>
            </w:pPr>
          </w:p>
        </w:tc>
        <w:tc>
          <w:tcPr>
            <w:tcW w:w="80" w:type="dxa"/>
            <w:vAlign w:val="bottom"/>
            <w:shd w:val="clear" w:color="auto" w:fill="F5F5F5"/>
          </w:tcPr>
          <w:p>
            <w:pPr>
              <w:spacing w:after="0"/>
              <w:rPr>
                <w:sz w:val="14"/>
                <w:szCs w:val="14"/>
                <w:color w:val="auto"/>
              </w:rPr>
            </w:pPr>
          </w:p>
        </w:tc>
        <w:tc>
          <w:tcPr>
            <w:tcW w:w="520" w:type="dxa"/>
            <w:vAlign w:val="bottom"/>
            <w:shd w:val="clear" w:color="auto" w:fill="F5F5F5"/>
          </w:tcPr>
          <w:p>
            <w:pPr>
              <w:spacing w:after="0"/>
              <w:rPr>
                <w:sz w:val="14"/>
                <w:szCs w:val="14"/>
                <w:color w:val="auto"/>
              </w:rPr>
            </w:pPr>
          </w:p>
        </w:tc>
        <w:tc>
          <w:tcPr>
            <w:tcW w:w="900" w:type="dxa"/>
            <w:vAlign w:val="bottom"/>
            <w:vMerge w:val="restart"/>
            <w:shd w:val="clear" w:color="auto" w:fill="F5F5F5"/>
          </w:tcPr>
          <w:p>
            <w:pPr>
              <w:spacing w:after="0"/>
              <w:rPr>
                <w:sz w:val="14"/>
                <w:szCs w:val="14"/>
                <w:color w:val="auto"/>
              </w:rPr>
            </w:pPr>
          </w:p>
        </w:tc>
        <w:tc>
          <w:tcPr>
            <w:tcW w:w="100" w:type="dxa"/>
            <w:vAlign w:val="bottom"/>
            <w:shd w:val="clear" w:color="auto" w:fill="F5F5F5"/>
          </w:tcPr>
          <w:p>
            <w:pPr>
              <w:spacing w:after="0"/>
              <w:rPr>
                <w:sz w:val="14"/>
                <w:szCs w:val="14"/>
                <w:color w:val="auto"/>
              </w:rPr>
            </w:pPr>
          </w:p>
        </w:tc>
        <w:tc>
          <w:tcPr>
            <w:tcW w:w="820" w:type="dxa"/>
            <w:vAlign w:val="bottom"/>
            <w:vMerge w:val="restart"/>
            <w:shd w:val="clear" w:color="auto" w:fill="F5F5F5"/>
          </w:tcPr>
          <w:p>
            <w:pPr>
              <w:spacing w:after="0"/>
              <w:rPr>
                <w:sz w:val="14"/>
                <w:szCs w:val="14"/>
                <w:color w:val="auto"/>
              </w:rPr>
            </w:pPr>
          </w:p>
        </w:tc>
        <w:tc>
          <w:tcPr>
            <w:tcW w:w="2940" w:type="dxa"/>
            <w:vAlign w:val="bottom"/>
            <w:vMerge w:val="restart"/>
            <w:shd w:val="clear" w:color="auto" w:fill="F5F5F5"/>
          </w:tcPr>
          <w:p>
            <w:pPr>
              <w:ind w:left="100"/>
              <w:spacing w:after="0"/>
              <w:rPr>
                <w:sz w:val="20"/>
                <w:szCs w:val="20"/>
                <w:color w:val="auto"/>
              </w:rPr>
            </w:pPr>
            <w:r>
              <w:rPr>
                <w:rFonts w:ascii="Arial" w:cs="Arial" w:eastAsia="Arial" w:hAnsi="Arial"/>
                <w:sz w:val="14"/>
                <w:szCs w:val="14"/>
                <w:color w:val="auto"/>
              </w:rPr>
              <w:t>Property &amp; Casualty Insurance</w:t>
            </w:r>
          </w:p>
        </w:tc>
        <w:tc>
          <w:tcPr>
            <w:tcW w:w="0" w:type="dxa"/>
            <w:vAlign w:val="bottom"/>
          </w:tcPr>
          <w:p>
            <w:pPr>
              <w:spacing w:after="0"/>
              <w:rPr>
                <w:sz w:val="1"/>
                <w:szCs w:val="1"/>
                <w:color w:val="auto"/>
              </w:rPr>
            </w:pPr>
          </w:p>
        </w:tc>
      </w:tr>
      <w:tr>
        <w:trPr>
          <w:trHeight w:val="126"/>
        </w:trPr>
        <w:tc>
          <w:tcPr>
            <w:tcW w:w="120" w:type="dxa"/>
            <w:vAlign w:val="bottom"/>
            <w:tcBorders>
              <w:bottom w:val="single" w:sz="8" w:color="F5F5F5"/>
            </w:tcBorders>
            <w:shd w:val="clear" w:color="auto" w:fill="F5F5F5"/>
          </w:tcPr>
          <w:p>
            <w:pPr>
              <w:spacing w:after="0"/>
              <w:rPr>
                <w:sz w:val="10"/>
                <w:szCs w:val="10"/>
                <w:color w:val="auto"/>
              </w:rPr>
            </w:pPr>
          </w:p>
        </w:tc>
        <w:tc>
          <w:tcPr>
            <w:tcW w:w="3100" w:type="dxa"/>
            <w:vAlign w:val="bottom"/>
            <w:tcBorders>
              <w:bottom w:val="single" w:sz="8" w:color="F5F5F5"/>
            </w:tcBorders>
            <w:vMerge w:val="continue"/>
            <w:shd w:val="clear" w:color="auto" w:fill="F5F5F5"/>
          </w:tcPr>
          <w:p>
            <w:pPr>
              <w:spacing w:after="0"/>
              <w:rPr>
                <w:sz w:val="10"/>
                <w:szCs w:val="10"/>
                <w:color w:val="auto"/>
              </w:rPr>
            </w:pPr>
          </w:p>
        </w:tc>
        <w:tc>
          <w:tcPr>
            <w:tcW w:w="116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880" w:type="dxa"/>
            <w:vAlign w:val="bottom"/>
            <w:tcBorders>
              <w:bottom w:val="single" w:sz="8" w:color="F5F5F5"/>
            </w:tcBorders>
            <w:shd w:val="clear" w:color="auto" w:fill="F5F5F5"/>
          </w:tcPr>
          <w:p>
            <w:pPr>
              <w:spacing w:after="0"/>
              <w:rPr>
                <w:sz w:val="10"/>
                <w:szCs w:val="10"/>
                <w:color w:val="auto"/>
              </w:rPr>
            </w:pPr>
          </w:p>
        </w:tc>
        <w:tc>
          <w:tcPr>
            <w:tcW w:w="540" w:type="dxa"/>
            <w:vAlign w:val="bottom"/>
            <w:tcBorders>
              <w:bottom w:val="single" w:sz="8" w:color="F5F5F5"/>
            </w:tcBorders>
            <w:shd w:val="clear" w:color="auto" w:fill="F5F5F5"/>
          </w:tcPr>
          <w:p>
            <w:pPr>
              <w:spacing w:after="0"/>
              <w:rPr>
                <w:sz w:val="10"/>
                <w:szCs w:val="10"/>
                <w:color w:val="auto"/>
              </w:rPr>
            </w:pPr>
          </w:p>
        </w:tc>
        <w:tc>
          <w:tcPr>
            <w:tcW w:w="80" w:type="dxa"/>
            <w:vAlign w:val="bottom"/>
            <w:tcBorders>
              <w:bottom w:val="single" w:sz="8" w:color="F5F5F5"/>
            </w:tcBorders>
            <w:shd w:val="clear" w:color="auto" w:fill="F5F5F5"/>
          </w:tcPr>
          <w:p>
            <w:pPr>
              <w:spacing w:after="0"/>
              <w:rPr>
                <w:sz w:val="10"/>
                <w:szCs w:val="10"/>
                <w:color w:val="auto"/>
              </w:rPr>
            </w:pPr>
          </w:p>
        </w:tc>
        <w:tc>
          <w:tcPr>
            <w:tcW w:w="520" w:type="dxa"/>
            <w:vAlign w:val="bottom"/>
            <w:tcBorders>
              <w:bottom w:val="single" w:sz="8" w:color="F5F5F5"/>
            </w:tcBorders>
            <w:shd w:val="clear" w:color="auto" w:fill="F5F5F5"/>
          </w:tcPr>
          <w:p>
            <w:pPr>
              <w:spacing w:after="0"/>
              <w:rPr>
                <w:sz w:val="10"/>
                <w:szCs w:val="10"/>
                <w:color w:val="auto"/>
              </w:rPr>
            </w:pPr>
          </w:p>
        </w:tc>
        <w:tc>
          <w:tcPr>
            <w:tcW w:w="900" w:type="dxa"/>
            <w:vAlign w:val="bottom"/>
            <w:tcBorders>
              <w:bottom w:val="single" w:sz="8" w:color="F5F5F5"/>
            </w:tcBorders>
            <w:vMerge w:val="continue"/>
            <w:shd w:val="clear" w:color="auto" w:fill="F5F5F5"/>
          </w:tcPr>
          <w:p>
            <w:pPr>
              <w:spacing w:after="0"/>
              <w:rPr>
                <w:sz w:val="10"/>
                <w:szCs w:val="10"/>
                <w:color w:val="auto"/>
              </w:rPr>
            </w:pPr>
          </w:p>
        </w:tc>
        <w:tc>
          <w:tcPr>
            <w:tcW w:w="100" w:type="dxa"/>
            <w:vAlign w:val="bottom"/>
            <w:tcBorders>
              <w:bottom w:val="single" w:sz="8" w:color="F5F5F5"/>
            </w:tcBorders>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tcBorders>
              <w:bottom w:val="single" w:sz="8" w:color="F5F5F5"/>
            </w:tcBorders>
            <w:vMerge w:val="continue"/>
            <w:shd w:val="clear" w:color="auto" w:fill="F5F5F5"/>
          </w:tcPr>
          <w:p>
            <w:pPr>
              <w:spacing w:after="0"/>
              <w:rPr>
                <w:sz w:val="10"/>
                <w:szCs w:val="10"/>
                <w:color w:val="auto"/>
              </w:rPr>
            </w:pPr>
          </w:p>
        </w:tc>
        <w:tc>
          <w:tcPr>
            <w:tcW w:w="2940" w:type="dxa"/>
            <w:vAlign w:val="bottom"/>
            <w:tcBorders>
              <w:bottom w:val="single" w:sz="8" w:color="F5F5F5"/>
            </w:tcBorders>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20" w:type="dxa"/>
            <w:vAlign w:val="bottom"/>
            <w:shd w:val="clear" w:color="auto" w:fill="F5F5F5"/>
          </w:tcPr>
          <w:p>
            <w:pPr>
              <w:spacing w:after="0"/>
              <w:rPr>
                <w:sz w:val="11"/>
                <w:szCs w:val="11"/>
                <w:color w:val="auto"/>
              </w:rPr>
            </w:pPr>
          </w:p>
        </w:tc>
        <w:tc>
          <w:tcPr>
            <w:tcW w:w="3100" w:type="dxa"/>
            <w:vAlign w:val="bottom"/>
            <w:shd w:val="clear" w:color="auto" w:fill="F5F5F5"/>
          </w:tcPr>
          <w:p>
            <w:pPr>
              <w:spacing w:after="0"/>
              <w:rPr>
                <w:sz w:val="11"/>
                <w:szCs w:val="11"/>
                <w:color w:val="auto"/>
              </w:rPr>
            </w:pPr>
          </w:p>
        </w:tc>
        <w:tc>
          <w:tcPr>
            <w:tcW w:w="116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880" w:type="dxa"/>
            <w:vAlign w:val="bottom"/>
            <w:shd w:val="clear" w:color="auto" w:fill="F5F5F5"/>
          </w:tcPr>
          <w:p>
            <w:pPr>
              <w:spacing w:after="0"/>
              <w:rPr>
                <w:sz w:val="11"/>
                <w:szCs w:val="11"/>
                <w:color w:val="auto"/>
              </w:rPr>
            </w:pPr>
          </w:p>
        </w:tc>
        <w:tc>
          <w:tcPr>
            <w:tcW w:w="540" w:type="dxa"/>
            <w:vAlign w:val="bottom"/>
            <w:shd w:val="clear" w:color="auto" w:fill="F5F5F5"/>
          </w:tcPr>
          <w:p>
            <w:pPr>
              <w:spacing w:after="0"/>
              <w:rPr>
                <w:sz w:val="11"/>
                <w:szCs w:val="11"/>
                <w:color w:val="auto"/>
              </w:rPr>
            </w:pPr>
          </w:p>
        </w:tc>
        <w:tc>
          <w:tcPr>
            <w:tcW w:w="80" w:type="dxa"/>
            <w:vAlign w:val="bottom"/>
            <w:shd w:val="clear" w:color="auto" w:fill="F5F5F5"/>
          </w:tcPr>
          <w:p>
            <w:pPr>
              <w:spacing w:after="0"/>
              <w:rPr>
                <w:sz w:val="11"/>
                <w:szCs w:val="11"/>
                <w:color w:val="auto"/>
              </w:rPr>
            </w:pPr>
          </w:p>
        </w:tc>
        <w:tc>
          <w:tcPr>
            <w:tcW w:w="520" w:type="dxa"/>
            <w:vAlign w:val="bottom"/>
            <w:shd w:val="clear" w:color="auto" w:fill="F5F5F5"/>
          </w:tcPr>
          <w:p>
            <w:pPr>
              <w:spacing w:after="0"/>
              <w:rPr>
                <w:sz w:val="11"/>
                <w:szCs w:val="11"/>
                <w:color w:val="auto"/>
              </w:rPr>
            </w:pPr>
          </w:p>
        </w:tc>
        <w:tc>
          <w:tcPr>
            <w:tcW w:w="900" w:type="dxa"/>
            <w:vAlign w:val="bottom"/>
            <w:shd w:val="clear" w:color="auto" w:fill="F5F5F5"/>
          </w:tcPr>
          <w:p>
            <w:pPr>
              <w:spacing w:after="0"/>
              <w:rPr>
                <w:sz w:val="11"/>
                <w:szCs w:val="11"/>
                <w:color w:val="auto"/>
              </w:rPr>
            </w:pPr>
          </w:p>
        </w:tc>
        <w:tc>
          <w:tcPr>
            <w:tcW w:w="100" w:type="dxa"/>
            <w:vAlign w:val="bottom"/>
            <w:shd w:val="clear" w:color="auto" w:fill="F5F5F5"/>
          </w:tcPr>
          <w:p>
            <w:pPr>
              <w:spacing w:after="0"/>
              <w:rPr>
                <w:sz w:val="11"/>
                <w:szCs w:val="11"/>
                <w:color w:val="auto"/>
              </w:rPr>
            </w:pPr>
          </w:p>
        </w:tc>
        <w:tc>
          <w:tcPr>
            <w:tcW w:w="820" w:type="dxa"/>
            <w:vAlign w:val="bottom"/>
            <w:shd w:val="clear" w:color="auto" w:fill="F5F5F5"/>
          </w:tcPr>
          <w:p>
            <w:pPr>
              <w:spacing w:after="0"/>
              <w:rPr>
                <w:sz w:val="11"/>
                <w:szCs w:val="11"/>
                <w:color w:val="auto"/>
              </w:rPr>
            </w:pPr>
          </w:p>
        </w:tc>
        <w:tc>
          <w:tcPr>
            <w:tcW w:w="2940" w:type="dxa"/>
            <w:vAlign w:val="bottom"/>
            <w:shd w:val="clear" w:color="auto" w:fill="F5F5F5"/>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3100" w:type="dxa"/>
            <w:vAlign w:val="bottom"/>
            <w:vMerge w:val="restart"/>
          </w:tcPr>
          <w:p>
            <w:pPr>
              <w:ind w:left="20"/>
              <w:spacing w:after="0"/>
              <w:rPr>
                <w:sz w:val="20"/>
                <w:szCs w:val="20"/>
                <w:color w:val="auto"/>
              </w:rPr>
            </w:pPr>
            <w:r>
              <w:rPr>
                <w:rFonts w:ascii="Arial" w:cs="Arial" w:eastAsia="Arial" w:hAnsi="Arial"/>
                <w:sz w:val="14"/>
                <w:szCs w:val="14"/>
                <w:color w:val="auto"/>
              </w:rPr>
              <w:t>Stewart Information Services Corporation</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spacing w:after="0"/>
              <w:rPr>
                <w:sz w:val="14"/>
                <w:szCs w:val="14"/>
                <w:color w:val="auto"/>
              </w:rPr>
            </w:pPr>
          </w:p>
        </w:tc>
        <w:tc>
          <w:tcPr>
            <w:tcW w:w="2940" w:type="dxa"/>
            <w:vAlign w:val="bottom"/>
            <w:vMerge w:val="restart"/>
          </w:tcPr>
          <w:p>
            <w:pPr>
              <w:ind w:left="100"/>
              <w:spacing w:after="0"/>
              <w:rPr>
                <w:sz w:val="20"/>
                <w:szCs w:val="20"/>
                <w:color w:val="auto"/>
              </w:rPr>
            </w:pPr>
            <w:r>
              <w:rPr>
                <w:rFonts w:ascii="Arial" w:cs="Arial" w:eastAsia="Arial" w:hAnsi="Arial"/>
                <w:sz w:val="14"/>
                <w:szCs w:val="14"/>
                <w:color w:val="auto"/>
              </w:rPr>
              <w:t>Title Insurance &amp; Underwriting</w:t>
            </w:r>
          </w:p>
        </w:tc>
        <w:tc>
          <w:tcPr>
            <w:tcW w:w="0" w:type="dxa"/>
            <w:vAlign w:val="bottom"/>
          </w:tcPr>
          <w:p>
            <w:pPr>
              <w:spacing w:after="0"/>
              <w:rPr>
                <w:sz w:val="1"/>
                <w:szCs w:val="1"/>
                <w:color w:val="auto"/>
              </w:rPr>
            </w:pPr>
          </w:p>
        </w:tc>
      </w:tr>
      <w:tr>
        <w:trPr>
          <w:trHeight w:val="89"/>
        </w:trPr>
        <w:tc>
          <w:tcPr>
            <w:tcW w:w="12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0" w:type="dxa"/>
            <w:vAlign w:val="bottom"/>
            <w:shd w:val="clear" w:color="auto" w:fill="DE762B"/>
          </w:tcPr>
          <w:p>
            <w:pPr>
              <w:jc w:val="center"/>
              <w:spacing w:after="0" w:line="69" w:lineRule="exact"/>
              <w:rPr>
                <w:sz w:val="20"/>
                <w:szCs w:val="20"/>
                <w:color w:val="auto"/>
              </w:rPr>
            </w:pPr>
            <w:r>
              <w:rPr>
                <w:rFonts w:ascii="Wingdings" w:cs="Wingdings" w:eastAsia="Wingdings" w:hAnsi="Wingdings"/>
                <w:sz w:val="8"/>
                <w:szCs w:val="8"/>
                <w:b w:val="1"/>
                <w:bCs w:val="1"/>
                <w:color w:val="auto"/>
                <w:shd w:val="clear" w:color="auto" w:fill="DE762B"/>
              </w:rPr>
              <w:t>n</w:t>
            </w:r>
          </w:p>
        </w:tc>
        <w:tc>
          <w:tcPr>
            <w:tcW w:w="820" w:type="dxa"/>
            <w:vAlign w:val="bottom"/>
            <w:vMerge w:val="continue"/>
          </w:tcPr>
          <w:p>
            <w:pPr>
              <w:spacing w:after="0"/>
              <w:rPr>
                <w:sz w:val="7"/>
                <w:szCs w:val="7"/>
                <w:color w:val="auto"/>
              </w:rPr>
            </w:pPr>
          </w:p>
        </w:tc>
        <w:tc>
          <w:tcPr>
            <w:tcW w:w="2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310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20" w:type="dxa"/>
            <w:vAlign w:val="bottom"/>
            <w:tcBorders>
              <w:bottom w:val="single" w:sz="8" w:color="DE762B"/>
            </w:tcBorders>
          </w:tcPr>
          <w:p>
            <w:pPr>
              <w:spacing w:after="0"/>
              <w:rPr>
                <w:sz w:val="11"/>
                <w:szCs w:val="11"/>
                <w:color w:val="auto"/>
              </w:rPr>
            </w:pPr>
          </w:p>
        </w:tc>
        <w:tc>
          <w:tcPr>
            <w:tcW w:w="3100" w:type="dxa"/>
            <w:vAlign w:val="bottom"/>
            <w:tcBorders>
              <w:bottom w:val="single" w:sz="8" w:color="DE762B"/>
            </w:tcBorders>
          </w:tcPr>
          <w:p>
            <w:pPr>
              <w:spacing w:after="0"/>
              <w:rPr>
                <w:sz w:val="11"/>
                <w:szCs w:val="11"/>
                <w:color w:val="auto"/>
              </w:rPr>
            </w:pPr>
          </w:p>
        </w:tc>
        <w:tc>
          <w:tcPr>
            <w:tcW w:w="1160" w:type="dxa"/>
            <w:vAlign w:val="bottom"/>
            <w:tcBorders>
              <w:bottom w:val="single" w:sz="8" w:color="DE762B"/>
            </w:tcBorders>
          </w:tcPr>
          <w:p>
            <w:pPr>
              <w:spacing w:after="0"/>
              <w:rPr>
                <w:sz w:val="11"/>
                <w:szCs w:val="11"/>
                <w:color w:val="auto"/>
              </w:rPr>
            </w:pPr>
          </w:p>
        </w:tc>
        <w:tc>
          <w:tcPr>
            <w:tcW w:w="80" w:type="dxa"/>
            <w:vAlign w:val="bottom"/>
            <w:tcBorders>
              <w:bottom w:val="single" w:sz="8" w:color="DE762B"/>
            </w:tcBorders>
          </w:tcPr>
          <w:p>
            <w:pPr>
              <w:spacing w:after="0"/>
              <w:rPr>
                <w:sz w:val="11"/>
                <w:szCs w:val="11"/>
                <w:color w:val="auto"/>
              </w:rPr>
            </w:pPr>
          </w:p>
        </w:tc>
        <w:tc>
          <w:tcPr>
            <w:tcW w:w="880" w:type="dxa"/>
            <w:vAlign w:val="bottom"/>
            <w:tcBorders>
              <w:bottom w:val="single" w:sz="8" w:color="DE762B"/>
            </w:tcBorders>
          </w:tcPr>
          <w:p>
            <w:pPr>
              <w:spacing w:after="0"/>
              <w:rPr>
                <w:sz w:val="11"/>
                <w:szCs w:val="11"/>
                <w:color w:val="auto"/>
              </w:rPr>
            </w:pPr>
          </w:p>
        </w:tc>
        <w:tc>
          <w:tcPr>
            <w:tcW w:w="540" w:type="dxa"/>
            <w:vAlign w:val="bottom"/>
            <w:tcBorders>
              <w:bottom w:val="single" w:sz="8" w:color="DE762B"/>
            </w:tcBorders>
          </w:tcPr>
          <w:p>
            <w:pPr>
              <w:spacing w:after="0"/>
              <w:rPr>
                <w:sz w:val="11"/>
                <w:szCs w:val="11"/>
                <w:color w:val="auto"/>
              </w:rPr>
            </w:pPr>
          </w:p>
        </w:tc>
        <w:tc>
          <w:tcPr>
            <w:tcW w:w="80" w:type="dxa"/>
            <w:vAlign w:val="bottom"/>
            <w:tcBorders>
              <w:bottom w:val="single" w:sz="8" w:color="DE762B"/>
            </w:tcBorders>
          </w:tcPr>
          <w:p>
            <w:pPr>
              <w:spacing w:after="0"/>
              <w:rPr>
                <w:sz w:val="11"/>
                <w:szCs w:val="11"/>
                <w:color w:val="auto"/>
              </w:rPr>
            </w:pPr>
          </w:p>
        </w:tc>
        <w:tc>
          <w:tcPr>
            <w:tcW w:w="520" w:type="dxa"/>
            <w:vAlign w:val="bottom"/>
            <w:tcBorders>
              <w:bottom w:val="single" w:sz="8" w:color="DE762B"/>
            </w:tcBorders>
          </w:tcPr>
          <w:p>
            <w:pPr>
              <w:spacing w:after="0"/>
              <w:rPr>
                <w:sz w:val="11"/>
                <w:szCs w:val="11"/>
                <w:color w:val="auto"/>
              </w:rPr>
            </w:pPr>
          </w:p>
        </w:tc>
        <w:tc>
          <w:tcPr>
            <w:tcW w:w="900" w:type="dxa"/>
            <w:vAlign w:val="bottom"/>
            <w:tcBorders>
              <w:bottom w:val="single" w:sz="8" w:color="DE762B"/>
            </w:tcBorders>
          </w:tcPr>
          <w:p>
            <w:pPr>
              <w:spacing w:after="0"/>
              <w:rPr>
                <w:sz w:val="11"/>
                <w:szCs w:val="11"/>
                <w:color w:val="auto"/>
              </w:rPr>
            </w:pPr>
          </w:p>
        </w:tc>
        <w:tc>
          <w:tcPr>
            <w:tcW w:w="100" w:type="dxa"/>
            <w:vAlign w:val="bottom"/>
            <w:tcBorders>
              <w:bottom w:val="single" w:sz="8" w:color="DE762B"/>
            </w:tcBorders>
          </w:tcPr>
          <w:p>
            <w:pPr>
              <w:spacing w:after="0"/>
              <w:rPr>
                <w:sz w:val="11"/>
                <w:szCs w:val="11"/>
                <w:color w:val="auto"/>
              </w:rPr>
            </w:pPr>
          </w:p>
        </w:tc>
        <w:tc>
          <w:tcPr>
            <w:tcW w:w="820" w:type="dxa"/>
            <w:vAlign w:val="bottom"/>
            <w:tcBorders>
              <w:bottom w:val="single" w:sz="8" w:color="DE762B"/>
            </w:tcBorders>
          </w:tcPr>
          <w:p>
            <w:pPr>
              <w:spacing w:after="0"/>
              <w:rPr>
                <w:sz w:val="11"/>
                <w:szCs w:val="11"/>
                <w:color w:val="auto"/>
              </w:rPr>
            </w:pPr>
          </w:p>
        </w:tc>
        <w:tc>
          <w:tcPr>
            <w:tcW w:w="2940" w:type="dxa"/>
            <w:vAlign w:val="bottom"/>
            <w:tcBorders>
              <w:bottom w:val="single" w:sz="8" w:color="DE762B"/>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5229860</wp:posOffset>
            </wp:positionH>
            <wp:positionV relativeFrom="paragraph">
              <wp:posOffset>-3980815</wp:posOffset>
            </wp:positionV>
            <wp:extent cx="33655" cy="39858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655" cy="3985895"/>
                    </a:xfrm>
                    <a:prstGeom prst="rect">
                      <a:avLst/>
                    </a:prstGeom>
                    <a:noFill/>
                  </pic:spPr>
                </pic:pic>
              </a:graphicData>
            </a:graphic>
          </wp:anchor>
        </w:drawing>
        <w:drawing>
          <wp:anchor simplePos="0" relativeHeight="251657728" behindDoc="1" locked="0" layoutInCell="0" allowOverlap="1">
            <wp:simplePos x="0" y="0"/>
            <wp:positionH relativeFrom="column">
              <wp:posOffset>4166870</wp:posOffset>
            </wp:positionH>
            <wp:positionV relativeFrom="paragraph">
              <wp:posOffset>-3980815</wp:posOffset>
            </wp:positionV>
            <wp:extent cx="33655" cy="39858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3985895"/>
                    </a:xfrm>
                    <a:prstGeom prst="rect">
                      <a:avLst/>
                    </a:prstGeom>
                    <a:noFill/>
                  </pic:spPr>
                </pic:pic>
              </a:graphicData>
            </a:graphic>
          </wp:anchor>
        </w:drawing>
        <w:drawing>
          <wp:anchor simplePos="0" relativeHeight="251657728" behindDoc="1" locked="0" layoutInCell="0" allowOverlap="1">
            <wp:simplePos x="0" y="0"/>
            <wp:positionH relativeFrom="column">
              <wp:posOffset>3318510</wp:posOffset>
            </wp:positionH>
            <wp:positionV relativeFrom="paragraph">
              <wp:posOffset>-3980815</wp:posOffset>
            </wp:positionV>
            <wp:extent cx="34290" cy="39858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3985895"/>
                    </a:xfrm>
                    <a:prstGeom prst="rect">
                      <a:avLst/>
                    </a:prstGeom>
                    <a:noFill/>
                  </pic:spPr>
                </pic:pic>
              </a:graphicData>
            </a:graphic>
          </wp:anchor>
        </w:drawing>
        <w:drawing>
          <wp:anchor simplePos="0" relativeHeight="251657728" behindDoc="1" locked="0" layoutInCell="0" allowOverlap="1">
            <wp:simplePos x="0" y="0"/>
            <wp:positionH relativeFrom="column">
              <wp:posOffset>2255520</wp:posOffset>
            </wp:positionH>
            <wp:positionV relativeFrom="paragraph">
              <wp:posOffset>-3980815</wp:posOffset>
            </wp:positionV>
            <wp:extent cx="34290" cy="39858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3985895"/>
                    </a:xfrm>
                    <a:prstGeom prst="rect">
                      <a:avLst/>
                    </a:prstGeom>
                    <a:noFill/>
                  </pic:spPr>
                </pic:pic>
              </a:graphicData>
            </a:graphic>
          </wp:anchor>
        </w:drawing>
      </w:r>
    </w:p>
    <w:p>
      <w:pPr>
        <w:spacing w:after="0" w:line="165" w:lineRule="exact"/>
        <w:rPr>
          <w:sz w:val="20"/>
          <w:szCs w:val="20"/>
          <w:color w:val="auto"/>
        </w:rPr>
      </w:pPr>
    </w:p>
    <w:p>
      <w:pPr>
        <w:ind w:left="240" w:hanging="232"/>
        <w:spacing w:after="0"/>
        <w:tabs>
          <w:tab w:leader="none" w:pos="240" w:val="left"/>
        </w:tabs>
        <w:numPr>
          <w:ilvl w:val="0"/>
          <w:numId w:val="45"/>
        </w:numPr>
        <w:rPr>
          <w:rFonts w:ascii="Arial" w:cs="Arial" w:eastAsia="Arial" w:hAnsi="Arial"/>
          <w:sz w:val="13"/>
          <w:szCs w:val="13"/>
          <w:color w:val="6D6D6D"/>
        </w:rPr>
      </w:pPr>
      <w:r>
        <w:rPr>
          <w:rFonts w:ascii="Arial" w:cs="Arial" w:eastAsia="Arial" w:hAnsi="Arial"/>
          <w:sz w:val="13"/>
          <w:szCs w:val="13"/>
          <w:color w:val="6D6D6D"/>
        </w:rPr>
        <w:t>Per peer company's most recent proxy statement.</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0C2940"/>
        </w:rPr>
        <w:t>ELEMENTS OF EXECUTIVE COMPENSATION PROGRAM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005388"/>
        </w:rPr>
        <w:t>Overview of Compensation Elements</w:t>
      </w:r>
    </w:p>
    <w:p>
      <w:pPr>
        <w:spacing w:after="0" w:line="7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table below describes the principal elements and characteristics of our executive compensation program, which align with our overall executive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611630" cy="3257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11630" cy="3257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140" w:firstLine="205"/>
        <w:spacing w:after="0" w:line="378" w:lineRule="auto"/>
        <w:rPr>
          <w:sz w:val="20"/>
          <w:szCs w:val="20"/>
          <w:color w:val="auto"/>
        </w:rPr>
      </w:pPr>
      <w:r>
        <w:rPr>
          <w:rFonts w:ascii="Arial" w:cs="Arial" w:eastAsia="Arial" w:hAnsi="Arial"/>
          <w:sz w:val="14"/>
          <w:szCs w:val="14"/>
          <w:color w:val="FFFFFF"/>
        </w:rPr>
        <w:t>COMPENSATION ELEMENT Annual Compensation:</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80" w:type="dxa"/>
            <w:vAlign w:val="bottom"/>
            <w:shd w:val="clear" w:color="auto" w:fill="0C2940"/>
          </w:tcPr>
          <w:p>
            <w:pPr>
              <w:spacing w:after="0"/>
              <w:rPr>
                <w:sz w:val="20"/>
                <w:szCs w:val="20"/>
                <w:color w:val="auto"/>
              </w:rPr>
            </w:pPr>
          </w:p>
        </w:tc>
        <w:tc>
          <w:tcPr>
            <w:tcW w:w="4420" w:type="dxa"/>
            <w:vAlign w:val="bottom"/>
            <w:shd w:val="clear" w:color="auto" w:fill="0C2940"/>
          </w:tcPr>
          <w:p>
            <w:pPr>
              <w:jc w:val="center"/>
              <w:ind w:left="388"/>
              <w:spacing w:after="0"/>
              <w:rPr>
                <w:sz w:val="20"/>
                <w:szCs w:val="20"/>
                <w:color w:val="auto"/>
              </w:rPr>
            </w:pPr>
            <w:r>
              <w:rPr>
                <w:rFonts w:ascii="Arial" w:cs="Arial" w:eastAsia="Arial" w:hAnsi="Arial"/>
                <w:sz w:val="14"/>
                <w:szCs w:val="14"/>
                <w:color w:val="FFFFFF"/>
              </w:rPr>
              <w:t>ALIGNMENT WITH</w:t>
            </w:r>
          </w:p>
        </w:tc>
      </w:tr>
      <w:tr>
        <w:trPr>
          <w:trHeight w:val="204"/>
        </w:trPr>
        <w:tc>
          <w:tcPr>
            <w:tcW w:w="4280" w:type="dxa"/>
            <w:vAlign w:val="bottom"/>
            <w:shd w:val="clear" w:color="auto" w:fill="0C2940"/>
          </w:tcPr>
          <w:p>
            <w:pPr>
              <w:ind w:left="1900"/>
              <w:spacing w:after="0"/>
              <w:rPr>
                <w:sz w:val="20"/>
                <w:szCs w:val="20"/>
                <w:color w:val="auto"/>
              </w:rPr>
            </w:pPr>
            <w:r>
              <w:rPr>
                <w:rFonts w:ascii="Arial" w:cs="Arial" w:eastAsia="Arial" w:hAnsi="Arial"/>
                <w:sz w:val="14"/>
                <w:szCs w:val="14"/>
                <w:color w:val="FFFFFF"/>
              </w:rPr>
              <w:t>DESCRIPTION</w:t>
            </w:r>
          </w:p>
        </w:tc>
        <w:tc>
          <w:tcPr>
            <w:tcW w:w="4420" w:type="dxa"/>
            <w:vAlign w:val="bottom"/>
            <w:shd w:val="clear" w:color="auto" w:fill="0C2940"/>
          </w:tcPr>
          <w:p>
            <w:pPr>
              <w:jc w:val="center"/>
              <w:ind w:left="428"/>
              <w:spacing w:after="0"/>
              <w:rPr>
                <w:sz w:val="20"/>
                <w:szCs w:val="20"/>
                <w:color w:val="auto"/>
              </w:rPr>
            </w:pPr>
            <w:r>
              <w:rPr>
                <w:rFonts w:ascii="Arial" w:cs="Arial" w:eastAsia="Arial" w:hAnsi="Arial"/>
                <w:sz w:val="14"/>
                <w:szCs w:val="14"/>
                <w:color w:val="FFFFFF"/>
              </w:rPr>
              <w:t>COMPENSATION PHILOSOPHY</w:t>
            </w:r>
          </w:p>
        </w:tc>
      </w:tr>
      <w:tr>
        <w:trPr>
          <w:trHeight w:val="75"/>
        </w:trPr>
        <w:tc>
          <w:tcPr>
            <w:tcW w:w="4280" w:type="dxa"/>
            <w:vAlign w:val="bottom"/>
            <w:shd w:val="clear" w:color="auto" w:fill="0C2940"/>
          </w:tcPr>
          <w:p>
            <w:pPr>
              <w:spacing w:after="0"/>
              <w:rPr>
                <w:sz w:val="6"/>
                <w:szCs w:val="6"/>
                <w:color w:val="auto"/>
              </w:rPr>
            </w:pPr>
          </w:p>
        </w:tc>
        <w:tc>
          <w:tcPr>
            <w:tcW w:w="4420" w:type="dxa"/>
            <w:vAlign w:val="bottom"/>
            <w:shd w:val="clear" w:color="auto" w:fill="0C294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0</wp:posOffset>
            </wp:positionV>
            <wp:extent cx="7132320" cy="14954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49542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2220" w:space="320"/>
            <w:col w:w="8700"/>
          </w:cols>
          <w:pgMar w:left="320" w:top="130" w:right="339" w:bottom="1440" w:gutter="0" w:footer="0" w:header="0"/>
          <w:type w:val="continuous"/>
        </w:sectPr>
      </w:pPr>
    </w:p>
    <w:p>
      <w:pPr>
        <w:spacing w:after="0" w:line="189" w:lineRule="exact"/>
        <w:rPr>
          <w:sz w:val="20"/>
          <w:szCs w:val="20"/>
          <w:color w:val="auto"/>
        </w:rPr>
      </w:pPr>
    </w:p>
    <w:p>
      <w:pPr>
        <w:ind w:left="100"/>
        <w:spacing w:after="0"/>
        <w:rPr>
          <w:sz w:val="20"/>
          <w:szCs w:val="20"/>
          <w:color w:val="auto"/>
        </w:rPr>
      </w:pPr>
      <w:r>
        <w:rPr>
          <w:rFonts w:ascii="Arial" w:cs="Arial" w:eastAsia="Arial" w:hAnsi="Arial"/>
          <w:sz w:val="14"/>
          <w:szCs w:val="14"/>
          <w:color w:val="auto"/>
        </w:rPr>
        <w:t>Annual Base Salary</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u w:val="single" w:color="auto"/>
          <w:color w:val="0000FF"/>
        </w:rPr>
        <w:t>43</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line="365" w:lineRule="auto"/>
        <w:rPr>
          <w:sz w:val="20"/>
          <w:szCs w:val="20"/>
          <w:color w:val="auto"/>
        </w:rPr>
      </w:pPr>
      <w:r>
        <w:rPr>
          <w:rFonts w:ascii="Arial" w:cs="Arial" w:eastAsia="Arial" w:hAnsi="Arial"/>
          <w:sz w:val="14"/>
          <w:szCs w:val="14"/>
          <w:color w:val="auto"/>
        </w:rPr>
        <w:t xml:space="preserve">Short-Term Incentive Program (p. </w:t>
      </w:r>
      <w:r>
        <w:rPr>
          <w:rFonts w:ascii="Arial" w:cs="Arial" w:eastAsia="Arial" w:hAnsi="Arial"/>
          <w:sz w:val="14"/>
          <w:szCs w:val="14"/>
          <w:u w:val="single" w:color="auto"/>
          <w:color w:val="0000FF"/>
        </w:rPr>
        <w:t>43</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42" w:right="80" w:hanging="242"/>
        <w:spacing w:after="0" w:line="264" w:lineRule="auto"/>
        <w:tabs>
          <w:tab w:leader="none" w:pos="204" w:val="left"/>
        </w:tabs>
        <w:numPr>
          <w:ilvl w:val="0"/>
          <w:numId w:val="46"/>
        </w:numPr>
        <w:rPr>
          <w:rFonts w:ascii="Arial" w:cs="Arial" w:eastAsia="Arial" w:hAnsi="Arial"/>
          <w:sz w:val="16"/>
          <w:szCs w:val="16"/>
          <w:color w:val="005388"/>
        </w:rPr>
      </w:pPr>
      <w:r>
        <w:rPr>
          <w:rFonts w:ascii="Arial" w:cs="Arial" w:eastAsia="Arial" w:hAnsi="Arial"/>
          <w:sz w:val="14"/>
          <w:szCs w:val="14"/>
          <w:color w:val="auto"/>
        </w:rPr>
        <w:t>Fixed component of annual cash compensation that reflects expertise and scope of responsibilities, influenced by market pay levels, trends and individual performance</w:t>
      </w:r>
    </w:p>
    <w:p>
      <w:pPr>
        <w:spacing w:after="0" w:line="374" w:lineRule="exact"/>
        <w:rPr>
          <w:rFonts w:ascii="Arial" w:cs="Arial" w:eastAsia="Arial" w:hAnsi="Arial"/>
          <w:sz w:val="16"/>
          <w:szCs w:val="16"/>
          <w:color w:val="005388"/>
        </w:rPr>
      </w:pPr>
    </w:p>
    <w:p>
      <w:pPr>
        <w:ind w:left="242" w:hanging="242"/>
        <w:spacing w:after="0" w:line="270" w:lineRule="auto"/>
        <w:tabs>
          <w:tab w:leader="none" w:pos="204" w:val="left"/>
        </w:tabs>
        <w:numPr>
          <w:ilvl w:val="0"/>
          <w:numId w:val="46"/>
        </w:numPr>
        <w:rPr>
          <w:rFonts w:ascii="Arial" w:cs="Arial" w:eastAsia="Arial" w:hAnsi="Arial"/>
          <w:sz w:val="16"/>
          <w:szCs w:val="16"/>
          <w:color w:val="005388"/>
        </w:rPr>
      </w:pPr>
      <w:r>
        <w:rPr>
          <w:rFonts w:ascii="Arial" w:cs="Arial" w:eastAsia="Arial" w:hAnsi="Arial"/>
          <w:sz w:val="14"/>
          <w:szCs w:val="14"/>
          <w:color w:val="auto"/>
        </w:rPr>
        <w:t>Cash-based annual bonus plan based 100% on meeting Company objectives</w:t>
      </w:r>
    </w:p>
    <w:p>
      <w:pPr>
        <w:spacing w:after="0" w:line="30" w:lineRule="exact"/>
        <w:rPr>
          <w:rFonts w:ascii="Arial" w:cs="Arial" w:eastAsia="Arial" w:hAnsi="Arial"/>
          <w:sz w:val="16"/>
          <w:szCs w:val="16"/>
          <w:color w:val="005388"/>
        </w:rPr>
      </w:pPr>
    </w:p>
    <w:p>
      <w:pPr>
        <w:ind w:left="242" w:right="100" w:hanging="242"/>
        <w:spacing w:after="0" w:line="270" w:lineRule="auto"/>
        <w:tabs>
          <w:tab w:leader="none" w:pos="204" w:val="left"/>
        </w:tabs>
        <w:numPr>
          <w:ilvl w:val="0"/>
          <w:numId w:val="46"/>
        </w:numPr>
        <w:rPr>
          <w:rFonts w:ascii="Arial" w:cs="Arial" w:eastAsia="Arial" w:hAnsi="Arial"/>
          <w:sz w:val="16"/>
          <w:szCs w:val="16"/>
          <w:color w:val="005388"/>
        </w:rPr>
      </w:pPr>
      <w:r>
        <w:rPr>
          <w:rFonts w:ascii="Arial" w:cs="Arial" w:eastAsia="Arial" w:hAnsi="Arial"/>
          <w:sz w:val="14"/>
          <w:szCs w:val="14"/>
          <w:color w:val="auto"/>
        </w:rPr>
        <w:t>Requirement that executive be employed at the time the bonus is paid has a retentive effect</w:t>
      </w:r>
    </w:p>
    <w:p>
      <w:pPr>
        <w:spacing w:after="0" w:line="20" w:lineRule="exact"/>
        <w:rPr>
          <w:sz w:val="20"/>
          <w:szCs w:val="20"/>
          <w:color w:val="auto"/>
        </w:rPr>
      </w:pPr>
      <w:r>
        <w:rPr>
          <w:sz w:val="20"/>
          <w:szCs w:val="20"/>
          <w:color w:val="auto"/>
        </w:rPr>
        <w:br w:type="column"/>
      </w:r>
    </w:p>
    <w:p>
      <w:pPr>
        <w:ind w:left="237" w:right="400" w:hanging="237"/>
        <w:spacing w:after="0" w:line="270" w:lineRule="auto"/>
        <w:tabs>
          <w:tab w:leader="none" w:pos="199" w:val="left"/>
        </w:tabs>
        <w:numPr>
          <w:ilvl w:val="0"/>
          <w:numId w:val="47"/>
        </w:numPr>
        <w:rPr>
          <w:rFonts w:ascii="Arial" w:cs="Arial" w:eastAsia="Arial" w:hAnsi="Arial"/>
          <w:sz w:val="16"/>
          <w:szCs w:val="16"/>
          <w:color w:val="005388"/>
        </w:rPr>
      </w:pPr>
      <w:r>
        <w:rPr>
          <w:rFonts w:ascii="Arial" w:cs="Arial" w:eastAsia="Arial" w:hAnsi="Arial"/>
          <w:sz w:val="14"/>
          <w:szCs w:val="14"/>
          <w:color w:val="auto"/>
        </w:rPr>
        <w:t>Attract and retain key talent with market competitive salaries</w:t>
      </w:r>
    </w:p>
    <w:p>
      <w:pPr>
        <w:spacing w:after="0" w:line="30" w:lineRule="exact"/>
        <w:rPr>
          <w:rFonts w:ascii="Arial" w:cs="Arial" w:eastAsia="Arial" w:hAnsi="Arial"/>
          <w:sz w:val="16"/>
          <w:szCs w:val="16"/>
          <w:color w:val="005388"/>
        </w:rPr>
      </w:pPr>
    </w:p>
    <w:p>
      <w:pPr>
        <w:ind w:left="197" w:hanging="197"/>
        <w:spacing w:after="0"/>
        <w:tabs>
          <w:tab w:leader="none" w:pos="197" w:val="left"/>
        </w:tabs>
        <w:numPr>
          <w:ilvl w:val="0"/>
          <w:numId w:val="47"/>
        </w:numPr>
        <w:rPr>
          <w:rFonts w:ascii="Arial" w:cs="Arial" w:eastAsia="Arial" w:hAnsi="Arial"/>
          <w:sz w:val="16"/>
          <w:szCs w:val="16"/>
          <w:color w:val="005388"/>
        </w:rPr>
      </w:pPr>
      <w:r>
        <w:rPr>
          <w:rFonts w:ascii="Arial" w:cs="Arial" w:eastAsia="Arial" w:hAnsi="Arial"/>
          <w:sz w:val="14"/>
          <w:szCs w:val="14"/>
          <w:color w:val="auto"/>
        </w:rPr>
        <w:t>Provide financial certainty and stability</w:t>
      </w:r>
    </w:p>
    <w:p>
      <w:pPr>
        <w:spacing w:after="0" w:line="59" w:lineRule="exact"/>
        <w:rPr>
          <w:rFonts w:ascii="Arial" w:cs="Arial" w:eastAsia="Arial" w:hAnsi="Arial"/>
          <w:sz w:val="16"/>
          <w:szCs w:val="16"/>
          <w:color w:val="005388"/>
        </w:rPr>
      </w:pPr>
    </w:p>
    <w:p>
      <w:pPr>
        <w:ind w:left="197" w:hanging="197"/>
        <w:spacing w:after="0"/>
        <w:tabs>
          <w:tab w:leader="none" w:pos="197" w:val="left"/>
        </w:tabs>
        <w:numPr>
          <w:ilvl w:val="0"/>
          <w:numId w:val="47"/>
        </w:numPr>
        <w:rPr>
          <w:rFonts w:ascii="Arial" w:cs="Arial" w:eastAsia="Arial" w:hAnsi="Arial"/>
          <w:sz w:val="16"/>
          <w:szCs w:val="16"/>
          <w:color w:val="005388"/>
        </w:rPr>
      </w:pPr>
      <w:r>
        <w:rPr>
          <w:rFonts w:ascii="Arial" w:cs="Arial" w:eastAsia="Arial" w:hAnsi="Arial"/>
          <w:sz w:val="14"/>
          <w:szCs w:val="14"/>
          <w:color w:val="auto"/>
        </w:rPr>
        <w:t>Recognize individual performance</w:t>
      </w:r>
    </w:p>
    <w:p>
      <w:pPr>
        <w:spacing w:after="0" w:line="72" w:lineRule="exact"/>
        <w:rPr>
          <w:rFonts w:ascii="Arial" w:cs="Arial" w:eastAsia="Arial" w:hAnsi="Arial"/>
          <w:sz w:val="16"/>
          <w:szCs w:val="16"/>
          <w:color w:val="005388"/>
        </w:rPr>
      </w:pPr>
    </w:p>
    <w:p>
      <w:pPr>
        <w:ind w:left="237" w:right="480" w:hanging="237"/>
        <w:spacing w:after="0" w:line="264" w:lineRule="auto"/>
        <w:tabs>
          <w:tab w:leader="none" w:pos="199" w:val="left"/>
        </w:tabs>
        <w:numPr>
          <w:ilvl w:val="0"/>
          <w:numId w:val="47"/>
        </w:numPr>
        <w:rPr>
          <w:rFonts w:ascii="Arial" w:cs="Arial" w:eastAsia="Arial" w:hAnsi="Arial"/>
          <w:sz w:val="16"/>
          <w:szCs w:val="16"/>
          <w:color w:val="005388"/>
        </w:rPr>
      </w:pPr>
      <w:r>
        <w:rPr>
          <w:rFonts w:ascii="Arial" w:cs="Arial" w:eastAsia="Arial" w:hAnsi="Arial"/>
          <w:sz w:val="14"/>
          <w:szCs w:val="14"/>
          <w:color w:val="auto"/>
        </w:rPr>
        <w:t>Balance between short- and long-term corporate objectives that aligns with the Company's pay-for-performance philosophy and stockholder interests</w:t>
      </w:r>
    </w:p>
    <w:p>
      <w:pPr>
        <w:spacing w:after="0" w:line="37" w:lineRule="exact"/>
        <w:rPr>
          <w:rFonts w:ascii="Arial" w:cs="Arial" w:eastAsia="Arial" w:hAnsi="Arial"/>
          <w:sz w:val="16"/>
          <w:szCs w:val="16"/>
          <w:color w:val="005388"/>
        </w:rPr>
      </w:pPr>
    </w:p>
    <w:p>
      <w:pPr>
        <w:ind w:left="237" w:right="20" w:hanging="237"/>
        <w:spacing w:after="0" w:line="264" w:lineRule="auto"/>
        <w:tabs>
          <w:tab w:leader="none" w:pos="199" w:val="left"/>
        </w:tabs>
        <w:numPr>
          <w:ilvl w:val="0"/>
          <w:numId w:val="47"/>
        </w:numPr>
        <w:rPr>
          <w:rFonts w:ascii="Arial" w:cs="Arial" w:eastAsia="Arial" w:hAnsi="Arial"/>
          <w:sz w:val="16"/>
          <w:szCs w:val="16"/>
          <w:color w:val="005388"/>
        </w:rPr>
      </w:pPr>
      <w:r>
        <w:rPr>
          <w:rFonts w:ascii="Arial" w:cs="Arial" w:eastAsia="Arial" w:hAnsi="Arial"/>
          <w:sz w:val="14"/>
          <w:szCs w:val="14"/>
          <w:color w:val="auto"/>
        </w:rPr>
        <w:t>Short-term growth important in MI business, with each book year of business supporting the long-term growth of the Company</w:t>
      </w:r>
    </w:p>
    <w:p>
      <w:pPr>
        <w:spacing w:after="0" w:line="200" w:lineRule="exact"/>
        <w:rPr>
          <w:sz w:val="20"/>
          <w:szCs w:val="20"/>
          <w:color w:val="auto"/>
        </w:rPr>
      </w:pPr>
    </w:p>
    <w:p>
      <w:pPr>
        <w:sectPr>
          <w:pgSz w:w="11900" w:h="16838" w:orient="portrait"/>
          <w:cols w:equalWidth="0" w:num="3">
            <w:col w:w="2020" w:space="638"/>
            <w:col w:w="4442" w:space="243"/>
            <w:col w:w="3897"/>
          </w:cols>
          <w:pgMar w:left="320" w:top="130" w:right="339" w:bottom="1440" w:gutter="0" w:footer="0" w:header="0"/>
          <w:type w:val="continuous"/>
        </w:sectPr>
      </w:pPr>
    </w:p>
    <w:p>
      <w:pPr>
        <w:spacing w:after="0" w:line="301"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41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1611630" cy="3257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1163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40" w:firstLine="205"/>
        <w:spacing w:after="0" w:line="378" w:lineRule="auto"/>
        <w:rPr>
          <w:sz w:val="20"/>
          <w:szCs w:val="20"/>
          <w:color w:val="auto"/>
        </w:rPr>
      </w:pPr>
      <w:r>
        <w:rPr>
          <w:rFonts w:ascii="Arial" w:cs="Arial" w:eastAsia="Arial" w:hAnsi="Arial"/>
          <w:sz w:val="14"/>
          <w:szCs w:val="14"/>
          <w:color w:val="FFFFFF"/>
        </w:rPr>
        <w:t>COMPENSATION ELEMENT Long-Term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280" w:type="dxa"/>
            <w:vAlign w:val="bottom"/>
            <w:shd w:val="clear" w:color="auto" w:fill="0C2940"/>
          </w:tcPr>
          <w:p>
            <w:pPr>
              <w:spacing w:after="0"/>
              <w:rPr>
                <w:sz w:val="20"/>
                <w:szCs w:val="20"/>
                <w:color w:val="auto"/>
              </w:rPr>
            </w:pPr>
          </w:p>
        </w:tc>
        <w:tc>
          <w:tcPr>
            <w:tcW w:w="4420" w:type="dxa"/>
            <w:vAlign w:val="bottom"/>
            <w:shd w:val="clear" w:color="auto" w:fill="0C2940"/>
          </w:tcPr>
          <w:p>
            <w:pPr>
              <w:jc w:val="center"/>
              <w:ind w:left="388"/>
              <w:spacing w:after="0"/>
              <w:rPr>
                <w:sz w:val="20"/>
                <w:szCs w:val="20"/>
                <w:color w:val="auto"/>
              </w:rPr>
            </w:pPr>
            <w:r>
              <w:rPr>
                <w:rFonts w:ascii="Arial" w:cs="Arial" w:eastAsia="Arial" w:hAnsi="Arial"/>
                <w:sz w:val="14"/>
                <w:szCs w:val="14"/>
                <w:color w:val="FFFFFF"/>
              </w:rPr>
              <w:t>ALIGNMENT WITH</w:t>
            </w:r>
          </w:p>
        </w:tc>
      </w:tr>
      <w:tr>
        <w:trPr>
          <w:trHeight w:val="204"/>
        </w:trPr>
        <w:tc>
          <w:tcPr>
            <w:tcW w:w="4280" w:type="dxa"/>
            <w:vAlign w:val="bottom"/>
            <w:shd w:val="clear" w:color="auto" w:fill="0C2940"/>
          </w:tcPr>
          <w:p>
            <w:pPr>
              <w:ind w:left="1900"/>
              <w:spacing w:after="0"/>
              <w:rPr>
                <w:sz w:val="20"/>
                <w:szCs w:val="20"/>
                <w:color w:val="auto"/>
              </w:rPr>
            </w:pPr>
            <w:r>
              <w:rPr>
                <w:rFonts w:ascii="Arial" w:cs="Arial" w:eastAsia="Arial" w:hAnsi="Arial"/>
                <w:sz w:val="14"/>
                <w:szCs w:val="14"/>
                <w:color w:val="FFFFFF"/>
              </w:rPr>
              <w:t>DESCRIPTION</w:t>
            </w:r>
          </w:p>
        </w:tc>
        <w:tc>
          <w:tcPr>
            <w:tcW w:w="4420" w:type="dxa"/>
            <w:vAlign w:val="bottom"/>
            <w:shd w:val="clear" w:color="auto" w:fill="0C2940"/>
          </w:tcPr>
          <w:p>
            <w:pPr>
              <w:jc w:val="center"/>
              <w:ind w:left="428"/>
              <w:spacing w:after="0"/>
              <w:rPr>
                <w:sz w:val="20"/>
                <w:szCs w:val="20"/>
                <w:color w:val="auto"/>
              </w:rPr>
            </w:pPr>
            <w:r>
              <w:rPr>
                <w:rFonts w:ascii="Arial" w:cs="Arial" w:eastAsia="Arial" w:hAnsi="Arial"/>
                <w:sz w:val="14"/>
                <w:szCs w:val="14"/>
                <w:color w:val="FFFFFF"/>
              </w:rPr>
              <w:t>COMPENSATION PHILOSOPHY</w:t>
            </w:r>
          </w:p>
        </w:tc>
      </w:tr>
      <w:tr>
        <w:trPr>
          <w:trHeight w:val="76"/>
        </w:trPr>
        <w:tc>
          <w:tcPr>
            <w:tcW w:w="4280" w:type="dxa"/>
            <w:vAlign w:val="bottom"/>
            <w:shd w:val="clear" w:color="auto" w:fill="0C2940"/>
          </w:tcPr>
          <w:p>
            <w:pPr>
              <w:spacing w:after="0"/>
              <w:rPr>
                <w:sz w:val="6"/>
                <w:szCs w:val="6"/>
                <w:color w:val="auto"/>
              </w:rPr>
            </w:pPr>
          </w:p>
        </w:tc>
        <w:tc>
          <w:tcPr>
            <w:tcW w:w="4420" w:type="dxa"/>
            <w:vAlign w:val="bottom"/>
            <w:shd w:val="clear" w:color="auto" w:fill="0C2940"/>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0</wp:posOffset>
            </wp:positionV>
            <wp:extent cx="7132320" cy="20275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027555"/>
                    </a:xfrm>
                    <a:prstGeom prst="rect">
                      <a:avLst/>
                    </a:prstGeom>
                    <a:noFill/>
                  </pic:spPr>
                </pic:pic>
              </a:graphicData>
            </a:graphic>
          </wp:anchor>
        </w:drawing>
      </w:r>
    </w:p>
    <w:p>
      <w:pPr>
        <w:spacing w:after="0" w:line="260" w:lineRule="exact"/>
        <w:rPr>
          <w:sz w:val="20"/>
          <w:szCs w:val="20"/>
          <w:color w:val="auto"/>
        </w:rPr>
      </w:pPr>
    </w:p>
    <w:p>
      <w:pPr>
        <w:sectPr>
          <w:pgSz w:w="11900" w:h="16838" w:orient="portrait"/>
          <w:cols w:equalWidth="0" w:num="2">
            <w:col w:w="2220" w:space="320"/>
            <w:col w:w="8700"/>
          </w:cols>
          <w:pgMar w:left="320" w:top="130" w:right="339" w:bottom="1440" w:gutter="0" w:footer="0" w:header="0"/>
        </w:sectPr>
      </w:pPr>
    </w:p>
    <w:p>
      <w:pPr>
        <w:spacing w:after="0" w:line="365" w:lineRule="exact"/>
        <w:rPr>
          <w:sz w:val="20"/>
          <w:szCs w:val="20"/>
          <w:color w:val="auto"/>
        </w:rPr>
      </w:pPr>
    </w:p>
    <w:p>
      <w:pPr>
        <w:ind w:left="100"/>
        <w:spacing w:after="0" w:line="365" w:lineRule="auto"/>
        <w:rPr>
          <w:sz w:val="20"/>
          <w:szCs w:val="20"/>
          <w:color w:val="auto"/>
        </w:rPr>
      </w:pPr>
      <w:r>
        <w:rPr>
          <w:rFonts w:ascii="Arial" w:cs="Arial" w:eastAsia="Arial" w:hAnsi="Arial"/>
          <w:sz w:val="14"/>
          <w:szCs w:val="14"/>
          <w:color w:val="auto"/>
        </w:rPr>
        <w:t xml:space="preserve">Long-Term Incentive Program (p. </w:t>
      </w:r>
      <w:r>
        <w:rPr>
          <w:rFonts w:ascii="Arial" w:cs="Arial" w:eastAsia="Arial" w:hAnsi="Arial"/>
          <w:sz w:val="14"/>
          <w:szCs w:val="14"/>
          <w:u w:val="single" w:color="auto"/>
          <w:color w:val="0000FF"/>
        </w:rPr>
        <w:t>45</w:t>
      </w:r>
      <w:r>
        <w:rPr>
          <w:rFonts w:ascii="Arial" w:cs="Arial" w:eastAsia="Arial" w:hAnsi="Arial"/>
          <w:sz w:val="14"/>
          <w:szCs w:val="14"/>
          <w:color w:val="auto"/>
        </w:rPr>
        <w:t>)</w:t>
      </w:r>
    </w:p>
    <w:p>
      <w:pPr>
        <w:spacing w:after="0" w:line="200" w:lineRule="exact"/>
        <w:rPr>
          <w:sz w:val="20"/>
          <w:szCs w:val="20"/>
          <w:color w:val="auto"/>
        </w:rPr>
      </w:pPr>
    </w:p>
    <w:p>
      <w:pPr>
        <w:spacing w:after="0" w:line="201" w:lineRule="exact"/>
        <w:rPr>
          <w:sz w:val="20"/>
          <w:szCs w:val="20"/>
          <w:color w:val="auto"/>
        </w:rPr>
      </w:pPr>
    </w:p>
    <w:p>
      <w:pPr>
        <w:ind w:left="140"/>
        <w:spacing w:after="0"/>
        <w:rPr>
          <w:sz w:val="20"/>
          <w:szCs w:val="20"/>
          <w:color w:val="auto"/>
        </w:rPr>
      </w:pPr>
      <w:r>
        <w:rPr>
          <w:rFonts w:ascii="Arial" w:cs="Arial" w:eastAsia="Arial" w:hAnsi="Arial"/>
          <w:sz w:val="14"/>
          <w:szCs w:val="14"/>
          <w:color w:val="FFFFFF"/>
        </w:rPr>
        <w:t>Other Executive Benefits:</w:t>
      </w:r>
    </w:p>
    <w:p>
      <w:pPr>
        <w:spacing w:after="0" w:line="20" w:lineRule="exact"/>
        <w:rPr>
          <w:sz w:val="20"/>
          <w:szCs w:val="20"/>
          <w:color w:val="auto"/>
        </w:rPr>
      </w:pPr>
      <w:r>
        <w:rPr>
          <w:sz w:val="20"/>
          <w:szCs w:val="20"/>
          <w:color w:val="auto"/>
        </w:rPr>
        <w:br w:type="column"/>
      </w:r>
    </w:p>
    <w:p>
      <w:pPr>
        <w:ind w:left="242" w:right="20" w:hanging="242"/>
        <w:spacing w:after="0" w:line="270" w:lineRule="auto"/>
        <w:tabs>
          <w:tab w:leader="none" w:pos="204" w:val="left"/>
        </w:tabs>
        <w:numPr>
          <w:ilvl w:val="0"/>
          <w:numId w:val="48"/>
        </w:numPr>
        <w:rPr>
          <w:rFonts w:ascii="Arial" w:cs="Arial" w:eastAsia="Arial" w:hAnsi="Arial"/>
          <w:sz w:val="16"/>
          <w:szCs w:val="16"/>
          <w:color w:val="005388"/>
        </w:rPr>
      </w:pPr>
      <w:r>
        <w:rPr>
          <w:rFonts w:ascii="Arial" w:cs="Arial" w:eastAsia="Arial" w:hAnsi="Arial"/>
          <w:sz w:val="14"/>
          <w:szCs w:val="14"/>
          <w:color w:val="auto"/>
        </w:rPr>
        <w:t>Equity-based, consisting of a 60:40 mix of PRSUs and RSUs for our CEO and a 50:50 mix of RSUs and PRSUs for each other NEO</w:t>
      </w:r>
    </w:p>
    <w:p>
      <w:pPr>
        <w:spacing w:after="0" w:line="30" w:lineRule="exact"/>
        <w:rPr>
          <w:rFonts w:ascii="Arial" w:cs="Arial" w:eastAsia="Arial" w:hAnsi="Arial"/>
          <w:sz w:val="16"/>
          <w:szCs w:val="16"/>
          <w:color w:val="005388"/>
        </w:rPr>
      </w:pPr>
    </w:p>
    <w:p>
      <w:pPr>
        <w:ind w:left="202" w:hanging="202"/>
        <w:spacing w:after="0"/>
        <w:tabs>
          <w:tab w:leader="none" w:pos="202" w:val="left"/>
        </w:tabs>
        <w:numPr>
          <w:ilvl w:val="0"/>
          <w:numId w:val="48"/>
        </w:numPr>
        <w:rPr>
          <w:rFonts w:ascii="Arial" w:cs="Arial" w:eastAsia="Arial" w:hAnsi="Arial"/>
          <w:sz w:val="16"/>
          <w:szCs w:val="16"/>
          <w:color w:val="005388"/>
        </w:rPr>
      </w:pPr>
      <w:r>
        <w:rPr>
          <w:rFonts w:ascii="Arial" w:cs="Arial" w:eastAsia="Arial" w:hAnsi="Arial"/>
          <w:sz w:val="14"/>
          <w:szCs w:val="14"/>
          <w:color w:val="auto"/>
        </w:rPr>
        <w:t>RSUs vest over a three-year period</w:t>
      </w:r>
    </w:p>
    <w:p>
      <w:pPr>
        <w:spacing w:after="0" w:line="59" w:lineRule="exact"/>
        <w:rPr>
          <w:rFonts w:ascii="Arial" w:cs="Arial" w:eastAsia="Arial" w:hAnsi="Arial"/>
          <w:sz w:val="16"/>
          <w:szCs w:val="16"/>
          <w:color w:val="005388"/>
        </w:rPr>
      </w:pPr>
    </w:p>
    <w:p>
      <w:pPr>
        <w:ind w:left="242" w:hanging="242"/>
        <w:spacing w:after="0" w:line="264" w:lineRule="auto"/>
        <w:tabs>
          <w:tab w:leader="none" w:pos="204" w:val="left"/>
        </w:tabs>
        <w:numPr>
          <w:ilvl w:val="0"/>
          <w:numId w:val="48"/>
        </w:numPr>
        <w:rPr>
          <w:rFonts w:ascii="Arial" w:cs="Arial" w:eastAsia="Arial" w:hAnsi="Arial"/>
          <w:sz w:val="16"/>
          <w:szCs w:val="16"/>
          <w:color w:val="005388"/>
        </w:rPr>
      </w:pPr>
      <w:r>
        <w:rPr>
          <w:rFonts w:ascii="Arial" w:cs="Arial" w:eastAsia="Arial" w:hAnsi="Arial"/>
          <w:sz w:val="14"/>
          <w:szCs w:val="14"/>
          <w:color w:val="auto"/>
        </w:rPr>
        <w:t>PRSUs are 100% earned based on achievement of cumulative book value per share (BVPS) growth targets over a three-year performance period</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left="237" w:right="260" w:hanging="237"/>
        <w:spacing w:after="0" w:line="270" w:lineRule="auto"/>
        <w:tabs>
          <w:tab w:leader="none" w:pos="199" w:val="left"/>
        </w:tabs>
        <w:numPr>
          <w:ilvl w:val="0"/>
          <w:numId w:val="49"/>
        </w:numPr>
        <w:rPr>
          <w:rFonts w:ascii="Arial" w:cs="Arial" w:eastAsia="Arial" w:hAnsi="Arial"/>
          <w:sz w:val="16"/>
          <w:szCs w:val="16"/>
          <w:color w:val="005388"/>
        </w:rPr>
      </w:pPr>
      <w:r>
        <w:rPr>
          <w:rFonts w:ascii="Arial" w:cs="Arial" w:eastAsia="Arial" w:hAnsi="Arial"/>
          <w:sz w:val="14"/>
          <w:szCs w:val="14"/>
          <w:color w:val="auto"/>
        </w:rPr>
        <w:t>RSUs align management and stockholder interests on increasing share value</w:t>
      </w:r>
    </w:p>
    <w:p>
      <w:pPr>
        <w:spacing w:after="0" w:line="30" w:lineRule="exact"/>
        <w:rPr>
          <w:rFonts w:ascii="Arial" w:cs="Arial" w:eastAsia="Arial" w:hAnsi="Arial"/>
          <w:sz w:val="16"/>
          <w:szCs w:val="16"/>
          <w:color w:val="005388"/>
        </w:rPr>
      </w:pPr>
    </w:p>
    <w:p>
      <w:pPr>
        <w:jc w:val="both"/>
        <w:ind w:left="237" w:right="700" w:hanging="237"/>
        <w:spacing w:after="0" w:line="264" w:lineRule="auto"/>
        <w:tabs>
          <w:tab w:leader="none" w:pos="199" w:val="left"/>
        </w:tabs>
        <w:numPr>
          <w:ilvl w:val="0"/>
          <w:numId w:val="49"/>
        </w:numPr>
        <w:rPr>
          <w:rFonts w:ascii="Arial" w:cs="Arial" w:eastAsia="Arial" w:hAnsi="Arial"/>
          <w:sz w:val="16"/>
          <w:szCs w:val="16"/>
          <w:color w:val="005388"/>
        </w:rPr>
      </w:pPr>
      <w:r>
        <w:rPr>
          <w:rFonts w:ascii="Arial" w:cs="Arial" w:eastAsia="Arial" w:hAnsi="Arial"/>
          <w:sz w:val="14"/>
          <w:szCs w:val="14"/>
          <w:color w:val="auto"/>
        </w:rPr>
        <w:t>PRSUs link realized compensation value to the Company's achievement of long-term financial performance</w:t>
      </w:r>
    </w:p>
    <w:p>
      <w:pPr>
        <w:spacing w:after="0" w:line="401" w:lineRule="exact"/>
        <w:rPr>
          <w:sz w:val="20"/>
          <w:szCs w:val="20"/>
          <w:color w:val="auto"/>
        </w:rPr>
      </w:pPr>
    </w:p>
    <w:p>
      <w:pPr>
        <w:sectPr>
          <w:pgSz w:w="11900" w:h="16838" w:orient="portrait"/>
          <w:cols w:equalWidth="0" w:num="3">
            <w:col w:w="2000" w:space="658"/>
            <w:col w:w="4542" w:space="143"/>
            <w:col w:w="3897"/>
          </w:cols>
          <w:pgMar w:left="320" w:top="130" w:right="339" w:bottom="1440" w:gutter="0" w:footer="0" w:header="0"/>
          <w:type w:val="continuous"/>
        </w:sectPr>
      </w:pPr>
    </w:p>
    <w:p>
      <w:pPr>
        <w:spacing w:after="0" w:line="25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Retirement Program</w:t>
      </w:r>
    </w:p>
    <w:p>
      <w:pPr>
        <w:spacing w:after="0" w:line="200" w:lineRule="exact"/>
        <w:rPr>
          <w:sz w:val="20"/>
          <w:szCs w:val="20"/>
          <w:color w:val="auto"/>
        </w:rPr>
      </w:pPr>
    </w:p>
    <w:p>
      <w:pPr>
        <w:spacing w:after="0" w:line="3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Executive Cash Allowance Program</w:t>
      </w:r>
    </w:p>
    <w:p>
      <w:pPr>
        <w:spacing w:after="0" w:line="20" w:lineRule="exact"/>
        <w:rPr>
          <w:sz w:val="20"/>
          <w:szCs w:val="20"/>
          <w:color w:val="auto"/>
        </w:rPr>
      </w:pPr>
      <w:r>
        <w:rPr>
          <w:sz w:val="20"/>
          <w:szCs w:val="20"/>
          <w:color w:val="auto"/>
        </w:rPr>
        <w:br w:type="column"/>
      </w:r>
    </w:p>
    <w:p>
      <w:pPr>
        <w:ind w:left="242" w:hanging="242"/>
        <w:spacing w:after="0" w:line="263" w:lineRule="auto"/>
        <w:tabs>
          <w:tab w:leader="none" w:pos="204" w:val="left"/>
        </w:tabs>
        <w:numPr>
          <w:ilvl w:val="0"/>
          <w:numId w:val="50"/>
        </w:numPr>
        <w:rPr>
          <w:rFonts w:ascii="Arial" w:cs="Arial" w:eastAsia="Arial" w:hAnsi="Arial"/>
          <w:sz w:val="16"/>
          <w:szCs w:val="16"/>
          <w:color w:val="005388"/>
        </w:rPr>
      </w:pPr>
      <w:r>
        <w:rPr>
          <w:rFonts w:ascii="Arial" w:cs="Arial" w:eastAsia="Arial" w:hAnsi="Arial"/>
          <w:sz w:val="14"/>
          <w:szCs w:val="14"/>
          <w:color w:val="auto"/>
        </w:rPr>
        <w:t>Participation in 401(k) Plan, including a matching contribution by the Company of 100% of the executive's contribution up to 5% of the executive's eligible compensation, which was offered to all eligible employees who participated in the Company's 401(k) Plan in 2025</w:t>
      </w:r>
    </w:p>
    <w:p>
      <w:pPr>
        <w:spacing w:after="0" w:line="160" w:lineRule="exact"/>
        <w:rPr>
          <w:rFonts w:ascii="Arial" w:cs="Arial" w:eastAsia="Arial" w:hAnsi="Arial"/>
          <w:sz w:val="16"/>
          <w:szCs w:val="16"/>
          <w:color w:val="005388"/>
        </w:rPr>
      </w:pPr>
    </w:p>
    <w:p>
      <w:pPr>
        <w:ind w:left="242" w:right="100" w:hanging="242"/>
        <w:spacing w:after="0" w:line="270" w:lineRule="auto"/>
        <w:tabs>
          <w:tab w:leader="none" w:pos="204" w:val="left"/>
        </w:tabs>
        <w:numPr>
          <w:ilvl w:val="0"/>
          <w:numId w:val="50"/>
        </w:numPr>
        <w:rPr>
          <w:rFonts w:ascii="Arial" w:cs="Arial" w:eastAsia="Arial" w:hAnsi="Arial"/>
          <w:sz w:val="16"/>
          <w:szCs w:val="16"/>
          <w:color w:val="005388"/>
        </w:rPr>
      </w:pPr>
      <w:r>
        <w:rPr>
          <w:rFonts w:ascii="Arial" w:cs="Arial" w:eastAsia="Arial" w:hAnsi="Arial"/>
          <w:sz w:val="14"/>
          <w:szCs w:val="14"/>
          <w:color w:val="auto"/>
        </w:rPr>
        <w:t>Fixed cash amount to be used at the discretion of the executive, in lieu of individualized perquisite programs</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97" w:hanging="197"/>
        <w:spacing w:after="0"/>
        <w:tabs>
          <w:tab w:leader="none" w:pos="197" w:val="left"/>
        </w:tabs>
        <w:numPr>
          <w:ilvl w:val="0"/>
          <w:numId w:val="51"/>
        </w:numPr>
        <w:rPr>
          <w:rFonts w:ascii="Arial" w:cs="Arial" w:eastAsia="Arial" w:hAnsi="Arial"/>
          <w:sz w:val="16"/>
          <w:szCs w:val="16"/>
          <w:color w:val="005388"/>
        </w:rPr>
      </w:pPr>
      <w:r>
        <w:rPr>
          <w:rFonts w:ascii="Arial" w:cs="Arial" w:eastAsia="Arial" w:hAnsi="Arial"/>
          <w:sz w:val="14"/>
          <w:szCs w:val="14"/>
          <w:color w:val="auto"/>
        </w:rPr>
        <w:t>Attract and retain key talent</w:t>
      </w:r>
    </w:p>
    <w:p>
      <w:pPr>
        <w:spacing w:after="0" w:line="59" w:lineRule="exact"/>
        <w:rPr>
          <w:rFonts w:ascii="Arial" w:cs="Arial" w:eastAsia="Arial" w:hAnsi="Arial"/>
          <w:sz w:val="16"/>
          <w:szCs w:val="16"/>
          <w:color w:val="005388"/>
        </w:rPr>
      </w:pPr>
    </w:p>
    <w:p>
      <w:pPr>
        <w:ind w:left="197" w:hanging="197"/>
        <w:spacing w:after="0"/>
        <w:tabs>
          <w:tab w:leader="none" w:pos="197" w:val="left"/>
        </w:tabs>
        <w:numPr>
          <w:ilvl w:val="0"/>
          <w:numId w:val="51"/>
        </w:numPr>
        <w:rPr>
          <w:rFonts w:ascii="Arial" w:cs="Arial" w:eastAsia="Arial" w:hAnsi="Arial"/>
          <w:sz w:val="16"/>
          <w:szCs w:val="16"/>
          <w:color w:val="005388"/>
        </w:rPr>
      </w:pPr>
      <w:r>
        <w:rPr>
          <w:rFonts w:ascii="Arial" w:cs="Arial" w:eastAsia="Arial" w:hAnsi="Arial"/>
          <w:sz w:val="14"/>
          <w:szCs w:val="14"/>
          <w:color w:val="auto"/>
        </w:rPr>
        <w:t>Provide income security for retirement</w:t>
      </w:r>
    </w:p>
    <w:p>
      <w:pPr>
        <w:spacing w:after="0" w:line="207" w:lineRule="exact"/>
        <w:rPr>
          <w:rFonts w:ascii="Arial" w:cs="Arial" w:eastAsia="Arial" w:hAnsi="Arial"/>
          <w:sz w:val="16"/>
          <w:szCs w:val="16"/>
          <w:color w:val="005388"/>
        </w:rPr>
      </w:pPr>
    </w:p>
    <w:p>
      <w:pPr>
        <w:ind w:left="197" w:hanging="197"/>
        <w:spacing w:after="0"/>
        <w:tabs>
          <w:tab w:leader="none" w:pos="197" w:val="left"/>
        </w:tabs>
        <w:numPr>
          <w:ilvl w:val="0"/>
          <w:numId w:val="51"/>
        </w:numPr>
        <w:rPr>
          <w:rFonts w:ascii="Arial" w:cs="Arial" w:eastAsia="Arial" w:hAnsi="Arial"/>
          <w:sz w:val="16"/>
          <w:szCs w:val="16"/>
          <w:color w:val="005388"/>
        </w:rPr>
      </w:pPr>
      <w:r>
        <w:rPr>
          <w:rFonts w:ascii="Arial" w:cs="Arial" w:eastAsia="Arial" w:hAnsi="Arial"/>
          <w:sz w:val="14"/>
          <w:szCs w:val="14"/>
          <w:color w:val="auto"/>
        </w:rPr>
        <w:t>Attract and retain key talent</w:t>
      </w:r>
    </w:p>
    <w:p>
      <w:pPr>
        <w:spacing w:after="0" w:line="59" w:lineRule="exact"/>
        <w:rPr>
          <w:rFonts w:ascii="Arial" w:cs="Arial" w:eastAsia="Arial" w:hAnsi="Arial"/>
          <w:sz w:val="16"/>
          <w:szCs w:val="16"/>
          <w:color w:val="005388"/>
        </w:rPr>
      </w:pPr>
    </w:p>
    <w:p>
      <w:pPr>
        <w:ind w:left="237" w:right="20" w:hanging="237"/>
        <w:spacing w:after="0" w:line="270" w:lineRule="auto"/>
        <w:tabs>
          <w:tab w:leader="none" w:pos="199" w:val="left"/>
        </w:tabs>
        <w:numPr>
          <w:ilvl w:val="0"/>
          <w:numId w:val="51"/>
        </w:numPr>
        <w:rPr>
          <w:rFonts w:ascii="Arial" w:cs="Arial" w:eastAsia="Arial" w:hAnsi="Arial"/>
          <w:sz w:val="16"/>
          <w:szCs w:val="16"/>
          <w:color w:val="005388"/>
        </w:rPr>
      </w:pPr>
      <w:r>
        <w:rPr>
          <w:rFonts w:ascii="Arial" w:cs="Arial" w:eastAsia="Arial" w:hAnsi="Arial"/>
          <w:sz w:val="14"/>
          <w:szCs w:val="14"/>
          <w:color w:val="auto"/>
        </w:rPr>
        <w:t>Provide total compensation package that is competitive in our market and geographic location</w:t>
      </w:r>
    </w:p>
    <w:p>
      <w:pPr>
        <w:spacing w:after="0" w:line="200" w:lineRule="exact"/>
        <w:rPr>
          <w:sz w:val="20"/>
          <w:szCs w:val="20"/>
          <w:color w:val="auto"/>
        </w:rPr>
      </w:pPr>
    </w:p>
    <w:p>
      <w:pPr>
        <w:sectPr>
          <w:pgSz w:w="11900" w:h="16838" w:orient="portrait"/>
          <w:cols w:equalWidth="0" w:num="3">
            <w:col w:w="2420" w:space="238"/>
            <w:col w:w="4522" w:space="163"/>
            <w:col w:w="3897"/>
          </w:cols>
          <w:pgMar w:left="320" w:top="130"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005388"/>
        </w:rPr>
        <w:t>Book Value Per Share (BVPS)</w:t>
      </w:r>
    </w:p>
    <w:p>
      <w:pPr>
        <w:spacing w:after="0" w:line="1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PRSUs granted in 2025, similar to prior years, are earned based on the achievement of a compound annual BVPS growth target over a three-year performance period. We base the performance assessment in our PRSUs on compound annual BVPS growth because we believe (i) it is an appropriate measure and key indicator of the Company's long-term performance and (ii) it correlates with management’s ability to drive long-term stockholder value creation.</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BVPS growth serves as a comprehensive indicator of our performance encompassing the scale of our new business production and insured portfolio development, effectiveness of our credit risk management strategy, consistency and yield of our investment portfolio returns, stability of our funding profile and regulatory capital position, and the efficiency of our operating platform. Growth in BVPS provides a more stable indication of financial performance than total shareholder return (TSR), which can be more volatile over discrete measurement periods due to factors that are outside of management’s control, including changes in economic conditions and stock market volatility, among others.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Issuing 2025 PRSUs with a performance assessment based on compound annual BVPS growth over a three-year period serves to directly link a material element of our NEOs' compensation with the Company’s achievement of long-term financial performance and sustainable long-term returns on equity, directly aligns their compensatory incentives with outcomes that are expected to drive long-term stockholder value, and further provides a basis for comparison with other companies in the MI industry and broader financial services landscape that measure performance and award compensation based on a similar measure of book value.</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005388"/>
        </w:rPr>
        <w:t>Compensation of Our CEO and Executive Officers is Weighted Towards Variable Compensation</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total annual compensation structure embodies our commitment to align pay with performance. Fixed compensation continues to represent a limited portion of our NEOs' total compensation. Base salary represented 11% of Mr. Pollitzer's 2025 total target compensation and, on average, 24% of the total target compensation of our other NEOs. The remaining target compensation of our NEOs was tied to, and is contingent upon, Company and individual performance. Structuring CEO and other NEO compensation to include a significant majority of at-risk incentives serves to align our executive officer and stockholder interests because a significant portion of each executive's overall compensation is directly linked to the Company's financial performance.</w:t>
      </w:r>
    </w:p>
    <w:p>
      <w:pPr>
        <w:spacing w:after="0" w:line="317"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The following charts highlight, for our CEO and our other NEOs, the components of their average total annualized target compensation for fiscal year 2025. The information presented is based on components of average compensation at target, and therefore, is not directly comparable to amounts set forth in the 2025 Summary Compensation Table on page </w:t>
      </w:r>
      <w:r>
        <w:rPr>
          <w:rFonts w:ascii="Arial" w:cs="Arial" w:eastAsia="Arial" w:hAnsi="Arial"/>
          <w:sz w:val="16"/>
          <w:szCs w:val="16"/>
          <w:u w:val="single" w:color="auto"/>
          <w:color w:val="0000FF"/>
        </w:rPr>
        <w:t>49</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44450</wp:posOffset>
            </wp:positionV>
            <wp:extent cx="5983605" cy="2400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98360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640"/>
        <w:spacing w:after="0"/>
        <w:tabs>
          <w:tab w:leader="none" w:pos="7320" w:val="left"/>
        </w:tabs>
        <w:rPr>
          <w:sz w:val="20"/>
          <w:szCs w:val="20"/>
          <w:color w:val="auto"/>
        </w:rPr>
      </w:pPr>
      <w:r>
        <w:rPr>
          <w:rFonts w:ascii="Arial" w:cs="Arial" w:eastAsia="Arial" w:hAnsi="Arial"/>
          <w:sz w:val="16"/>
          <w:szCs w:val="16"/>
          <w:color w:val="auto"/>
        </w:rPr>
        <w:t>Compensation At Risk: 89%</w:t>
      </w:r>
      <w:r>
        <w:rPr>
          <w:rFonts w:ascii="Arial" w:cs="Arial" w:eastAsia="Arial" w:hAnsi="Arial"/>
          <w:sz w:val="21"/>
          <w:szCs w:val="21"/>
          <w:color w:val="auto"/>
          <w:vertAlign w:val="superscript"/>
        </w:rPr>
        <w:t>(1)</w:t>
      </w:r>
      <w:r>
        <w:rPr>
          <w:sz w:val="20"/>
          <w:szCs w:val="20"/>
          <w:color w:val="auto"/>
        </w:rPr>
        <w:tab/>
      </w:r>
      <w:r>
        <w:rPr>
          <w:rFonts w:ascii="Arial" w:cs="Arial" w:eastAsia="Arial" w:hAnsi="Arial"/>
          <w:sz w:val="15"/>
          <w:szCs w:val="15"/>
          <w:color w:val="auto"/>
        </w:rPr>
        <w:t>Compensation At Risk: 77%</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3" w:lineRule="exact"/>
        <w:rPr>
          <w:sz w:val="20"/>
          <w:szCs w:val="20"/>
          <w:color w:val="auto"/>
        </w:rPr>
      </w:pPr>
    </w:p>
    <w:p>
      <w:pPr>
        <w:ind w:left="280" w:hanging="272"/>
        <w:spacing w:after="0"/>
        <w:tabs>
          <w:tab w:leader="none" w:pos="280" w:val="left"/>
        </w:tabs>
        <w:numPr>
          <w:ilvl w:val="0"/>
          <w:numId w:val="52"/>
        </w:numPr>
        <w:rPr>
          <w:rFonts w:ascii="Arial" w:cs="Arial" w:eastAsia="Arial" w:hAnsi="Arial"/>
          <w:sz w:val="13"/>
          <w:szCs w:val="13"/>
          <w:color w:val="6D6D6D"/>
        </w:rPr>
      </w:pPr>
      <w:r>
        <w:rPr>
          <w:rFonts w:ascii="Arial" w:cs="Arial" w:eastAsia="Arial" w:hAnsi="Arial"/>
          <w:sz w:val="13"/>
          <w:szCs w:val="13"/>
          <w:color w:val="6D6D6D"/>
        </w:rPr>
        <w:t>Percentages used in the charts above have been rounded to the nearest whole percent.</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0C2940"/>
        </w:rPr>
        <w:t>COMPENSATION PROGRAM DETAILS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005388"/>
        </w:rPr>
        <w:t>Base Salary</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 salaries provide our NEOs with fixed cash compensation for service during the year, with consideration given to the scope of each NEO's responsibilities, experience and other qualifications essential to the NEO's role. The following table shows our NEOs' annual base salaries from January 1, 2025 through December 31,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0" w:type="dxa"/>
            <w:vAlign w:val="bottom"/>
            <w:shd w:val="clear" w:color="auto" w:fill="0C2940"/>
          </w:tcPr>
          <w:p>
            <w:pPr>
              <w:spacing w:after="0"/>
              <w:rPr>
                <w:sz w:val="16"/>
                <w:szCs w:val="16"/>
                <w:color w:val="auto"/>
              </w:rPr>
            </w:pPr>
          </w:p>
        </w:tc>
        <w:tc>
          <w:tcPr>
            <w:tcW w:w="2900" w:type="dxa"/>
            <w:vAlign w:val="bottom"/>
            <w:shd w:val="clear" w:color="auto" w:fill="0C2940"/>
          </w:tcPr>
          <w:p>
            <w:pPr>
              <w:ind w:left="880"/>
              <w:spacing w:after="0"/>
              <w:rPr>
                <w:sz w:val="20"/>
                <w:szCs w:val="20"/>
                <w:color w:val="auto"/>
              </w:rPr>
            </w:pPr>
            <w:r>
              <w:rPr>
                <w:rFonts w:ascii="Arial" w:cs="Arial" w:eastAsia="Arial" w:hAnsi="Arial"/>
                <w:sz w:val="14"/>
                <w:szCs w:val="14"/>
                <w:color w:val="FFFFFF"/>
              </w:rPr>
              <w:t>2024 BASE SALARY</w:t>
            </w:r>
          </w:p>
        </w:tc>
        <w:tc>
          <w:tcPr>
            <w:tcW w:w="2520" w:type="dxa"/>
            <w:vAlign w:val="bottom"/>
            <w:shd w:val="clear" w:color="auto" w:fill="0C2940"/>
          </w:tcPr>
          <w:p>
            <w:pPr>
              <w:ind w:left="660"/>
              <w:spacing w:after="0"/>
              <w:rPr>
                <w:sz w:val="20"/>
                <w:szCs w:val="20"/>
                <w:color w:val="auto"/>
              </w:rPr>
            </w:pPr>
            <w:r>
              <w:rPr>
                <w:rFonts w:ascii="Arial" w:cs="Arial" w:eastAsia="Arial" w:hAnsi="Arial"/>
                <w:sz w:val="14"/>
                <w:szCs w:val="14"/>
                <w:color w:val="FFFFFF"/>
              </w:rPr>
              <w:t>2025 BASE SALARY</w:t>
            </w:r>
          </w:p>
        </w:tc>
        <w:tc>
          <w:tcPr>
            <w:tcW w:w="2860" w:type="dxa"/>
            <w:vAlign w:val="bottom"/>
            <w:shd w:val="clear" w:color="auto" w:fill="0C2940"/>
          </w:tcPr>
          <w:p>
            <w:pPr>
              <w:ind w:left="480"/>
              <w:spacing w:after="0"/>
              <w:rPr>
                <w:sz w:val="20"/>
                <w:szCs w:val="20"/>
                <w:color w:val="auto"/>
              </w:rPr>
            </w:pPr>
            <w:r>
              <w:rPr>
                <w:rFonts w:ascii="Arial" w:cs="Arial" w:eastAsia="Arial" w:hAnsi="Arial"/>
                <w:sz w:val="14"/>
                <w:szCs w:val="14"/>
                <w:color w:val="FFFFFF"/>
              </w:rPr>
              <w:t>CHANGE FROM PRIOR YEAR</w:t>
            </w:r>
          </w:p>
        </w:tc>
      </w:tr>
      <w:tr>
        <w:trPr>
          <w:trHeight w:val="192"/>
        </w:trPr>
        <w:tc>
          <w:tcPr>
            <w:tcW w:w="2600" w:type="dxa"/>
            <w:vAlign w:val="bottom"/>
            <w:tcBorders>
              <w:bottom w:val="single" w:sz="8" w:color="0C2940"/>
            </w:tcBorders>
            <w:shd w:val="clear" w:color="auto" w:fill="0C2940"/>
          </w:tcPr>
          <w:p>
            <w:pPr>
              <w:ind w:left="140"/>
              <w:spacing w:after="0"/>
              <w:rPr>
                <w:sz w:val="20"/>
                <w:szCs w:val="20"/>
                <w:color w:val="auto"/>
              </w:rPr>
            </w:pPr>
            <w:r>
              <w:rPr>
                <w:rFonts w:ascii="Arial" w:cs="Arial" w:eastAsia="Arial" w:hAnsi="Arial"/>
                <w:sz w:val="14"/>
                <w:szCs w:val="14"/>
                <w:color w:val="FFFFFF"/>
              </w:rPr>
              <w:t>NEO</w:t>
            </w:r>
          </w:p>
        </w:tc>
        <w:tc>
          <w:tcPr>
            <w:tcW w:w="2900" w:type="dxa"/>
            <w:vAlign w:val="bottom"/>
            <w:tcBorders>
              <w:bottom w:val="single" w:sz="8" w:color="0C2940"/>
            </w:tcBorders>
            <w:shd w:val="clear" w:color="auto" w:fill="0C2940"/>
          </w:tcPr>
          <w:p>
            <w:pPr>
              <w:jc w:val="center"/>
              <w:ind w:left="168"/>
              <w:spacing w:after="0"/>
              <w:rPr>
                <w:sz w:val="20"/>
                <w:szCs w:val="20"/>
                <w:color w:val="auto"/>
              </w:rPr>
            </w:pPr>
            <w:r>
              <w:rPr>
                <w:rFonts w:ascii="Arial" w:cs="Arial" w:eastAsia="Arial" w:hAnsi="Arial"/>
                <w:sz w:val="14"/>
                <w:szCs w:val="14"/>
                <w:color w:val="FFFFFF"/>
              </w:rPr>
              <w:t>($)</w:t>
            </w:r>
          </w:p>
        </w:tc>
        <w:tc>
          <w:tcPr>
            <w:tcW w:w="2520" w:type="dxa"/>
            <w:vAlign w:val="bottom"/>
            <w:tcBorders>
              <w:bottom w:val="single" w:sz="8" w:color="0C2940"/>
            </w:tcBorders>
            <w:shd w:val="clear" w:color="auto" w:fill="0C2940"/>
          </w:tcPr>
          <w:p>
            <w:pPr>
              <w:jc w:val="center"/>
              <w:ind w:left="108"/>
              <w:spacing w:after="0"/>
              <w:rPr>
                <w:sz w:val="20"/>
                <w:szCs w:val="20"/>
                <w:color w:val="auto"/>
              </w:rPr>
            </w:pPr>
            <w:r>
              <w:rPr>
                <w:rFonts w:ascii="Arial" w:cs="Arial" w:eastAsia="Arial" w:hAnsi="Arial"/>
                <w:sz w:val="14"/>
                <w:szCs w:val="14"/>
                <w:color w:val="FFFFFF"/>
              </w:rPr>
              <w:t>($)</w:t>
            </w:r>
          </w:p>
        </w:tc>
        <w:tc>
          <w:tcPr>
            <w:tcW w:w="2860" w:type="dxa"/>
            <w:vAlign w:val="bottom"/>
            <w:tcBorders>
              <w:bottom w:val="single" w:sz="8" w:color="0C2940"/>
            </w:tcBorders>
            <w:shd w:val="clear" w:color="auto" w:fill="0C2940"/>
          </w:tcPr>
          <w:p>
            <w:pPr>
              <w:jc w:val="center"/>
              <w:ind w:left="88"/>
              <w:spacing w:after="0"/>
              <w:rPr>
                <w:sz w:val="20"/>
                <w:szCs w:val="20"/>
                <w:color w:val="auto"/>
              </w:rPr>
            </w:pPr>
            <w:r>
              <w:rPr>
                <w:rFonts w:ascii="Arial" w:cs="Arial" w:eastAsia="Arial" w:hAnsi="Arial"/>
                <w:sz w:val="14"/>
                <w:szCs w:val="14"/>
                <w:color w:val="FFFFFF"/>
              </w:rPr>
              <w:t>(%)</w:t>
            </w:r>
          </w:p>
        </w:tc>
      </w:tr>
      <w:tr>
        <w:trPr>
          <w:trHeight w:val="322"/>
        </w:trPr>
        <w:tc>
          <w:tcPr>
            <w:tcW w:w="26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2900" w:type="dxa"/>
            <w:vAlign w:val="bottom"/>
            <w:shd w:val="clear" w:color="auto" w:fill="F5F5F5"/>
          </w:tcPr>
          <w:p>
            <w:pPr>
              <w:jc w:val="center"/>
              <w:ind w:left="148"/>
              <w:spacing w:after="0"/>
              <w:rPr>
                <w:sz w:val="20"/>
                <w:szCs w:val="20"/>
                <w:color w:val="auto"/>
              </w:rPr>
            </w:pPr>
            <w:r>
              <w:rPr>
                <w:rFonts w:ascii="Arial" w:cs="Arial" w:eastAsia="Arial" w:hAnsi="Arial"/>
                <w:sz w:val="14"/>
                <w:szCs w:val="14"/>
                <w:color w:val="auto"/>
              </w:rPr>
              <w:t>975,000</w:t>
            </w:r>
          </w:p>
        </w:tc>
        <w:tc>
          <w:tcPr>
            <w:tcW w:w="252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rPr>
              <w:t>975,000</w:t>
            </w:r>
          </w:p>
        </w:tc>
        <w:tc>
          <w:tcPr>
            <w:tcW w:w="286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w w:val="98"/>
              </w:rPr>
              <w:t>—%</w:t>
            </w:r>
          </w:p>
        </w:tc>
      </w:tr>
      <w:tr>
        <w:trPr>
          <w:trHeight w:val="123"/>
        </w:trPr>
        <w:tc>
          <w:tcPr>
            <w:tcW w:w="2600" w:type="dxa"/>
            <w:vAlign w:val="bottom"/>
            <w:shd w:val="clear" w:color="auto" w:fill="F5F5F5"/>
          </w:tcPr>
          <w:p>
            <w:pPr>
              <w:spacing w:after="0"/>
              <w:rPr>
                <w:sz w:val="10"/>
                <w:szCs w:val="10"/>
                <w:color w:val="auto"/>
              </w:rPr>
            </w:pPr>
          </w:p>
        </w:tc>
        <w:tc>
          <w:tcPr>
            <w:tcW w:w="2900" w:type="dxa"/>
            <w:vAlign w:val="bottom"/>
            <w:shd w:val="clear" w:color="auto" w:fill="F5F5F5"/>
          </w:tcPr>
          <w:p>
            <w:pPr>
              <w:spacing w:after="0"/>
              <w:rPr>
                <w:sz w:val="10"/>
                <w:szCs w:val="10"/>
                <w:color w:val="auto"/>
              </w:rPr>
            </w:pPr>
          </w:p>
        </w:tc>
        <w:tc>
          <w:tcPr>
            <w:tcW w:w="2520" w:type="dxa"/>
            <w:vAlign w:val="bottom"/>
            <w:shd w:val="clear" w:color="auto" w:fill="F5F5F5"/>
          </w:tcPr>
          <w:p>
            <w:pPr>
              <w:spacing w:after="0"/>
              <w:rPr>
                <w:sz w:val="10"/>
                <w:szCs w:val="10"/>
                <w:color w:val="auto"/>
              </w:rPr>
            </w:pPr>
          </w:p>
        </w:tc>
        <w:tc>
          <w:tcPr>
            <w:tcW w:w="2860" w:type="dxa"/>
            <w:vAlign w:val="bottom"/>
            <w:shd w:val="clear" w:color="auto" w:fill="F5F5F5"/>
          </w:tcPr>
          <w:p>
            <w:pPr>
              <w:spacing w:after="0"/>
              <w:rPr>
                <w:sz w:val="10"/>
                <w:szCs w:val="10"/>
                <w:color w:val="auto"/>
              </w:rPr>
            </w:pPr>
          </w:p>
        </w:tc>
      </w:tr>
      <w:tr>
        <w:trPr>
          <w:trHeight w:val="322"/>
        </w:trPr>
        <w:tc>
          <w:tcPr>
            <w:tcW w:w="2600" w:type="dxa"/>
            <w:vAlign w:val="bottom"/>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2900" w:type="dxa"/>
            <w:vAlign w:val="bottom"/>
          </w:tcPr>
          <w:p>
            <w:pPr>
              <w:jc w:val="center"/>
              <w:ind w:left="148"/>
              <w:spacing w:after="0"/>
              <w:rPr>
                <w:sz w:val="20"/>
                <w:szCs w:val="20"/>
                <w:color w:val="auto"/>
              </w:rPr>
            </w:pPr>
            <w:r>
              <w:rPr>
                <w:rFonts w:ascii="Arial" w:cs="Arial" w:eastAsia="Arial" w:hAnsi="Arial"/>
                <w:sz w:val="14"/>
                <w:szCs w:val="14"/>
                <w:color w:val="auto"/>
              </w:rPr>
              <w:t>650,000</w:t>
            </w:r>
          </w:p>
        </w:tc>
        <w:tc>
          <w:tcPr>
            <w:tcW w:w="2520" w:type="dxa"/>
            <w:vAlign w:val="bottom"/>
          </w:tcPr>
          <w:p>
            <w:pPr>
              <w:jc w:val="center"/>
              <w:ind w:left="88"/>
              <w:spacing w:after="0"/>
              <w:rPr>
                <w:sz w:val="20"/>
                <w:szCs w:val="20"/>
                <w:color w:val="auto"/>
              </w:rPr>
            </w:pPr>
            <w:r>
              <w:rPr>
                <w:rFonts w:ascii="Arial" w:cs="Arial" w:eastAsia="Arial" w:hAnsi="Arial"/>
                <w:sz w:val="14"/>
                <w:szCs w:val="14"/>
                <w:color w:val="auto"/>
              </w:rPr>
              <w:t>650,000</w:t>
            </w:r>
          </w:p>
        </w:tc>
        <w:tc>
          <w:tcPr>
            <w:tcW w:w="2860" w:type="dxa"/>
            <w:vAlign w:val="bottom"/>
          </w:tcPr>
          <w:p>
            <w:pPr>
              <w:jc w:val="center"/>
              <w:ind w:left="88"/>
              <w:spacing w:after="0"/>
              <w:rPr>
                <w:sz w:val="20"/>
                <w:szCs w:val="20"/>
                <w:color w:val="auto"/>
              </w:rPr>
            </w:pPr>
            <w:r>
              <w:rPr>
                <w:rFonts w:ascii="Arial" w:cs="Arial" w:eastAsia="Arial" w:hAnsi="Arial"/>
                <w:sz w:val="14"/>
                <w:szCs w:val="14"/>
                <w:color w:val="auto"/>
                <w:w w:val="98"/>
              </w:rPr>
              <w:t>—%</w:t>
            </w:r>
          </w:p>
        </w:tc>
      </w:tr>
      <w:tr>
        <w:trPr>
          <w:trHeight w:val="124"/>
        </w:trPr>
        <w:tc>
          <w:tcPr>
            <w:tcW w:w="26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22"/>
        </w:trPr>
        <w:tc>
          <w:tcPr>
            <w:tcW w:w="26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Aurora Swithenbank</w:t>
            </w:r>
          </w:p>
        </w:tc>
        <w:tc>
          <w:tcPr>
            <w:tcW w:w="2900" w:type="dxa"/>
            <w:vAlign w:val="bottom"/>
            <w:shd w:val="clear" w:color="auto" w:fill="F5F5F5"/>
          </w:tcPr>
          <w:p>
            <w:pPr>
              <w:jc w:val="center"/>
              <w:ind w:left="148"/>
              <w:spacing w:after="0"/>
              <w:rPr>
                <w:sz w:val="20"/>
                <w:szCs w:val="20"/>
                <w:color w:val="auto"/>
              </w:rPr>
            </w:pPr>
            <w:r>
              <w:rPr>
                <w:rFonts w:ascii="Arial" w:cs="Arial" w:eastAsia="Arial" w:hAnsi="Arial"/>
                <w:sz w:val="14"/>
                <w:szCs w:val="14"/>
                <w:color w:val="auto"/>
              </w:rPr>
              <w:t>505,000</w:t>
            </w:r>
          </w:p>
        </w:tc>
        <w:tc>
          <w:tcPr>
            <w:tcW w:w="252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rPr>
              <w:t>530,000</w:t>
            </w:r>
          </w:p>
        </w:tc>
        <w:tc>
          <w:tcPr>
            <w:tcW w:w="286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rPr>
              <w:t>5.0%</w:t>
            </w:r>
          </w:p>
        </w:tc>
      </w:tr>
      <w:tr>
        <w:trPr>
          <w:trHeight w:val="123"/>
        </w:trPr>
        <w:tc>
          <w:tcPr>
            <w:tcW w:w="2600" w:type="dxa"/>
            <w:vAlign w:val="bottom"/>
            <w:shd w:val="clear" w:color="auto" w:fill="F5F5F5"/>
          </w:tcPr>
          <w:p>
            <w:pPr>
              <w:spacing w:after="0"/>
              <w:rPr>
                <w:sz w:val="10"/>
                <w:szCs w:val="10"/>
                <w:color w:val="auto"/>
              </w:rPr>
            </w:pPr>
          </w:p>
        </w:tc>
        <w:tc>
          <w:tcPr>
            <w:tcW w:w="2900" w:type="dxa"/>
            <w:vAlign w:val="bottom"/>
            <w:shd w:val="clear" w:color="auto" w:fill="F5F5F5"/>
          </w:tcPr>
          <w:p>
            <w:pPr>
              <w:spacing w:after="0"/>
              <w:rPr>
                <w:sz w:val="10"/>
                <w:szCs w:val="10"/>
                <w:color w:val="auto"/>
              </w:rPr>
            </w:pPr>
          </w:p>
        </w:tc>
        <w:tc>
          <w:tcPr>
            <w:tcW w:w="2520" w:type="dxa"/>
            <w:vAlign w:val="bottom"/>
            <w:shd w:val="clear" w:color="auto" w:fill="F5F5F5"/>
          </w:tcPr>
          <w:p>
            <w:pPr>
              <w:spacing w:after="0"/>
              <w:rPr>
                <w:sz w:val="10"/>
                <w:szCs w:val="10"/>
                <w:color w:val="auto"/>
              </w:rPr>
            </w:pPr>
          </w:p>
        </w:tc>
        <w:tc>
          <w:tcPr>
            <w:tcW w:w="2860" w:type="dxa"/>
            <w:vAlign w:val="bottom"/>
            <w:shd w:val="clear" w:color="auto" w:fill="F5F5F5"/>
          </w:tcPr>
          <w:p>
            <w:pPr>
              <w:spacing w:after="0"/>
              <w:rPr>
                <w:sz w:val="10"/>
                <w:szCs w:val="10"/>
                <w:color w:val="auto"/>
              </w:rPr>
            </w:pPr>
          </w:p>
        </w:tc>
      </w:tr>
      <w:tr>
        <w:trPr>
          <w:trHeight w:val="322"/>
        </w:trPr>
        <w:tc>
          <w:tcPr>
            <w:tcW w:w="2600" w:type="dxa"/>
            <w:vAlign w:val="bottom"/>
          </w:tcPr>
          <w:p>
            <w:pPr>
              <w:ind w:left="140"/>
              <w:spacing w:after="0"/>
              <w:rPr>
                <w:sz w:val="20"/>
                <w:szCs w:val="20"/>
                <w:color w:val="auto"/>
              </w:rPr>
            </w:pPr>
            <w:r>
              <w:rPr>
                <w:rFonts w:ascii="Arial" w:cs="Arial" w:eastAsia="Arial" w:hAnsi="Arial"/>
                <w:sz w:val="14"/>
                <w:szCs w:val="14"/>
                <w:b w:val="1"/>
                <w:bCs w:val="1"/>
                <w:color w:val="005388"/>
              </w:rPr>
              <w:t>William J. Leatherberry</w:t>
            </w:r>
          </w:p>
        </w:tc>
        <w:tc>
          <w:tcPr>
            <w:tcW w:w="2900" w:type="dxa"/>
            <w:vAlign w:val="bottom"/>
          </w:tcPr>
          <w:p>
            <w:pPr>
              <w:jc w:val="center"/>
              <w:ind w:left="148"/>
              <w:spacing w:after="0"/>
              <w:rPr>
                <w:sz w:val="20"/>
                <w:szCs w:val="20"/>
                <w:color w:val="auto"/>
              </w:rPr>
            </w:pPr>
            <w:r>
              <w:rPr>
                <w:rFonts w:ascii="Arial" w:cs="Arial" w:eastAsia="Arial" w:hAnsi="Arial"/>
                <w:sz w:val="14"/>
                <w:szCs w:val="14"/>
                <w:color w:val="auto"/>
              </w:rPr>
              <w:t>585,000</w:t>
            </w:r>
          </w:p>
        </w:tc>
        <w:tc>
          <w:tcPr>
            <w:tcW w:w="2520" w:type="dxa"/>
            <w:vAlign w:val="bottom"/>
          </w:tcPr>
          <w:p>
            <w:pPr>
              <w:jc w:val="center"/>
              <w:ind w:left="88"/>
              <w:spacing w:after="0"/>
              <w:rPr>
                <w:sz w:val="20"/>
                <w:szCs w:val="20"/>
                <w:color w:val="auto"/>
              </w:rPr>
            </w:pPr>
            <w:r>
              <w:rPr>
                <w:rFonts w:ascii="Arial" w:cs="Arial" w:eastAsia="Arial" w:hAnsi="Arial"/>
                <w:sz w:val="14"/>
                <w:szCs w:val="14"/>
                <w:color w:val="auto"/>
              </w:rPr>
              <w:t>615,000</w:t>
            </w:r>
          </w:p>
        </w:tc>
        <w:tc>
          <w:tcPr>
            <w:tcW w:w="2860" w:type="dxa"/>
            <w:vAlign w:val="bottom"/>
          </w:tcPr>
          <w:p>
            <w:pPr>
              <w:jc w:val="center"/>
              <w:ind w:left="88"/>
              <w:spacing w:after="0"/>
              <w:rPr>
                <w:sz w:val="20"/>
                <w:szCs w:val="20"/>
                <w:color w:val="auto"/>
              </w:rPr>
            </w:pPr>
            <w:r>
              <w:rPr>
                <w:rFonts w:ascii="Arial" w:cs="Arial" w:eastAsia="Arial" w:hAnsi="Arial"/>
                <w:sz w:val="14"/>
                <w:szCs w:val="14"/>
                <w:color w:val="auto"/>
              </w:rPr>
              <w:t>5.1%</w:t>
            </w:r>
          </w:p>
        </w:tc>
      </w:tr>
      <w:tr>
        <w:trPr>
          <w:trHeight w:val="123"/>
        </w:trPr>
        <w:tc>
          <w:tcPr>
            <w:tcW w:w="260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860" w:type="dxa"/>
            <w:vAlign w:val="bottom"/>
          </w:tcPr>
          <w:p>
            <w:pPr>
              <w:spacing w:after="0"/>
              <w:rPr>
                <w:sz w:val="10"/>
                <w:szCs w:val="10"/>
                <w:color w:val="auto"/>
              </w:rPr>
            </w:pPr>
          </w:p>
        </w:tc>
      </w:tr>
      <w:tr>
        <w:trPr>
          <w:trHeight w:val="322"/>
        </w:trPr>
        <w:tc>
          <w:tcPr>
            <w:tcW w:w="26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Robert Smith</w:t>
            </w:r>
          </w:p>
        </w:tc>
        <w:tc>
          <w:tcPr>
            <w:tcW w:w="2900" w:type="dxa"/>
            <w:vAlign w:val="bottom"/>
            <w:shd w:val="clear" w:color="auto" w:fill="F5F5F5"/>
          </w:tcPr>
          <w:p>
            <w:pPr>
              <w:jc w:val="center"/>
              <w:ind w:left="148"/>
              <w:spacing w:after="0"/>
              <w:rPr>
                <w:sz w:val="20"/>
                <w:szCs w:val="20"/>
                <w:color w:val="auto"/>
              </w:rPr>
            </w:pPr>
            <w:r>
              <w:rPr>
                <w:rFonts w:ascii="Arial" w:cs="Arial" w:eastAsia="Arial" w:hAnsi="Arial"/>
                <w:sz w:val="14"/>
                <w:szCs w:val="14"/>
                <w:color w:val="auto"/>
              </w:rPr>
              <w:t>485,000</w:t>
            </w:r>
          </w:p>
        </w:tc>
        <w:tc>
          <w:tcPr>
            <w:tcW w:w="252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rPr>
              <w:t>515,000</w:t>
            </w:r>
          </w:p>
        </w:tc>
        <w:tc>
          <w:tcPr>
            <w:tcW w:w="2860" w:type="dxa"/>
            <w:vAlign w:val="bottom"/>
            <w:shd w:val="clear" w:color="auto" w:fill="F5F5F5"/>
          </w:tcPr>
          <w:p>
            <w:pPr>
              <w:jc w:val="center"/>
              <w:ind w:left="88"/>
              <w:spacing w:after="0"/>
              <w:rPr>
                <w:sz w:val="20"/>
                <w:szCs w:val="20"/>
                <w:color w:val="auto"/>
              </w:rPr>
            </w:pPr>
            <w:r>
              <w:rPr>
                <w:rFonts w:ascii="Arial" w:cs="Arial" w:eastAsia="Arial" w:hAnsi="Arial"/>
                <w:sz w:val="14"/>
                <w:szCs w:val="14"/>
                <w:color w:val="auto"/>
              </w:rPr>
              <w:t>6.2%</w:t>
            </w:r>
          </w:p>
        </w:tc>
      </w:tr>
      <w:tr>
        <w:trPr>
          <w:trHeight w:val="123"/>
        </w:trPr>
        <w:tc>
          <w:tcPr>
            <w:tcW w:w="2600" w:type="dxa"/>
            <w:vAlign w:val="bottom"/>
            <w:tcBorders>
              <w:bottom w:val="single" w:sz="8" w:color="DE762B"/>
            </w:tcBorders>
            <w:shd w:val="clear" w:color="auto" w:fill="F5F5F5"/>
          </w:tcPr>
          <w:p>
            <w:pPr>
              <w:spacing w:after="0"/>
              <w:rPr>
                <w:sz w:val="10"/>
                <w:szCs w:val="10"/>
                <w:color w:val="auto"/>
              </w:rPr>
            </w:pPr>
          </w:p>
        </w:tc>
        <w:tc>
          <w:tcPr>
            <w:tcW w:w="2900" w:type="dxa"/>
            <w:vAlign w:val="bottom"/>
            <w:tcBorders>
              <w:bottom w:val="single" w:sz="8" w:color="DE762B"/>
            </w:tcBorders>
            <w:shd w:val="clear" w:color="auto" w:fill="F5F5F5"/>
          </w:tcPr>
          <w:p>
            <w:pPr>
              <w:spacing w:after="0"/>
              <w:rPr>
                <w:sz w:val="10"/>
                <w:szCs w:val="10"/>
                <w:color w:val="auto"/>
              </w:rPr>
            </w:pPr>
          </w:p>
        </w:tc>
        <w:tc>
          <w:tcPr>
            <w:tcW w:w="2520" w:type="dxa"/>
            <w:vAlign w:val="bottom"/>
            <w:tcBorders>
              <w:bottom w:val="single" w:sz="8" w:color="DE762B"/>
            </w:tcBorders>
            <w:shd w:val="clear" w:color="auto" w:fill="F5F5F5"/>
          </w:tcPr>
          <w:p>
            <w:pPr>
              <w:spacing w:after="0"/>
              <w:rPr>
                <w:sz w:val="10"/>
                <w:szCs w:val="10"/>
                <w:color w:val="auto"/>
              </w:rPr>
            </w:pPr>
          </w:p>
        </w:tc>
        <w:tc>
          <w:tcPr>
            <w:tcW w:w="2860" w:type="dxa"/>
            <w:vAlign w:val="bottom"/>
            <w:tcBorders>
              <w:bottom w:val="single" w:sz="8" w:color="DE762B"/>
            </w:tcBorders>
            <w:shd w:val="clear" w:color="auto" w:fill="F5F5F5"/>
          </w:tcPr>
          <w:p>
            <w:pPr>
              <w:spacing w:after="0"/>
              <w:rPr>
                <w:sz w:val="10"/>
                <w:szCs w:val="10"/>
                <w:color w:val="auto"/>
              </w:rPr>
            </w:pPr>
          </w:p>
        </w:tc>
      </w:tr>
    </w:tbl>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Compensation Committee maintained each of Mr. Pollitzer's and Mr. Shuster's 2025 annual base salaries as they already closely aligned with competitive compensation practices, including those of their peers at other MI companies. The Compensation Committee increased each of Messrs. Leatherberry's and Smith's and Ms. Swithenbank's 2025 annual base salaries to: (i) better align their compensation with executives holding similar positions with a focus on our MI peers; (ii) better recognize the breadth of their management oversight in various substantive functional areas of the Company, among them, finance and treasury, risk, legal, and industry and government relations, that report to or through them; and (iii) reward them for their individual contributions to the Company's growth and successful performance.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005388"/>
        </w:rPr>
        <w:t>Short-Term Incentive Program &amp; Corporate Performance Objectives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order to appropriately motivate and reward our NEOs, and to further align their pay with Company performance, we offer a discretionary bonus program that provides for cash bonus awards based on the Compensation Committee's assessment of Company performance within a framework of financial and operational objectives that are set by the Compensation Committee at the beginning of each fiscal year. The Compensation Committee sets these objectives as reference points to monitor and evaluate our NEOs' progress toward, and alignment with, the Company's short- and long-term priorities. Each NEO's 2025 bonus opportunity was solely based on corporate performance. The 2025 target bonus opportunity for our CEO was set at 175% of his base salary, and for the other NEOs was set at 100% of their respective base salaries. Generally, the Compensation Committee</w:t>
      </w:r>
    </w:p>
    <w:p>
      <w:pPr>
        <w:sectPr>
          <w:pgSz w:w="11900" w:h="16838" w:orient="portrait"/>
          <w:cols w:equalWidth="0" w:num="1">
            <w:col w:w="11240"/>
          </w:cols>
          <w:pgMar w:left="320" w:top="130" w:right="339" w:bottom="1440" w:gutter="0" w:footer="0" w:header="0"/>
        </w:sectPr>
      </w:pPr>
    </w:p>
    <w:p>
      <w:pPr>
        <w:spacing w:after="0" w:line="335"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43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aims to design and implement our annual incentive plan to reward outstanding performance against our corporate objectives significantly above the targeted benchmark. Conversely, the Compensation Committee retains discretion and flexibility, as it determines appropriate, to make its final bonus payment decisions for our NEOs' awards, including to reduce any such amount to zero when individual or corporate performance is below expectations. To be eligible to receive any bonus, each executive generally must be employed with the Company at the time we pay such bonus.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target awards established by the Compensation Committee for our NEOs for fiscal year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700" w:type="dxa"/>
            <w:vAlign w:val="bottom"/>
            <w:shd w:val="clear" w:color="auto" w:fill="0C2940"/>
          </w:tcPr>
          <w:p>
            <w:pPr>
              <w:spacing w:after="0"/>
              <w:rPr>
                <w:sz w:val="21"/>
                <w:szCs w:val="21"/>
                <w:color w:val="auto"/>
              </w:rPr>
            </w:pPr>
          </w:p>
        </w:tc>
        <w:tc>
          <w:tcPr>
            <w:tcW w:w="4420" w:type="dxa"/>
            <w:vAlign w:val="bottom"/>
            <w:shd w:val="clear" w:color="auto" w:fill="0C2940"/>
          </w:tcPr>
          <w:p>
            <w:pPr>
              <w:jc w:val="center"/>
              <w:ind w:right="648"/>
              <w:spacing w:after="0"/>
              <w:rPr>
                <w:sz w:val="20"/>
                <w:szCs w:val="20"/>
                <w:color w:val="auto"/>
              </w:rPr>
            </w:pPr>
            <w:r>
              <w:rPr>
                <w:rFonts w:ascii="Arial" w:cs="Arial" w:eastAsia="Arial" w:hAnsi="Arial"/>
                <w:sz w:val="14"/>
                <w:szCs w:val="14"/>
                <w:color w:val="FFFFFF"/>
              </w:rPr>
              <w:t>TARGET AWARD</w:t>
            </w:r>
          </w:p>
        </w:tc>
        <w:tc>
          <w:tcPr>
            <w:tcW w:w="308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2025 TARGET AWARD</w:t>
            </w:r>
          </w:p>
        </w:tc>
      </w:tr>
      <w:tr>
        <w:trPr>
          <w:trHeight w:val="190"/>
        </w:trPr>
        <w:tc>
          <w:tcPr>
            <w:tcW w:w="370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NEO</w:t>
            </w:r>
          </w:p>
        </w:tc>
        <w:tc>
          <w:tcPr>
            <w:tcW w:w="4420" w:type="dxa"/>
            <w:vAlign w:val="bottom"/>
            <w:shd w:val="clear" w:color="auto" w:fill="0C2940"/>
          </w:tcPr>
          <w:p>
            <w:pPr>
              <w:jc w:val="center"/>
              <w:ind w:right="588"/>
              <w:spacing w:after="0"/>
              <w:rPr>
                <w:sz w:val="20"/>
                <w:szCs w:val="20"/>
                <w:color w:val="auto"/>
              </w:rPr>
            </w:pPr>
            <w:r>
              <w:rPr>
                <w:rFonts w:ascii="Arial" w:cs="Arial" w:eastAsia="Arial" w:hAnsi="Arial"/>
                <w:sz w:val="14"/>
                <w:szCs w:val="14"/>
                <w:color w:val="FFFFFF"/>
              </w:rPr>
              <w:t>(AS PERCENTAGE OF SALARY)</w:t>
            </w:r>
          </w:p>
        </w:tc>
        <w:tc>
          <w:tcPr>
            <w:tcW w:w="308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r>
      <w:tr>
        <w:trPr>
          <w:trHeight w:val="75"/>
        </w:trPr>
        <w:tc>
          <w:tcPr>
            <w:tcW w:w="3700" w:type="dxa"/>
            <w:vAlign w:val="bottom"/>
            <w:shd w:val="clear" w:color="auto" w:fill="0C2940"/>
          </w:tcPr>
          <w:p>
            <w:pPr>
              <w:spacing w:after="0"/>
              <w:rPr>
                <w:sz w:val="6"/>
                <w:szCs w:val="6"/>
                <w:color w:val="auto"/>
              </w:rPr>
            </w:pPr>
          </w:p>
        </w:tc>
        <w:tc>
          <w:tcPr>
            <w:tcW w:w="4420" w:type="dxa"/>
            <w:vAlign w:val="bottom"/>
            <w:shd w:val="clear" w:color="auto" w:fill="0C2940"/>
          </w:tcPr>
          <w:p>
            <w:pPr>
              <w:spacing w:after="0"/>
              <w:rPr>
                <w:sz w:val="6"/>
                <w:szCs w:val="6"/>
                <w:color w:val="auto"/>
              </w:rPr>
            </w:pPr>
          </w:p>
        </w:tc>
        <w:tc>
          <w:tcPr>
            <w:tcW w:w="3080" w:type="dxa"/>
            <w:vAlign w:val="bottom"/>
            <w:shd w:val="clear" w:color="auto" w:fill="0C2940"/>
          </w:tcPr>
          <w:p>
            <w:pPr>
              <w:spacing w:after="0"/>
              <w:rPr>
                <w:sz w:val="6"/>
                <w:szCs w:val="6"/>
                <w:color w:val="auto"/>
              </w:rPr>
            </w:pPr>
          </w:p>
        </w:tc>
      </w:tr>
      <w:tr>
        <w:trPr>
          <w:trHeight w:val="322"/>
        </w:trPr>
        <w:tc>
          <w:tcPr>
            <w:tcW w:w="37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4420" w:type="dxa"/>
            <w:vAlign w:val="bottom"/>
            <w:shd w:val="clear" w:color="auto" w:fill="F5F5F5"/>
          </w:tcPr>
          <w:p>
            <w:pPr>
              <w:jc w:val="center"/>
              <w:ind w:right="628"/>
              <w:spacing w:after="0"/>
              <w:rPr>
                <w:sz w:val="20"/>
                <w:szCs w:val="20"/>
                <w:color w:val="auto"/>
              </w:rPr>
            </w:pPr>
            <w:r>
              <w:rPr>
                <w:rFonts w:ascii="Arial" w:cs="Arial" w:eastAsia="Arial" w:hAnsi="Arial"/>
                <w:sz w:val="14"/>
                <w:szCs w:val="14"/>
                <w:color w:val="auto"/>
              </w:rPr>
              <w:t>175%</w:t>
            </w:r>
          </w:p>
        </w:tc>
        <w:tc>
          <w:tcPr>
            <w:tcW w:w="308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1,706,250</w:t>
            </w:r>
          </w:p>
        </w:tc>
      </w:tr>
      <w:tr>
        <w:trPr>
          <w:trHeight w:val="124"/>
        </w:trPr>
        <w:tc>
          <w:tcPr>
            <w:tcW w:w="3700" w:type="dxa"/>
            <w:vAlign w:val="bottom"/>
            <w:shd w:val="clear" w:color="auto" w:fill="F5F5F5"/>
          </w:tcPr>
          <w:p>
            <w:pPr>
              <w:spacing w:after="0"/>
              <w:rPr>
                <w:sz w:val="10"/>
                <w:szCs w:val="10"/>
                <w:color w:val="auto"/>
              </w:rPr>
            </w:pPr>
          </w:p>
        </w:tc>
        <w:tc>
          <w:tcPr>
            <w:tcW w:w="4420" w:type="dxa"/>
            <w:vAlign w:val="bottom"/>
            <w:shd w:val="clear" w:color="auto" w:fill="F5F5F5"/>
          </w:tcPr>
          <w:p>
            <w:pPr>
              <w:spacing w:after="0"/>
              <w:rPr>
                <w:sz w:val="10"/>
                <w:szCs w:val="10"/>
                <w:color w:val="auto"/>
              </w:rPr>
            </w:pPr>
          </w:p>
        </w:tc>
        <w:tc>
          <w:tcPr>
            <w:tcW w:w="3080" w:type="dxa"/>
            <w:vAlign w:val="bottom"/>
            <w:shd w:val="clear" w:color="auto" w:fill="F5F5F5"/>
          </w:tcPr>
          <w:p>
            <w:pPr>
              <w:spacing w:after="0"/>
              <w:rPr>
                <w:sz w:val="10"/>
                <w:szCs w:val="10"/>
                <w:color w:val="auto"/>
              </w:rPr>
            </w:pPr>
          </w:p>
        </w:tc>
      </w:tr>
      <w:tr>
        <w:trPr>
          <w:trHeight w:val="322"/>
        </w:trPr>
        <w:tc>
          <w:tcPr>
            <w:tcW w:w="3700" w:type="dxa"/>
            <w:vAlign w:val="bottom"/>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4420" w:type="dxa"/>
            <w:vAlign w:val="bottom"/>
          </w:tcPr>
          <w:p>
            <w:pPr>
              <w:jc w:val="center"/>
              <w:ind w:right="628"/>
              <w:spacing w:after="0"/>
              <w:rPr>
                <w:sz w:val="20"/>
                <w:szCs w:val="20"/>
                <w:color w:val="auto"/>
              </w:rPr>
            </w:pPr>
            <w:r>
              <w:rPr>
                <w:rFonts w:ascii="Arial" w:cs="Arial" w:eastAsia="Arial" w:hAnsi="Arial"/>
                <w:sz w:val="14"/>
                <w:szCs w:val="14"/>
                <w:color w:val="auto"/>
              </w:rPr>
              <w:t>100%</w:t>
            </w:r>
          </w:p>
        </w:tc>
        <w:tc>
          <w:tcPr>
            <w:tcW w:w="3080" w:type="dxa"/>
            <w:vAlign w:val="bottom"/>
          </w:tcPr>
          <w:p>
            <w:pPr>
              <w:jc w:val="right"/>
              <w:ind w:right="48"/>
              <w:spacing w:after="0"/>
              <w:rPr>
                <w:sz w:val="20"/>
                <w:szCs w:val="20"/>
                <w:color w:val="auto"/>
              </w:rPr>
            </w:pPr>
            <w:r>
              <w:rPr>
                <w:rFonts w:ascii="Arial" w:cs="Arial" w:eastAsia="Arial" w:hAnsi="Arial"/>
                <w:sz w:val="14"/>
                <w:szCs w:val="14"/>
                <w:color w:val="auto"/>
              </w:rPr>
              <w:t>650,000</w:t>
            </w:r>
          </w:p>
        </w:tc>
      </w:tr>
      <w:tr>
        <w:trPr>
          <w:trHeight w:val="124"/>
        </w:trPr>
        <w:tc>
          <w:tcPr>
            <w:tcW w:w="37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080" w:type="dxa"/>
            <w:vAlign w:val="bottom"/>
          </w:tcPr>
          <w:p>
            <w:pPr>
              <w:spacing w:after="0"/>
              <w:rPr>
                <w:sz w:val="10"/>
                <w:szCs w:val="10"/>
                <w:color w:val="auto"/>
              </w:rPr>
            </w:pPr>
          </w:p>
        </w:tc>
      </w:tr>
      <w:tr>
        <w:trPr>
          <w:trHeight w:val="322"/>
        </w:trPr>
        <w:tc>
          <w:tcPr>
            <w:tcW w:w="37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Aurora Swithenbank</w:t>
            </w:r>
          </w:p>
        </w:tc>
        <w:tc>
          <w:tcPr>
            <w:tcW w:w="4420" w:type="dxa"/>
            <w:vAlign w:val="bottom"/>
            <w:shd w:val="clear" w:color="auto" w:fill="F5F5F5"/>
          </w:tcPr>
          <w:p>
            <w:pPr>
              <w:jc w:val="center"/>
              <w:ind w:right="628"/>
              <w:spacing w:after="0"/>
              <w:rPr>
                <w:sz w:val="20"/>
                <w:szCs w:val="20"/>
                <w:color w:val="auto"/>
              </w:rPr>
            </w:pPr>
            <w:r>
              <w:rPr>
                <w:rFonts w:ascii="Arial" w:cs="Arial" w:eastAsia="Arial" w:hAnsi="Arial"/>
                <w:sz w:val="14"/>
                <w:szCs w:val="14"/>
                <w:color w:val="auto"/>
              </w:rPr>
              <w:t>100%</w:t>
            </w:r>
          </w:p>
        </w:tc>
        <w:tc>
          <w:tcPr>
            <w:tcW w:w="308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530,000</w:t>
            </w:r>
          </w:p>
        </w:tc>
      </w:tr>
      <w:tr>
        <w:trPr>
          <w:trHeight w:val="123"/>
        </w:trPr>
        <w:tc>
          <w:tcPr>
            <w:tcW w:w="3700" w:type="dxa"/>
            <w:vAlign w:val="bottom"/>
            <w:shd w:val="clear" w:color="auto" w:fill="F5F5F5"/>
          </w:tcPr>
          <w:p>
            <w:pPr>
              <w:spacing w:after="0"/>
              <w:rPr>
                <w:sz w:val="10"/>
                <w:szCs w:val="10"/>
                <w:color w:val="auto"/>
              </w:rPr>
            </w:pPr>
          </w:p>
        </w:tc>
        <w:tc>
          <w:tcPr>
            <w:tcW w:w="4420" w:type="dxa"/>
            <w:vAlign w:val="bottom"/>
            <w:shd w:val="clear" w:color="auto" w:fill="F5F5F5"/>
          </w:tcPr>
          <w:p>
            <w:pPr>
              <w:spacing w:after="0"/>
              <w:rPr>
                <w:sz w:val="10"/>
                <w:szCs w:val="10"/>
                <w:color w:val="auto"/>
              </w:rPr>
            </w:pPr>
          </w:p>
        </w:tc>
        <w:tc>
          <w:tcPr>
            <w:tcW w:w="3080" w:type="dxa"/>
            <w:vAlign w:val="bottom"/>
            <w:shd w:val="clear" w:color="auto" w:fill="F5F5F5"/>
          </w:tcPr>
          <w:p>
            <w:pPr>
              <w:spacing w:after="0"/>
              <w:rPr>
                <w:sz w:val="10"/>
                <w:szCs w:val="10"/>
                <w:color w:val="auto"/>
              </w:rPr>
            </w:pPr>
          </w:p>
        </w:tc>
      </w:tr>
      <w:tr>
        <w:trPr>
          <w:trHeight w:val="322"/>
        </w:trPr>
        <w:tc>
          <w:tcPr>
            <w:tcW w:w="3700" w:type="dxa"/>
            <w:vAlign w:val="bottom"/>
          </w:tcPr>
          <w:p>
            <w:pPr>
              <w:ind w:left="140"/>
              <w:spacing w:after="0"/>
              <w:rPr>
                <w:sz w:val="20"/>
                <w:szCs w:val="20"/>
                <w:color w:val="auto"/>
              </w:rPr>
            </w:pPr>
            <w:r>
              <w:rPr>
                <w:rFonts w:ascii="Arial" w:cs="Arial" w:eastAsia="Arial" w:hAnsi="Arial"/>
                <w:sz w:val="14"/>
                <w:szCs w:val="14"/>
                <w:b w:val="1"/>
                <w:bCs w:val="1"/>
                <w:color w:val="005388"/>
              </w:rPr>
              <w:t>William J. Leatherberry</w:t>
            </w:r>
          </w:p>
        </w:tc>
        <w:tc>
          <w:tcPr>
            <w:tcW w:w="4420" w:type="dxa"/>
            <w:vAlign w:val="bottom"/>
          </w:tcPr>
          <w:p>
            <w:pPr>
              <w:jc w:val="center"/>
              <w:ind w:right="628"/>
              <w:spacing w:after="0"/>
              <w:rPr>
                <w:sz w:val="20"/>
                <w:szCs w:val="20"/>
                <w:color w:val="auto"/>
              </w:rPr>
            </w:pPr>
            <w:r>
              <w:rPr>
                <w:rFonts w:ascii="Arial" w:cs="Arial" w:eastAsia="Arial" w:hAnsi="Arial"/>
                <w:sz w:val="14"/>
                <w:szCs w:val="14"/>
                <w:color w:val="auto"/>
              </w:rPr>
              <w:t>100%</w:t>
            </w:r>
          </w:p>
        </w:tc>
        <w:tc>
          <w:tcPr>
            <w:tcW w:w="3080" w:type="dxa"/>
            <w:vAlign w:val="bottom"/>
          </w:tcPr>
          <w:p>
            <w:pPr>
              <w:jc w:val="right"/>
              <w:ind w:right="48"/>
              <w:spacing w:after="0"/>
              <w:rPr>
                <w:sz w:val="20"/>
                <w:szCs w:val="20"/>
                <w:color w:val="auto"/>
              </w:rPr>
            </w:pPr>
            <w:r>
              <w:rPr>
                <w:rFonts w:ascii="Arial" w:cs="Arial" w:eastAsia="Arial" w:hAnsi="Arial"/>
                <w:sz w:val="14"/>
                <w:szCs w:val="14"/>
                <w:color w:val="auto"/>
              </w:rPr>
              <w:t>615,000</w:t>
            </w:r>
          </w:p>
        </w:tc>
      </w:tr>
      <w:tr>
        <w:trPr>
          <w:trHeight w:val="124"/>
        </w:trPr>
        <w:tc>
          <w:tcPr>
            <w:tcW w:w="370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3080" w:type="dxa"/>
            <w:vAlign w:val="bottom"/>
          </w:tcPr>
          <w:p>
            <w:pPr>
              <w:spacing w:after="0"/>
              <w:rPr>
                <w:sz w:val="10"/>
                <w:szCs w:val="10"/>
                <w:color w:val="auto"/>
              </w:rPr>
            </w:pPr>
          </w:p>
        </w:tc>
      </w:tr>
      <w:tr>
        <w:trPr>
          <w:trHeight w:val="322"/>
        </w:trPr>
        <w:tc>
          <w:tcPr>
            <w:tcW w:w="370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Robert Smith</w:t>
            </w:r>
          </w:p>
        </w:tc>
        <w:tc>
          <w:tcPr>
            <w:tcW w:w="4420" w:type="dxa"/>
            <w:vAlign w:val="bottom"/>
            <w:shd w:val="clear" w:color="auto" w:fill="F5F5F5"/>
          </w:tcPr>
          <w:p>
            <w:pPr>
              <w:jc w:val="center"/>
              <w:ind w:right="628"/>
              <w:spacing w:after="0"/>
              <w:rPr>
                <w:sz w:val="20"/>
                <w:szCs w:val="20"/>
                <w:color w:val="auto"/>
              </w:rPr>
            </w:pPr>
            <w:r>
              <w:rPr>
                <w:rFonts w:ascii="Arial" w:cs="Arial" w:eastAsia="Arial" w:hAnsi="Arial"/>
                <w:sz w:val="14"/>
                <w:szCs w:val="14"/>
                <w:color w:val="auto"/>
              </w:rPr>
              <w:t>100%</w:t>
            </w:r>
          </w:p>
        </w:tc>
        <w:tc>
          <w:tcPr>
            <w:tcW w:w="308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515,000</w:t>
            </w:r>
          </w:p>
        </w:tc>
      </w:tr>
      <w:tr>
        <w:trPr>
          <w:trHeight w:val="123"/>
        </w:trPr>
        <w:tc>
          <w:tcPr>
            <w:tcW w:w="3700" w:type="dxa"/>
            <w:vAlign w:val="bottom"/>
            <w:tcBorders>
              <w:bottom w:val="single" w:sz="8" w:color="DE762B"/>
            </w:tcBorders>
            <w:shd w:val="clear" w:color="auto" w:fill="F5F5F5"/>
          </w:tcPr>
          <w:p>
            <w:pPr>
              <w:spacing w:after="0"/>
              <w:rPr>
                <w:sz w:val="10"/>
                <w:szCs w:val="10"/>
                <w:color w:val="auto"/>
              </w:rPr>
            </w:pPr>
          </w:p>
        </w:tc>
        <w:tc>
          <w:tcPr>
            <w:tcW w:w="4420" w:type="dxa"/>
            <w:vAlign w:val="bottom"/>
            <w:tcBorders>
              <w:bottom w:val="single" w:sz="8" w:color="DE762B"/>
            </w:tcBorders>
            <w:shd w:val="clear" w:color="auto" w:fill="F5F5F5"/>
          </w:tcPr>
          <w:p>
            <w:pPr>
              <w:spacing w:after="0"/>
              <w:rPr>
                <w:sz w:val="10"/>
                <w:szCs w:val="10"/>
                <w:color w:val="auto"/>
              </w:rPr>
            </w:pPr>
          </w:p>
        </w:tc>
        <w:tc>
          <w:tcPr>
            <w:tcW w:w="3080" w:type="dxa"/>
            <w:vAlign w:val="bottom"/>
            <w:tcBorders>
              <w:bottom w:val="single" w:sz="8" w:color="DE762B"/>
            </w:tcBorders>
            <w:shd w:val="clear" w:color="auto" w:fill="F5F5F5"/>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4690110</wp:posOffset>
            </wp:positionH>
            <wp:positionV relativeFrom="paragraph">
              <wp:posOffset>-1435100</wp:posOffset>
            </wp:positionV>
            <wp:extent cx="33655" cy="14401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1440180"/>
                    </a:xfrm>
                    <a:prstGeom prst="rect">
                      <a:avLst/>
                    </a:prstGeom>
                    <a:noFill/>
                  </pic:spPr>
                </pic:pic>
              </a:graphicData>
            </a:graphic>
          </wp:anchor>
        </w:drawing>
        <w:drawing>
          <wp:anchor simplePos="0" relativeHeight="251657728" behindDoc="1" locked="0" layoutInCell="0" allowOverlap="1">
            <wp:simplePos x="0" y="0"/>
            <wp:positionH relativeFrom="column">
              <wp:posOffset>2341245</wp:posOffset>
            </wp:positionH>
            <wp:positionV relativeFrom="paragraph">
              <wp:posOffset>-1435100</wp:posOffset>
            </wp:positionV>
            <wp:extent cx="34290" cy="14401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1440180"/>
                    </a:xfrm>
                    <a:prstGeom prst="rect">
                      <a:avLst/>
                    </a:prstGeom>
                    <a:noFill/>
                  </pic:spPr>
                </pic:pic>
              </a:graphicData>
            </a:graphic>
          </wp:anchor>
        </w:drawing>
      </w:r>
    </w:p>
    <w:p>
      <w:pPr>
        <w:spacing w:after="0" w:line="38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early 2025, the Compensation Committee approved corporate performance objectives for fiscal year 2025, with threshold, target and maximum achievement levels, which were developed by the executive management team consistent with the Company's 2025 operational plan and budget approved by the Board. With respect to our corporate performance objectives, the 2025 bonus plan included three achievement benchmarks: (i) a 75% payout for threshold achievement, (ii) 100% payout for target achievement, and (iii) 180% payout for maximum achievement. Bonus awards are interpolated linearly if actual results fall between the threshold and target measurement points, or between the target and maximum measurement points.</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following table sets forth the corporate performance objectives established by the Compensation Committee for our fiscal year 2025 bonus plan, along with the relative weightings, the achievement benchmarks, and the Company's actual performance with respect to each objective. In establishing the Company's performance goals, the Compensation Committee reviewed the projected Company budget, evaluated the prior year's results, and considered the impact of macroeconomic factors like elevated interest rates, normalizing default rates and an evolving policy environment.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92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2025 PERFORMANCE OBJECTIVES</w:t>
            </w:r>
            <w:r>
              <w:rPr>
                <w:rFonts w:ascii="Arial" w:cs="Arial" w:eastAsia="Arial" w:hAnsi="Arial"/>
                <w:sz w:val="18"/>
                <w:szCs w:val="18"/>
                <w:color w:val="FFFFFF"/>
                <w:vertAlign w:val="superscript"/>
              </w:rPr>
              <w:t>(1)</w:t>
            </w:r>
          </w:p>
        </w:tc>
        <w:tc>
          <w:tcPr>
            <w:tcW w:w="1300" w:type="dxa"/>
            <w:vAlign w:val="bottom"/>
            <w:vMerge w:val="restart"/>
            <w:shd w:val="clear" w:color="auto" w:fill="0C2940"/>
          </w:tcPr>
          <w:p>
            <w:pPr>
              <w:jc w:val="center"/>
              <w:spacing w:after="0"/>
              <w:rPr>
                <w:sz w:val="20"/>
                <w:szCs w:val="20"/>
                <w:color w:val="auto"/>
              </w:rPr>
            </w:pPr>
            <w:r>
              <w:rPr>
                <w:rFonts w:ascii="Arial" w:cs="Arial" w:eastAsia="Arial" w:hAnsi="Arial"/>
                <w:sz w:val="14"/>
                <w:szCs w:val="14"/>
                <w:color w:val="FFFFFF"/>
              </w:rPr>
              <w:t>WEIGHTING</w:t>
            </w:r>
          </w:p>
        </w:tc>
        <w:tc>
          <w:tcPr>
            <w:tcW w:w="1280" w:type="dxa"/>
            <w:vAlign w:val="bottom"/>
            <w:vMerge w:val="restart"/>
            <w:shd w:val="clear" w:color="auto" w:fill="0C2940"/>
          </w:tcPr>
          <w:p>
            <w:pPr>
              <w:ind w:left="200"/>
              <w:spacing w:after="0"/>
              <w:rPr>
                <w:sz w:val="20"/>
                <w:szCs w:val="20"/>
                <w:color w:val="auto"/>
              </w:rPr>
            </w:pPr>
            <w:r>
              <w:rPr>
                <w:rFonts w:ascii="Arial" w:cs="Arial" w:eastAsia="Arial" w:hAnsi="Arial"/>
                <w:sz w:val="14"/>
                <w:szCs w:val="14"/>
                <w:color w:val="FFFFFF"/>
              </w:rPr>
              <w:t>THRESHOLD</w:t>
            </w:r>
          </w:p>
        </w:tc>
        <w:tc>
          <w:tcPr>
            <w:tcW w:w="1000" w:type="dxa"/>
            <w:vAlign w:val="bottom"/>
            <w:vMerge w:val="restart"/>
            <w:shd w:val="clear" w:color="auto" w:fill="0C2940"/>
          </w:tcPr>
          <w:p>
            <w:pPr>
              <w:ind w:left="180"/>
              <w:spacing w:after="0"/>
              <w:rPr>
                <w:sz w:val="20"/>
                <w:szCs w:val="20"/>
                <w:color w:val="auto"/>
              </w:rPr>
            </w:pPr>
            <w:r>
              <w:rPr>
                <w:rFonts w:ascii="Arial" w:cs="Arial" w:eastAsia="Arial" w:hAnsi="Arial"/>
                <w:sz w:val="14"/>
                <w:szCs w:val="14"/>
                <w:color w:val="FFFFFF"/>
              </w:rPr>
              <w:t>TARGET</w:t>
            </w:r>
          </w:p>
        </w:tc>
        <w:tc>
          <w:tcPr>
            <w:tcW w:w="1160" w:type="dxa"/>
            <w:vAlign w:val="bottom"/>
            <w:vMerge w:val="restart"/>
            <w:shd w:val="clear" w:color="auto" w:fill="0C2940"/>
          </w:tcPr>
          <w:p>
            <w:pPr>
              <w:ind w:left="220"/>
              <w:spacing w:after="0"/>
              <w:rPr>
                <w:sz w:val="20"/>
                <w:szCs w:val="20"/>
                <w:color w:val="auto"/>
              </w:rPr>
            </w:pPr>
            <w:r>
              <w:rPr>
                <w:rFonts w:ascii="Arial" w:cs="Arial" w:eastAsia="Arial" w:hAnsi="Arial"/>
                <w:sz w:val="14"/>
                <w:szCs w:val="14"/>
                <w:color w:val="FFFFFF"/>
              </w:rPr>
              <w:t>MAXIMUM</w:t>
            </w:r>
          </w:p>
        </w:tc>
        <w:tc>
          <w:tcPr>
            <w:tcW w:w="160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ACTUAL</w:t>
            </w:r>
          </w:p>
        </w:tc>
        <w:tc>
          <w:tcPr>
            <w:tcW w:w="162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INTERPOLATED</w:t>
            </w:r>
          </w:p>
        </w:tc>
        <w:tc>
          <w:tcPr>
            <w:tcW w:w="0" w:type="dxa"/>
            <w:vAlign w:val="bottom"/>
          </w:tcPr>
          <w:p>
            <w:pPr>
              <w:spacing w:after="0"/>
              <w:rPr>
                <w:sz w:val="1"/>
                <w:szCs w:val="1"/>
                <w:color w:val="auto"/>
              </w:rPr>
            </w:pPr>
          </w:p>
        </w:tc>
      </w:tr>
      <w:tr>
        <w:trPr>
          <w:trHeight w:val="162"/>
        </w:trPr>
        <w:tc>
          <w:tcPr>
            <w:tcW w:w="2920" w:type="dxa"/>
            <w:vAlign w:val="bottom"/>
            <w:shd w:val="clear" w:color="auto" w:fill="0C2940"/>
          </w:tcPr>
          <w:p>
            <w:pPr>
              <w:spacing w:after="0"/>
              <w:rPr>
                <w:sz w:val="14"/>
                <w:szCs w:val="14"/>
                <w:color w:val="auto"/>
              </w:rPr>
            </w:pPr>
          </w:p>
        </w:tc>
        <w:tc>
          <w:tcPr>
            <w:tcW w:w="1300" w:type="dxa"/>
            <w:vAlign w:val="bottom"/>
            <w:vMerge w:val="continue"/>
            <w:shd w:val="clear" w:color="auto" w:fill="0C2940"/>
          </w:tcPr>
          <w:p>
            <w:pPr>
              <w:spacing w:after="0"/>
              <w:rPr>
                <w:sz w:val="14"/>
                <w:szCs w:val="14"/>
                <w:color w:val="auto"/>
              </w:rPr>
            </w:pPr>
          </w:p>
        </w:tc>
        <w:tc>
          <w:tcPr>
            <w:tcW w:w="1280" w:type="dxa"/>
            <w:vAlign w:val="bottom"/>
            <w:vMerge w:val="continue"/>
            <w:shd w:val="clear" w:color="auto" w:fill="0C2940"/>
          </w:tcPr>
          <w:p>
            <w:pPr>
              <w:spacing w:after="0"/>
              <w:rPr>
                <w:sz w:val="14"/>
                <w:szCs w:val="14"/>
                <w:color w:val="auto"/>
              </w:rPr>
            </w:pPr>
          </w:p>
        </w:tc>
        <w:tc>
          <w:tcPr>
            <w:tcW w:w="1000" w:type="dxa"/>
            <w:vAlign w:val="bottom"/>
            <w:vMerge w:val="continue"/>
            <w:shd w:val="clear" w:color="auto" w:fill="0C2940"/>
          </w:tcPr>
          <w:p>
            <w:pPr>
              <w:spacing w:after="0"/>
              <w:rPr>
                <w:sz w:val="14"/>
                <w:szCs w:val="14"/>
                <w:color w:val="auto"/>
              </w:rPr>
            </w:pPr>
          </w:p>
        </w:tc>
        <w:tc>
          <w:tcPr>
            <w:tcW w:w="1160" w:type="dxa"/>
            <w:vAlign w:val="bottom"/>
            <w:vMerge w:val="continue"/>
            <w:shd w:val="clear" w:color="auto" w:fill="0C2940"/>
          </w:tcPr>
          <w:p>
            <w:pPr>
              <w:spacing w:after="0"/>
              <w:rPr>
                <w:sz w:val="14"/>
                <w:szCs w:val="14"/>
                <w:color w:val="auto"/>
              </w:rPr>
            </w:pPr>
          </w:p>
        </w:tc>
        <w:tc>
          <w:tcPr>
            <w:tcW w:w="160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PERFORMANCE</w:t>
            </w:r>
          </w:p>
        </w:tc>
        <w:tc>
          <w:tcPr>
            <w:tcW w:w="162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ACHIEVEMENT</w:t>
            </w:r>
          </w:p>
        </w:tc>
        <w:tc>
          <w:tcPr>
            <w:tcW w:w="0" w:type="dxa"/>
            <w:vAlign w:val="bottom"/>
          </w:tcPr>
          <w:p>
            <w:pPr>
              <w:spacing w:after="0"/>
              <w:rPr>
                <w:sz w:val="1"/>
                <w:szCs w:val="1"/>
                <w:color w:val="auto"/>
              </w:rPr>
            </w:pPr>
          </w:p>
        </w:tc>
      </w:tr>
      <w:tr>
        <w:trPr>
          <w:trHeight w:val="214"/>
        </w:trPr>
        <w:tc>
          <w:tcPr>
            <w:tcW w:w="29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Adjusted Return on Equity</w:t>
            </w:r>
          </w:p>
        </w:tc>
        <w:tc>
          <w:tcPr>
            <w:tcW w:w="130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99"/>
              </w:rPr>
              <w:t>30%</w:t>
            </w:r>
          </w:p>
        </w:tc>
        <w:tc>
          <w:tcPr>
            <w:tcW w:w="12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8.0%</w:t>
            </w:r>
          </w:p>
        </w:tc>
        <w:tc>
          <w:tcPr>
            <w:tcW w:w="10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12.25%</w:t>
            </w:r>
          </w:p>
        </w:tc>
        <w:tc>
          <w:tcPr>
            <w:tcW w:w="11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16.0%</w:t>
            </w:r>
          </w:p>
        </w:tc>
        <w:tc>
          <w:tcPr>
            <w:tcW w:w="16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16.6%</w:t>
            </w:r>
          </w:p>
        </w:tc>
        <w:tc>
          <w:tcPr>
            <w:tcW w:w="1620" w:type="dxa"/>
            <w:vAlign w:val="bottom"/>
            <w:shd w:val="clear" w:color="auto" w:fill="F5F5F5"/>
          </w:tcPr>
          <w:p>
            <w:pPr>
              <w:jc w:val="center"/>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69"/>
        </w:trPr>
        <w:tc>
          <w:tcPr>
            <w:tcW w:w="2920" w:type="dxa"/>
            <w:vAlign w:val="bottom"/>
            <w:shd w:val="clear" w:color="auto" w:fill="F5F5F5"/>
          </w:tcPr>
          <w:p>
            <w:pPr>
              <w:spacing w:after="0"/>
              <w:rPr>
                <w:sz w:val="6"/>
                <w:szCs w:val="6"/>
                <w:color w:val="auto"/>
              </w:rPr>
            </w:pPr>
          </w:p>
        </w:tc>
        <w:tc>
          <w:tcPr>
            <w:tcW w:w="1300" w:type="dxa"/>
            <w:vAlign w:val="bottom"/>
            <w:shd w:val="clear" w:color="auto" w:fill="F5F5F5"/>
          </w:tcPr>
          <w:p>
            <w:pPr>
              <w:spacing w:after="0"/>
              <w:rPr>
                <w:sz w:val="6"/>
                <w:szCs w:val="6"/>
                <w:color w:val="auto"/>
              </w:rPr>
            </w:pPr>
          </w:p>
        </w:tc>
        <w:tc>
          <w:tcPr>
            <w:tcW w:w="128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600" w:type="dxa"/>
            <w:vAlign w:val="bottom"/>
            <w:shd w:val="clear" w:color="auto" w:fill="F5F5F5"/>
          </w:tcPr>
          <w:p>
            <w:pPr>
              <w:spacing w:after="0"/>
              <w:rPr>
                <w:sz w:val="6"/>
                <w:szCs w:val="6"/>
                <w:color w:val="auto"/>
              </w:rPr>
            </w:pPr>
          </w:p>
        </w:tc>
        <w:tc>
          <w:tcPr>
            <w:tcW w:w="162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920" w:type="dxa"/>
            <w:vAlign w:val="bottom"/>
          </w:tcPr>
          <w:p>
            <w:pPr>
              <w:ind w:left="140"/>
              <w:spacing w:after="0"/>
              <w:rPr>
                <w:sz w:val="20"/>
                <w:szCs w:val="20"/>
                <w:color w:val="auto"/>
              </w:rPr>
            </w:pPr>
            <w:r>
              <w:rPr>
                <w:rFonts w:ascii="Arial" w:cs="Arial" w:eastAsia="Arial" w:hAnsi="Arial"/>
                <w:sz w:val="14"/>
                <w:szCs w:val="14"/>
                <w:color w:val="auto"/>
              </w:rPr>
              <w:t>Adjusted Net Operating Income</w:t>
            </w: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9"/>
              </w:rPr>
              <w:t>30%</w:t>
            </w:r>
          </w:p>
        </w:tc>
        <w:tc>
          <w:tcPr>
            <w:tcW w:w="1280" w:type="dxa"/>
            <w:vAlign w:val="bottom"/>
            <w:vMerge w:val="restart"/>
          </w:tcPr>
          <w:p>
            <w:pPr>
              <w:jc w:val="center"/>
              <w:spacing w:after="0"/>
              <w:rPr>
                <w:sz w:val="20"/>
                <w:szCs w:val="20"/>
                <w:color w:val="auto"/>
              </w:rPr>
            </w:pPr>
            <w:r>
              <w:rPr>
                <w:rFonts w:ascii="Arial" w:cs="Arial" w:eastAsia="Arial" w:hAnsi="Arial"/>
                <w:sz w:val="14"/>
                <w:szCs w:val="14"/>
                <w:color w:val="auto"/>
              </w:rPr>
              <w:t>$247.7</w:t>
            </w:r>
          </w:p>
        </w:tc>
        <w:tc>
          <w:tcPr>
            <w:tcW w:w="1000" w:type="dxa"/>
            <w:vAlign w:val="bottom"/>
            <w:vMerge w:val="restart"/>
          </w:tcPr>
          <w:p>
            <w:pPr>
              <w:jc w:val="center"/>
              <w:spacing w:after="0"/>
              <w:rPr>
                <w:sz w:val="20"/>
                <w:szCs w:val="20"/>
                <w:color w:val="auto"/>
              </w:rPr>
            </w:pPr>
            <w:r>
              <w:rPr>
                <w:rFonts w:ascii="Arial" w:cs="Arial" w:eastAsia="Arial" w:hAnsi="Arial"/>
                <w:sz w:val="14"/>
                <w:szCs w:val="14"/>
                <w:color w:val="auto"/>
              </w:rPr>
              <w:t>$381.6</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$504.8</w:t>
            </w: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$515.9</w:t>
            </w: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114"/>
        </w:trPr>
        <w:tc>
          <w:tcPr>
            <w:tcW w:w="2920" w:type="dxa"/>
            <w:vAlign w:val="bottom"/>
            <w:vMerge w:val="restart"/>
          </w:tcPr>
          <w:p>
            <w:pPr>
              <w:ind w:left="140"/>
              <w:spacing w:after="0"/>
              <w:rPr>
                <w:sz w:val="20"/>
                <w:szCs w:val="20"/>
                <w:color w:val="auto"/>
              </w:rPr>
            </w:pPr>
            <w:r>
              <w:rPr>
                <w:rFonts w:ascii="Arial" w:cs="Arial" w:eastAsia="Arial" w:hAnsi="Arial"/>
                <w:sz w:val="14"/>
                <w:szCs w:val="14"/>
                <w:color w:val="auto"/>
              </w:rPr>
              <w:t>(In Millions)</w:t>
            </w:r>
          </w:p>
        </w:tc>
        <w:tc>
          <w:tcPr>
            <w:tcW w:w="13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92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9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920" w:type="dxa"/>
            <w:vAlign w:val="bottom"/>
            <w:shd w:val="clear" w:color="auto" w:fill="F5F5F5"/>
          </w:tcPr>
          <w:p>
            <w:pPr>
              <w:ind w:left="140"/>
              <w:spacing w:after="0"/>
              <w:rPr>
                <w:sz w:val="20"/>
                <w:szCs w:val="20"/>
                <w:color w:val="auto"/>
              </w:rPr>
            </w:pPr>
            <w:r>
              <w:rPr>
                <w:rFonts w:ascii="Arial" w:cs="Arial" w:eastAsia="Arial" w:hAnsi="Arial"/>
                <w:sz w:val="14"/>
                <w:szCs w:val="14"/>
                <w:color w:val="auto"/>
              </w:rPr>
              <w:t>New Insurance Written (In Billions)</w:t>
            </w:r>
          </w:p>
        </w:tc>
        <w:tc>
          <w:tcPr>
            <w:tcW w:w="1300" w:type="dxa"/>
            <w:vAlign w:val="bottom"/>
            <w:shd w:val="clear" w:color="auto" w:fill="F5F5F5"/>
          </w:tcPr>
          <w:p>
            <w:pPr>
              <w:jc w:val="center"/>
              <w:spacing w:after="0"/>
              <w:rPr>
                <w:sz w:val="20"/>
                <w:szCs w:val="20"/>
                <w:color w:val="auto"/>
              </w:rPr>
            </w:pPr>
            <w:r>
              <w:rPr>
                <w:rFonts w:ascii="Arial" w:cs="Arial" w:eastAsia="Arial" w:hAnsi="Arial"/>
                <w:sz w:val="14"/>
                <w:szCs w:val="14"/>
                <w:color w:val="auto"/>
                <w:w w:val="99"/>
              </w:rPr>
              <w:t>25%</w:t>
            </w:r>
          </w:p>
        </w:tc>
        <w:tc>
          <w:tcPr>
            <w:tcW w:w="12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$35.0</w:t>
            </w:r>
          </w:p>
        </w:tc>
        <w:tc>
          <w:tcPr>
            <w:tcW w:w="10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$46.0</w:t>
            </w:r>
          </w:p>
        </w:tc>
        <w:tc>
          <w:tcPr>
            <w:tcW w:w="116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$55.0</w:t>
            </w:r>
          </w:p>
        </w:tc>
        <w:tc>
          <w:tcPr>
            <w:tcW w:w="160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$48.9</w:t>
            </w:r>
          </w:p>
        </w:tc>
        <w:tc>
          <w:tcPr>
            <w:tcW w:w="1620" w:type="dxa"/>
            <w:vAlign w:val="bottom"/>
            <w:shd w:val="clear" w:color="auto" w:fill="F5F5F5"/>
          </w:tcPr>
          <w:p>
            <w:pPr>
              <w:jc w:val="center"/>
              <w:spacing w:after="0"/>
              <w:rPr>
                <w:sz w:val="20"/>
                <w:szCs w:val="20"/>
                <w:color w:val="auto"/>
              </w:rPr>
            </w:pPr>
            <w:r>
              <w:rPr>
                <w:rFonts w:ascii="Arial" w:cs="Arial" w:eastAsia="Arial" w:hAnsi="Arial"/>
                <w:sz w:val="14"/>
                <w:szCs w:val="14"/>
                <w:b w:val="1"/>
                <w:bCs w:val="1"/>
                <w:color w:val="auto"/>
              </w:rPr>
              <w:t>125.8%</w:t>
            </w:r>
          </w:p>
        </w:tc>
        <w:tc>
          <w:tcPr>
            <w:tcW w:w="0" w:type="dxa"/>
            <w:vAlign w:val="bottom"/>
          </w:tcPr>
          <w:p>
            <w:pPr>
              <w:spacing w:after="0"/>
              <w:rPr>
                <w:sz w:val="1"/>
                <w:szCs w:val="1"/>
                <w:color w:val="auto"/>
              </w:rPr>
            </w:pPr>
          </w:p>
        </w:tc>
      </w:tr>
      <w:tr>
        <w:trPr>
          <w:trHeight w:val="70"/>
        </w:trPr>
        <w:tc>
          <w:tcPr>
            <w:tcW w:w="2920" w:type="dxa"/>
            <w:vAlign w:val="bottom"/>
            <w:shd w:val="clear" w:color="auto" w:fill="F5F5F5"/>
          </w:tcPr>
          <w:p>
            <w:pPr>
              <w:spacing w:after="0"/>
              <w:rPr>
                <w:sz w:val="6"/>
                <w:szCs w:val="6"/>
                <w:color w:val="auto"/>
              </w:rPr>
            </w:pPr>
          </w:p>
        </w:tc>
        <w:tc>
          <w:tcPr>
            <w:tcW w:w="1300" w:type="dxa"/>
            <w:vAlign w:val="bottom"/>
            <w:shd w:val="clear" w:color="auto" w:fill="F5F5F5"/>
          </w:tcPr>
          <w:p>
            <w:pPr>
              <w:spacing w:after="0"/>
              <w:rPr>
                <w:sz w:val="6"/>
                <w:szCs w:val="6"/>
                <w:color w:val="auto"/>
              </w:rPr>
            </w:pPr>
          </w:p>
        </w:tc>
        <w:tc>
          <w:tcPr>
            <w:tcW w:w="128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600" w:type="dxa"/>
            <w:vAlign w:val="bottom"/>
            <w:shd w:val="clear" w:color="auto" w:fill="F5F5F5"/>
          </w:tcPr>
          <w:p>
            <w:pPr>
              <w:spacing w:after="0"/>
              <w:rPr>
                <w:sz w:val="6"/>
                <w:szCs w:val="6"/>
                <w:color w:val="auto"/>
              </w:rPr>
            </w:pPr>
          </w:p>
        </w:tc>
        <w:tc>
          <w:tcPr>
            <w:tcW w:w="162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140"/>
              <w:spacing w:after="0"/>
              <w:rPr>
                <w:sz w:val="20"/>
                <w:szCs w:val="20"/>
                <w:color w:val="auto"/>
              </w:rPr>
            </w:pPr>
            <w:r>
              <w:rPr>
                <w:rFonts w:ascii="Arial" w:cs="Arial" w:eastAsia="Arial" w:hAnsi="Arial"/>
                <w:sz w:val="14"/>
                <w:szCs w:val="14"/>
                <w:color w:val="auto"/>
              </w:rPr>
              <w:t>Adjusted Expense Ratio</w:t>
            </w:r>
          </w:p>
        </w:tc>
        <w:tc>
          <w:tcPr>
            <w:tcW w:w="1300" w:type="dxa"/>
            <w:vAlign w:val="bottom"/>
          </w:tcPr>
          <w:p>
            <w:pPr>
              <w:jc w:val="center"/>
              <w:spacing w:after="0"/>
              <w:rPr>
                <w:sz w:val="20"/>
                <w:szCs w:val="20"/>
                <w:color w:val="auto"/>
              </w:rPr>
            </w:pPr>
            <w:r>
              <w:rPr>
                <w:rFonts w:ascii="Arial" w:cs="Arial" w:eastAsia="Arial" w:hAnsi="Arial"/>
                <w:sz w:val="14"/>
                <w:szCs w:val="14"/>
                <w:color w:val="auto"/>
                <w:w w:val="99"/>
              </w:rPr>
              <w:t>15%</w:t>
            </w:r>
          </w:p>
        </w:tc>
        <w:tc>
          <w:tcPr>
            <w:tcW w:w="1280" w:type="dxa"/>
            <w:vAlign w:val="bottom"/>
          </w:tcPr>
          <w:p>
            <w:pPr>
              <w:jc w:val="center"/>
              <w:spacing w:after="0"/>
              <w:rPr>
                <w:sz w:val="20"/>
                <w:szCs w:val="20"/>
                <w:color w:val="auto"/>
              </w:rPr>
            </w:pPr>
            <w:r>
              <w:rPr>
                <w:rFonts w:ascii="Arial" w:cs="Arial" w:eastAsia="Arial" w:hAnsi="Arial"/>
                <w:sz w:val="14"/>
                <w:szCs w:val="14"/>
                <w:color w:val="auto"/>
              </w:rPr>
              <w:t>23.75%</w:t>
            </w:r>
          </w:p>
        </w:tc>
        <w:tc>
          <w:tcPr>
            <w:tcW w:w="1000" w:type="dxa"/>
            <w:vAlign w:val="bottom"/>
          </w:tcPr>
          <w:p>
            <w:pPr>
              <w:jc w:val="center"/>
              <w:spacing w:after="0"/>
              <w:rPr>
                <w:sz w:val="20"/>
                <w:szCs w:val="20"/>
                <w:color w:val="auto"/>
              </w:rPr>
            </w:pPr>
            <w:r>
              <w:rPr>
                <w:rFonts w:ascii="Arial" w:cs="Arial" w:eastAsia="Arial" w:hAnsi="Arial"/>
                <w:sz w:val="14"/>
                <w:szCs w:val="14"/>
                <w:color w:val="auto"/>
              </w:rPr>
              <w:t>21.75%</w:t>
            </w:r>
          </w:p>
        </w:tc>
        <w:tc>
          <w:tcPr>
            <w:tcW w:w="1160" w:type="dxa"/>
            <w:vAlign w:val="bottom"/>
          </w:tcPr>
          <w:p>
            <w:pPr>
              <w:jc w:val="center"/>
              <w:spacing w:after="0"/>
              <w:rPr>
                <w:sz w:val="20"/>
                <w:szCs w:val="20"/>
                <w:color w:val="auto"/>
              </w:rPr>
            </w:pPr>
            <w:r>
              <w:rPr>
                <w:rFonts w:ascii="Arial" w:cs="Arial" w:eastAsia="Arial" w:hAnsi="Arial"/>
                <w:sz w:val="14"/>
                <w:szCs w:val="14"/>
                <w:color w:val="auto"/>
              </w:rPr>
              <w:t>20.50%</w:t>
            </w:r>
          </w:p>
        </w:tc>
        <w:tc>
          <w:tcPr>
            <w:tcW w:w="1600" w:type="dxa"/>
            <w:vAlign w:val="bottom"/>
          </w:tcPr>
          <w:p>
            <w:pPr>
              <w:jc w:val="center"/>
              <w:spacing w:after="0"/>
              <w:rPr>
                <w:sz w:val="20"/>
                <w:szCs w:val="20"/>
                <w:color w:val="auto"/>
              </w:rPr>
            </w:pPr>
            <w:r>
              <w:rPr>
                <w:rFonts w:ascii="Arial" w:cs="Arial" w:eastAsia="Arial" w:hAnsi="Arial"/>
                <w:sz w:val="14"/>
                <w:szCs w:val="14"/>
                <w:color w:val="auto"/>
              </w:rPr>
              <w:t>19.42%</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69"/>
        </w:trPr>
        <w:tc>
          <w:tcPr>
            <w:tcW w:w="2920" w:type="dxa"/>
            <w:vAlign w:val="bottom"/>
            <w:tcBorders>
              <w:bottom w:val="single" w:sz="8" w:color="DE762B"/>
            </w:tcBorders>
          </w:tcPr>
          <w:p>
            <w:pPr>
              <w:spacing w:after="0"/>
              <w:rPr>
                <w:sz w:val="6"/>
                <w:szCs w:val="6"/>
                <w:color w:val="auto"/>
              </w:rPr>
            </w:pPr>
          </w:p>
        </w:tc>
        <w:tc>
          <w:tcPr>
            <w:tcW w:w="1300" w:type="dxa"/>
            <w:vAlign w:val="bottom"/>
            <w:tcBorders>
              <w:bottom w:val="single" w:sz="8" w:color="DE762B"/>
            </w:tcBorders>
          </w:tcPr>
          <w:p>
            <w:pPr>
              <w:spacing w:after="0"/>
              <w:rPr>
                <w:sz w:val="6"/>
                <w:szCs w:val="6"/>
                <w:color w:val="auto"/>
              </w:rPr>
            </w:pPr>
          </w:p>
        </w:tc>
        <w:tc>
          <w:tcPr>
            <w:tcW w:w="1280" w:type="dxa"/>
            <w:vAlign w:val="bottom"/>
            <w:tcBorders>
              <w:bottom w:val="single" w:sz="8" w:color="DE762B"/>
            </w:tcBorders>
          </w:tcPr>
          <w:p>
            <w:pPr>
              <w:spacing w:after="0"/>
              <w:rPr>
                <w:sz w:val="6"/>
                <w:szCs w:val="6"/>
                <w:color w:val="auto"/>
              </w:rPr>
            </w:pPr>
          </w:p>
        </w:tc>
        <w:tc>
          <w:tcPr>
            <w:tcW w:w="1000" w:type="dxa"/>
            <w:vAlign w:val="bottom"/>
            <w:tcBorders>
              <w:bottom w:val="single" w:sz="8" w:color="DE762B"/>
            </w:tcBorders>
          </w:tcPr>
          <w:p>
            <w:pPr>
              <w:spacing w:after="0"/>
              <w:rPr>
                <w:sz w:val="6"/>
                <w:szCs w:val="6"/>
                <w:color w:val="auto"/>
              </w:rPr>
            </w:pPr>
          </w:p>
        </w:tc>
        <w:tc>
          <w:tcPr>
            <w:tcW w:w="1160" w:type="dxa"/>
            <w:vAlign w:val="bottom"/>
            <w:tcBorders>
              <w:bottom w:val="single" w:sz="8" w:color="DE762B"/>
            </w:tcBorders>
          </w:tcPr>
          <w:p>
            <w:pPr>
              <w:spacing w:after="0"/>
              <w:rPr>
                <w:sz w:val="6"/>
                <w:szCs w:val="6"/>
                <w:color w:val="auto"/>
              </w:rPr>
            </w:pPr>
          </w:p>
        </w:tc>
        <w:tc>
          <w:tcPr>
            <w:tcW w:w="1600" w:type="dxa"/>
            <w:vAlign w:val="bottom"/>
            <w:tcBorders>
              <w:bottom w:val="single" w:sz="8" w:color="DE762B"/>
            </w:tcBorders>
          </w:tcPr>
          <w:p>
            <w:pPr>
              <w:spacing w:after="0"/>
              <w:rPr>
                <w:sz w:val="6"/>
                <w:szCs w:val="6"/>
                <w:color w:val="auto"/>
              </w:rPr>
            </w:pPr>
          </w:p>
        </w:tc>
        <w:tc>
          <w:tcPr>
            <w:tcW w:w="1620" w:type="dxa"/>
            <w:vAlign w:val="bottom"/>
            <w:tcBorders>
              <w:bottom w:val="single" w:sz="8" w:color="DE762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5838825</wp:posOffset>
            </wp:positionH>
            <wp:positionV relativeFrom="paragraph">
              <wp:posOffset>-886460</wp:posOffset>
            </wp:positionV>
            <wp:extent cx="34290" cy="890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90905"/>
                    </a:xfrm>
                    <a:prstGeom prst="rect">
                      <a:avLst/>
                    </a:prstGeom>
                    <a:noFill/>
                  </pic:spPr>
                </pic:pic>
              </a:graphicData>
            </a:graphic>
          </wp:anchor>
        </w:drawing>
        <w:drawing>
          <wp:anchor simplePos="0" relativeHeight="251657728" behindDoc="1" locked="0" layoutInCell="0" allowOverlap="1">
            <wp:simplePos x="0" y="0"/>
            <wp:positionH relativeFrom="column">
              <wp:posOffset>4869815</wp:posOffset>
            </wp:positionH>
            <wp:positionV relativeFrom="paragraph">
              <wp:posOffset>-886460</wp:posOffset>
            </wp:positionV>
            <wp:extent cx="34290" cy="890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90905"/>
                    </a:xfrm>
                    <a:prstGeom prst="rect">
                      <a:avLst/>
                    </a:prstGeom>
                    <a:noFill/>
                  </pic:spPr>
                </pic:pic>
              </a:graphicData>
            </a:graphic>
          </wp:anchor>
        </w:drawing>
        <w:drawing>
          <wp:anchor simplePos="0" relativeHeight="251657728" behindDoc="1" locked="0" layoutInCell="0" allowOverlap="1">
            <wp:simplePos x="0" y="0"/>
            <wp:positionH relativeFrom="column">
              <wp:posOffset>4081145</wp:posOffset>
            </wp:positionH>
            <wp:positionV relativeFrom="paragraph">
              <wp:posOffset>-886460</wp:posOffset>
            </wp:positionV>
            <wp:extent cx="33655" cy="890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8909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-886460</wp:posOffset>
            </wp:positionV>
            <wp:extent cx="33655" cy="8909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890905"/>
                    </a:xfrm>
                    <a:prstGeom prst="rect">
                      <a:avLst/>
                    </a:prstGeom>
                    <a:noFill/>
                  </pic:spPr>
                </pic:pic>
              </a:graphicData>
            </a:graphic>
          </wp:anchor>
        </w:drawing>
        <w:drawing>
          <wp:anchor simplePos="0" relativeHeight="251657728" behindDoc="1" locked="0" layoutInCell="0" allowOverlap="1">
            <wp:simplePos x="0" y="0"/>
            <wp:positionH relativeFrom="column">
              <wp:posOffset>2667000</wp:posOffset>
            </wp:positionH>
            <wp:positionV relativeFrom="paragraph">
              <wp:posOffset>-886460</wp:posOffset>
            </wp:positionV>
            <wp:extent cx="34290" cy="8909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890905"/>
                    </a:xfrm>
                    <a:prstGeom prst="rect">
                      <a:avLst/>
                    </a:prstGeom>
                    <a:noFill/>
                  </pic:spPr>
                </pic:pic>
              </a:graphicData>
            </a:graphic>
          </wp:anchor>
        </w:drawing>
        <w:drawing>
          <wp:anchor simplePos="0" relativeHeight="251657728" behindDoc="1" locked="0" layoutInCell="0" allowOverlap="1">
            <wp:simplePos x="0" y="0"/>
            <wp:positionH relativeFrom="column">
              <wp:posOffset>1869440</wp:posOffset>
            </wp:positionH>
            <wp:positionV relativeFrom="paragraph">
              <wp:posOffset>-886460</wp:posOffset>
            </wp:positionV>
            <wp:extent cx="34290" cy="890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 cy="890905"/>
                    </a:xfrm>
                    <a:prstGeom prst="rect">
                      <a:avLst/>
                    </a:prstGeom>
                    <a:noFill/>
                  </pic:spPr>
                </pic:pic>
              </a:graphicData>
            </a:graphic>
          </wp:anchor>
        </w:drawing>
      </w:r>
    </w:p>
    <w:p>
      <w:pPr>
        <w:spacing w:after="0" w:line="165" w:lineRule="exact"/>
        <w:rPr>
          <w:sz w:val="20"/>
          <w:szCs w:val="20"/>
          <w:color w:val="auto"/>
        </w:rPr>
      </w:pPr>
    </w:p>
    <w:p>
      <w:pPr>
        <w:ind w:left="260" w:hanging="252"/>
        <w:spacing w:after="0" w:line="264" w:lineRule="auto"/>
        <w:tabs>
          <w:tab w:leader="none" w:pos="257" w:val="left"/>
        </w:tabs>
        <w:numPr>
          <w:ilvl w:val="0"/>
          <w:numId w:val="53"/>
        </w:numPr>
        <w:rPr>
          <w:rFonts w:ascii="Arial" w:cs="Arial" w:eastAsia="Arial" w:hAnsi="Arial"/>
          <w:sz w:val="13"/>
          <w:szCs w:val="13"/>
          <w:color w:val="6D6D6D"/>
        </w:rPr>
      </w:pPr>
      <w:r>
        <w:rPr>
          <w:rFonts w:ascii="Arial" w:cs="Arial" w:eastAsia="Arial" w:hAnsi="Arial"/>
          <w:sz w:val="13"/>
          <w:szCs w:val="13"/>
          <w:color w:val="6D6D6D"/>
        </w:rPr>
        <w:t xml:space="preserve">Adjusted Return on Equity (AROE), Adjusted Net Operating Income, and Adjusted Expense Ratio are non-GAAP measures. For a description of how we define these measures under the 2025 bonus plan, see </w:t>
      </w:r>
      <w:r>
        <w:rPr>
          <w:rFonts w:ascii="Arial" w:cs="Arial" w:eastAsia="Arial" w:hAnsi="Arial"/>
          <w:sz w:val="13"/>
          <w:szCs w:val="13"/>
          <w:u w:val="single" w:color="auto"/>
          <w:color w:val="6D6D6D"/>
        </w:rPr>
        <w:t>Appendix A</w:t>
      </w:r>
      <w:r>
        <w:rPr>
          <w:rFonts w:ascii="Arial" w:cs="Arial" w:eastAsia="Arial" w:hAnsi="Arial"/>
          <w:sz w:val="13"/>
          <w:szCs w:val="13"/>
          <w:color w:val="6D6D6D"/>
        </w:rPr>
        <w:t>.</w:t>
      </w:r>
    </w:p>
    <w:p>
      <w:pPr>
        <w:spacing w:after="0" w:line="29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When setting the 2025 corporate performance objectives, the Compensation Committee used a rigorous process to set challenging, yet attainable objectives intended to support and align with the Company's operating plan and strategic goals and to ensure an appropriate level of competitiveness within the marketplace, without encouraging unnecessary or excessive risk-taking. In setting the 2025 objectives, the Compensation Committee considered (i) the Company's 2025 operational plan and budget that included then-current economic conditions and expectations, (ii) the competitive landscape in the mortgage insurance (MI) industry, and (iii) prior years' results.</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When determining the final awards for our NEOs under the 2025 bonus plan, the Compensation Committee considered the Company's achievement against the 2025 corporate performance objectives. In 2025, the Company achieved 16.6% AROE, $515.9 million Adjusted Net Operating Income, $48.9 billion NIW and 19.42% Adjusted Expense Ratio. Accordingly, the Company exceeded the target performance level for four out of the four performance objectives.</w:t>
      </w:r>
    </w:p>
    <w:p>
      <w:pPr>
        <w:spacing w:after="0" w:line="5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After evaluating the Company's financial performance in 2025, achievement levels with respect to the 2025 performance objectives and the significant accomplishments of our executive team during 2025, the Compensation Committee approved payment of bonuses to our NEOs employed at the time of payment of 166.4% of total targeted bonus opportunity.</w:t>
      </w: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005388"/>
        </w:rPr>
        <w:t>Long-Term Incentive Program &amp; BVPS Growth Targets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Our NEOs may be awarded equity at the discretion of the Compensation Committee under the Company's equity plan. Equity awards are intended to:</w:t>
      </w:r>
    </w:p>
    <w:p>
      <w:pPr>
        <w:spacing w:after="0" w:line="11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further align the interest of our NEOs with the interests of our stockholders</w:t>
      </w:r>
    </w:p>
    <w:p>
      <w:pPr>
        <w:spacing w:after="0" w:line="126" w:lineRule="exact"/>
        <w:rPr>
          <w:rFonts w:ascii="Arial" w:cs="Arial" w:eastAsia="Arial" w:hAnsi="Arial"/>
          <w:sz w:val="16"/>
          <w:szCs w:val="16"/>
          <w:color w:val="auto"/>
        </w:rPr>
      </w:pPr>
    </w:p>
    <w:p>
      <w:pPr>
        <w:ind w:left="660" w:hanging="328"/>
        <w:spacing w:after="0"/>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emphasizing long-term financial performance;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reward sustained share price appreciation; and</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support the retention of our management team.</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2025, the Compensation Committee approved equity awards for our CEO and each other NEO, consisting of a 60:40 mix of PRSUs and RSUs and a 50:50 mix of PRSUs and RSUs, respectively. Our 2025 PRSUs directly link a significant component of our executive's realized compensation value to the Company's achievement of book value per share growth, incentivize the achievement of sustainable long-term returns and further align our long-term equity incentive with that of our peers' and the trends observed in the marketplace. See "</w:t>
      </w:r>
      <w:r>
        <w:rPr>
          <w:rFonts w:ascii="Arial" w:cs="Arial" w:eastAsia="Arial" w:hAnsi="Arial"/>
          <w:sz w:val="16"/>
          <w:szCs w:val="16"/>
          <w:i w:val="1"/>
          <w:iCs w:val="1"/>
          <w:color w:val="auto"/>
        </w:rPr>
        <w:t>Elements of Executive Compensation Program — Overview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Elements.</w:t>
      </w:r>
      <w:r>
        <w:rPr>
          <w:rFonts w:ascii="Arial" w:cs="Arial" w:eastAsia="Arial" w:hAnsi="Arial"/>
          <w:sz w:val="16"/>
          <w:szCs w:val="16"/>
          <w:color w:val="auto"/>
        </w:rPr>
        <w: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granted our CEO and other NEOs the following 2025 equity awards as part of their target compensation package.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720" w:type="dxa"/>
            <w:vAlign w:val="bottom"/>
            <w:shd w:val="clear" w:color="auto" w:fill="0C2940"/>
          </w:tcPr>
          <w:p>
            <w:pPr>
              <w:spacing w:after="0"/>
              <w:rPr>
                <w:sz w:val="21"/>
                <w:szCs w:val="21"/>
                <w:color w:val="auto"/>
              </w:rPr>
            </w:pPr>
          </w:p>
        </w:tc>
        <w:tc>
          <w:tcPr>
            <w:tcW w:w="2700" w:type="dxa"/>
            <w:vAlign w:val="bottom"/>
            <w:vMerge w:val="restart"/>
            <w:shd w:val="clear" w:color="auto" w:fill="0C2940"/>
          </w:tcPr>
          <w:p>
            <w:pPr>
              <w:jc w:val="right"/>
              <w:ind w:right="348"/>
              <w:spacing w:after="0"/>
              <w:rPr>
                <w:sz w:val="20"/>
                <w:szCs w:val="20"/>
                <w:color w:val="auto"/>
              </w:rPr>
            </w:pPr>
            <w:r>
              <w:rPr>
                <w:rFonts w:ascii="Arial" w:cs="Arial" w:eastAsia="Arial" w:hAnsi="Arial"/>
                <w:sz w:val="14"/>
                <w:szCs w:val="14"/>
                <w:color w:val="FFFFFF"/>
              </w:rPr>
              <w:t>FAIR VALUE OF RSUs</w:t>
            </w:r>
          </w:p>
        </w:tc>
        <w:tc>
          <w:tcPr>
            <w:tcW w:w="2080" w:type="dxa"/>
            <w:vAlign w:val="bottom"/>
            <w:vMerge w:val="restart"/>
            <w:shd w:val="clear" w:color="auto" w:fill="0C2940"/>
          </w:tcPr>
          <w:p>
            <w:pPr>
              <w:jc w:val="right"/>
              <w:ind w:right="8"/>
              <w:spacing w:after="0"/>
              <w:rPr>
                <w:sz w:val="20"/>
                <w:szCs w:val="20"/>
                <w:color w:val="auto"/>
              </w:rPr>
            </w:pPr>
            <w:r>
              <w:rPr>
                <w:rFonts w:ascii="Arial" w:cs="Arial" w:eastAsia="Arial" w:hAnsi="Arial"/>
                <w:sz w:val="14"/>
                <w:szCs w:val="14"/>
                <w:color w:val="FFFFFF"/>
              </w:rPr>
              <w:t>FAIR VALUE OF PRSUs</w:t>
            </w:r>
          </w:p>
        </w:tc>
        <w:tc>
          <w:tcPr>
            <w:tcW w:w="338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TOTAL GRANT DATE FAIR VALUE OF 2025 RSU</w:t>
            </w:r>
          </w:p>
        </w:tc>
        <w:tc>
          <w:tcPr>
            <w:tcW w:w="0" w:type="dxa"/>
            <w:vAlign w:val="bottom"/>
          </w:tcPr>
          <w:p>
            <w:pPr>
              <w:spacing w:after="0"/>
              <w:rPr>
                <w:sz w:val="1"/>
                <w:szCs w:val="1"/>
                <w:color w:val="auto"/>
              </w:rPr>
            </w:pPr>
          </w:p>
        </w:tc>
      </w:tr>
      <w:tr>
        <w:trPr>
          <w:trHeight w:val="162"/>
        </w:trPr>
        <w:tc>
          <w:tcPr>
            <w:tcW w:w="2720" w:type="dxa"/>
            <w:vAlign w:val="bottom"/>
            <w:shd w:val="clear" w:color="auto" w:fill="0C2940"/>
          </w:tcPr>
          <w:p>
            <w:pPr>
              <w:spacing w:after="0"/>
              <w:rPr>
                <w:sz w:val="14"/>
                <w:szCs w:val="14"/>
                <w:color w:val="auto"/>
              </w:rPr>
            </w:pPr>
          </w:p>
        </w:tc>
        <w:tc>
          <w:tcPr>
            <w:tcW w:w="2700" w:type="dxa"/>
            <w:vAlign w:val="bottom"/>
            <w:vMerge w:val="continue"/>
            <w:shd w:val="clear" w:color="auto" w:fill="0C2940"/>
          </w:tcPr>
          <w:p>
            <w:pPr>
              <w:spacing w:after="0"/>
              <w:rPr>
                <w:sz w:val="14"/>
                <w:szCs w:val="14"/>
                <w:color w:val="auto"/>
              </w:rPr>
            </w:pPr>
          </w:p>
        </w:tc>
        <w:tc>
          <w:tcPr>
            <w:tcW w:w="2080" w:type="dxa"/>
            <w:vAlign w:val="bottom"/>
            <w:vMerge w:val="continue"/>
            <w:shd w:val="clear" w:color="auto" w:fill="0C2940"/>
          </w:tcPr>
          <w:p>
            <w:pPr>
              <w:spacing w:after="0"/>
              <w:rPr>
                <w:sz w:val="14"/>
                <w:szCs w:val="14"/>
                <w:color w:val="auto"/>
              </w:rPr>
            </w:pPr>
          </w:p>
        </w:tc>
        <w:tc>
          <w:tcPr>
            <w:tcW w:w="338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AND PRSU AWARDS</w:t>
            </w:r>
          </w:p>
        </w:tc>
        <w:tc>
          <w:tcPr>
            <w:tcW w:w="0" w:type="dxa"/>
            <w:vAlign w:val="bottom"/>
          </w:tcPr>
          <w:p>
            <w:pPr>
              <w:spacing w:after="0"/>
              <w:rPr>
                <w:sz w:val="1"/>
                <w:szCs w:val="1"/>
                <w:color w:val="auto"/>
              </w:rPr>
            </w:pPr>
          </w:p>
        </w:tc>
      </w:tr>
      <w:tr>
        <w:trPr>
          <w:trHeight w:val="204"/>
        </w:trPr>
        <w:tc>
          <w:tcPr>
            <w:tcW w:w="272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NEO</w:t>
            </w:r>
          </w:p>
        </w:tc>
        <w:tc>
          <w:tcPr>
            <w:tcW w:w="2700" w:type="dxa"/>
            <w:vAlign w:val="bottom"/>
            <w:shd w:val="clear" w:color="auto" w:fill="0C2940"/>
          </w:tcPr>
          <w:p>
            <w:pPr>
              <w:jc w:val="right"/>
              <w:ind w:right="348"/>
              <w:spacing w:after="0"/>
              <w:rPr>
                <w:sz w:val="20"/>
                <w:szCs w:val="20"/>
                <w:color w:val="auto"/>
              </w:rPr>
            </w:pPr>
            <w:r>
              <w:rPr>
                <w:rFonts w:ascii="Arial" w:cs="Arial" w:eastAsia="Arial" w:hAnsi="Arial"/>
                <w:sz w:val="14"/>
                <w:szCs w:val="14"/>
                <w:color w:val="FFFFFF"/>
              </w:rPr>
              <w:t>($)</w:t>
            </w:r>
          </w:p>
        </w:tc>
        <w:tc>
          <w:tcPr>
            <w:tcW w:w="2080" w:type="dxa"/>
            <w:vAlign w:val="bottom"/>
            <w:shd w:val="clear" w:color="auto" w:fill="0C2940"/>
          </w:tcPr>
          <w:p>
            <w:pPr>
              <w:jc w:val="right"/>
              <w:ind w:right="8"/>
              <w:spacing w:after="0"/>
              <w:rPr>
                <w:sz w:val="20"/>
                <w:szCs w:val="20"/>
                <w:color w:val="auto"/>
              </w:rPr>
            </w:pPr>
            <w:r>
              <w:rPr>
                <w:rFonts w:ascii="Arial" w:cs="Arial" w:eastAsia="Arial" w:hAnsi="Arial"/>
                <w:sz w:val="14"/>
                <w:szCs w:val="14"/>
                <w:color w:val="FFFFFF"/>
              </w:rPr>
              <w:t>($)</w:t>
            </w:r>
          </w:p>
        </w:tc>
        <w:tc>
          <w:tcPr>
            <w:tcW w:w="338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62"/>
        </w:trPr>
        <w:tc>
          <w:tcPr>
            <w:tcW w:w="2720" w:type="dxa"/>
            <w:vAlign w:val="bottom"/>
            <w:shd w:val="clear" w:color="auto" w:fill="0C2940"/>
          </w:tcPr>
          <w:p>
            <w:pPr>
              <w:spacing w:after="0"/>
              <w:rPr>
                <w:sz w:val="5"/>
                <w:szCs w:val="5"/>
                <w:color w:val="auto"/>
              </w:rPr>
            </w:pPr>
          </w:p>
        </w:tc>
        <w:tc>
          <w:tcPr>
            <w:tcW w:w="2700" w:type="dxa"/>
            <w:vAlign w:val="bottom"/>
            <w:shd w:val="clear" w:color="auto" w:fill="0C2940"/>
          </w:tcPr>
          <w:p>
            <w:pPr>
              <w:spacing w:after="0"/>
              <w:rPr>
                <w:sz w:val="5"/>
                <w:szCs w:val="5"/>
                <w:color w:val="auto"/>
              </w:rPr>
            </w:pPr>
          </w:p>
        </w:tc>
        <w:tc>
          <w:tcPr>
            <w:tcW w:w="2080" w:type="dxa"/>
            <w:vAlign w:val="bottom"/>
            <w:shd w:val="clear" w:color="auto" w:fill="0C2940"/>
          </w:tcPr>
          <w:p>
            <w:pPr>
              <w:spacing w:after="0"/>
              <w:rPr>
                <w:sz w:val="5"/>
                <w:szCs w:val="5"/>
                <w:color w:val="auto"/>
              </w:rPr>
            </w:pPr>
          </w:p>
        </w:tc>
        <w:tc>
          <w:tcPr>
            <w:tcW w:w="3380" w:type="dxa"/>
            <w:vAlign w:val="bottom"/>
            <w:shd w:val="clear" w:color="auto" w:fill="0C2940"/>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7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2700" w:type="dxa"/>
            <w:vAlign w:val="bottom"/>
            <w:shd w:val="clear" w:color="auto" w:fill="F5F5F5"/>
          </w:tcPr>
          <w:p>
            <w:pPr>
              <w:jc w:val="right"/>
              <w:ind w:right="348"/>
              <w:spacing w:after="0"/>
              <w:rPr>
                <w:sz w:val="20"/>
                <w:szCs w:val="20"/>
                <w:color w:val="auto"/>
              </w:rPr>
            </w:pPr>
            <w:r>
              <w:rPr>
                <w:rFonts w:ascii="Arial" w:cs="Arial" w:eastAsia="Arial" w:hAnsi="Arial"/>
                <w:sz w:val="14"/>
                <w:szCs w:val="14"/>
                <w:color w:val="auto"/>
              </w:rPr>
              <w:t>2,534,966</w:t>
            </w:r>
          </w:p>
        </w:tc>
        <w:tc>
          <w:tcPr>
            <w:tcW w:w="20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3,802,484</w:t>
            </w:r>
          </w:p>
        </w:tc>
        <w:tc>
          <w:tcPr>
            <w:tcW w:w="338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6,337,450</w:t>
            </w:r>
          </w:p>
        </w:tc>
        <w:tc>
          <w:tcPr>
            <w:tcW w:w="0" w:type="dxa"/>
            <w:vAlign w:val="bottom"/>
          </w:tcPr>
          <w:p>
            <w:pPr>
              <w:spacing w:after="0"/>
              <w:rPr>
                <w:sz w:val="1"/>
                <w:szCs w:val="1"/>
                <w:color w:val="auto"/>
              </w:rPr>
            </w:pPr>
          </w:p>
        </w:tc>
      </w:tr>
      <w:tr>
        <w:trPr>
          <w:trHeight w:val="124"/>
        </w:trPr>
        <w:tc>
          <w:tcPr>
            <w:tcW w:w="2720" w:type="dxa"/>
            <w:vAlign w:val="bottom"/>
            <w:shd w:val="clear" w:color="auto" w:fill="F5F5F5"/>
          </w:tcPr>
          <w:p>
            <w:pPr>
              <w:spacing w:after="0"/>
              <w:rPr>
                <w:sz w:val="10"/>
                <w:szCs w:val="10"/>
                <w:color w:val="auto"/>
              </w:rPr>
            </w:pPr>
          </w:p>
        </w:tc>
        <w:tc>
          <w:tcPr>
            <w:tcW w:w="2700" w:type="dxa"/>
            <w:vAlign w:val="bottom"/>
            <w:shd w:val="clear" w:color="auto" w:fill="F5F5F5"/>
          </w:tcPr>
          <w:p>
            <w:pPr>
              <w:spacing w:after="0"/>
              <w:rPr>
                <w:sz w:val="10"/>
                <w:szCs w:val="10"/>
                <w:color w:val="auto"/>
              </w:rPr>
            </w:pPr>
          </w:p>
        </w:tc>
        <w:tc>
          <w:tcPr>
            <w:tcW w:w="2080" w:type="dxa"/>
            <w:vAlign w:val="bottom"/>
            <w:shd w:val="clear" w:color="auto" w:fill="F5F5F5"/>
          </w:tcPr>
          <w:p>
            <w:pPr>
              <w:spacing w:after="0"/>
              <w:rPr>
                <w:sz w:val="10"/>
                <w:szCs w:val="10"/>
                <w:color w:val="auto"/>
              </w:rPr>
            </w:pPr>
          </w:p>
        </w:tc>
        <w:tc>
          <w:tcPr>
            <w:tcW w:w="3380" w:type="dxa"/>
            <w:vAlign w:val="bottom"/>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720" w:type="dxa"/>
            <w:vAlign w:val="bottom"/>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2700" w:type="dxa"/>
            <w:vAlign w:val="bottom"/>
          </w:tcPr>
          <w:p>
            <w:pPr>
              <w:jc w:val="right"/>
              <w:ind w:right="348"/>
              <w:spacing w:after="0"/>
              <w:rPr>
                <w:sz w:val="20"/>
                <w:szCs w:val="20"/>
                <w:color w:val="auto"/>
              </w:rPr>
            </w:pPr>
            <w:r>
              <w:rPr>
                <w:rFonts w:ascii="Arial" w:cs="Arial" w:eastAsia="Arial" w:hAnsi="Arial"/>
                <w:sz w:val="14"/>
                <w:szCs w:val="14"/>
                <w:color w:val="auto"/>
              </w:rPr>
              <w:t>849,993</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849,993</w:t>
            </w: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1,699,986</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20" w:type="dxa"/>
            <w:vAlign w:val="bottom"/>
            <w:tcBorders>
              <w:bottom w:val="single" w:sz="8" w:color="F5F5F5"/>
            </w:tcBorders>
            <w:shd w:val="clear" w:color="auto" w:fill="F5F5F5"/>
          </w:tcPr>
          <w:p>
            <w:pPr>
              <w:ind w:left="140"/>
              <w:spacing w:after="0"/>
              <w:rPr>
                <w:sz w:val="20"/>
                <w:szCs w:val="20"/>
                <w:color w:val="auto"/>
              </w:rPr>
            </w:pPr>
            <w:r>
              <w:rPr>
                <w:rFonts w:ascii="Arial" w:cs="Arial" w:eastAsia="Arial" w:hAnsi="Arial"/>
                <w:sz w:val="14"/>
                <w:szCs w:val="14"/>
                <w:b w:val="1"/>
                <w:bCs w:val="1"/>
                <w:color w:val="005388"/>
              </w:rPr>
              <w:t>Aurora Swithenbank</w:t>
            </w:r>
          </w:p>
        </w:tc>
        <w:tc>
          <w:tcPr>
            <w:tcW w:w="2700" w:type="dxa"/>
            <w:vAlign w:val="bottom"/>
            <w:tcBorders>
              <w:bottom w:val="single" w:sz="8" w:color="F5F5F5"/>
            </w:tcBorders>
            <w:shd w:val="clear" w:color="auto" w:fill="F5F5F5"/>
          </w:tcPr>
          <w:p>
            <w:pPr>
              <w:jc w:val="right"/>
              <w:ind w:right="348"/>
              <w:spacing w:after="0"/>
              <w:rPr>
                <w:sz w:val="20"/>
                <w:szCs w:val="20"/>
                <w:color w:val="auto"/>
              </w:rPr>
            </w:pPr>
            <w:r>
              <w:rPr>
                <w:rFonts w:ascii="Arial" w:cs="Arial" w:eastAsia="Arial" w:hAnsi="Arial"/>
                <w:sz w:val="14"/>
                <w:szCs w:val="14"/>
                <w:color w:val="auto"/>
              </w:rPr>
              <w:t>556,477</w:t>
            </w:r>
          </w:p>
        </w:tc>
        <w:tc>
          <w:tcPr>
            <w:tcW w:w="2080" w:type="dxa"/>
            <w:vAlign w:val="bottom"/>
            <w:tcBorders>
              <w:bottom w:val="single" w:sz="8" w:color="F5F5F5"/>
            </w:tcBorders>
            <w:shd w:val="clear" w:color="auto" w:fill="F5F5F5"/>
          </w:tcPr>
          <w:p>
            <w:pPr>
              <w:jc w:val="right"/>
              <w:ind w:right="8"/>
              <w:spacing w:after="0"/>
              <w:rPr>
                <w:sz w:val="20"/>
                <w:szCs w:val="20"/>
                <w:color w:val="auto"/>
              </w:rPr>
            </w:pPr>
            <w:r>
              <w:rPr>
                <w:rFonts w:ascii="Arial" w:cs="Arial" w:eastAsia="Arial" w:hAnsi="Arial"/>
                <w:sz w:val="14"/>
                <w:szCs w:val="14"/>
                <w:color w:val="auto"/>
              </w:rPr>
              <w:t>556,477</w:t>
            </w:r>
          </w:p>
        </w:tc>
        <w:tc>
          <w:tcPr>
            <w:tcW w:w="3380" w:type="dxa"/>
            <w:vAlign w:val="bottom"/>
            <w:tcBorders>
              <w:bottom w:val="single" w:sz="8" w:color="F5F5F5"/>
            </w:tcBorders>
            <w:shd w:val="clear" w:color="auto" w:fill="F5F5F5"/>
          </w:tcPr>
          <w:p>
            <w:pPr>
              <w:jc w:val="right"/>
              <w:ind w:right="48"/>
              <w:spacing w:after="0"/>
              <w:rPr>
                <w:sz w:val="20"/>
                <w:szCs w:val="20"/>
                <w:color w:val="auto"/>
              </w:rPr>
            </w:pPr>
            <w:r>
              <w:rPr>
                <w:rFonts w:ascii="Arial" w:cs="Arial" w:eastAsia="Arial" w:hAnsi="Arial"/>
                <w:sz w:val="14"/>
                <w:szCs w:val="14"/>
                <w:color w:val="auto"/>
              </w:rPr>
              <w:t>1,112,954</w:t>
            </w:r>
          </w:p>
        </w:tc>
        <w:tc>
          <w:tcPr>
            <w:tcW w:w="0" w:type="dxa"/>
            <w:vAlign w:val="bottom"/>
          </w:tcPr>
          <w:p>
            <w:pPr>
              <w:spacing w:after="0"/>
              <w:rPr>
                <w:sz w:val="1"/>
                <w:szCs w:val="1"/>
                <w:color w:val="auto"/>
              </w:rPr>
            </w:pPr>
          </w:p>
        </w:tc>
      </w:tr>
      <w:tr>
        <w:trPr>
          <w:trHeight w:val="241"/>
        </w:trPr>
        <w:tc>
          <w:tcPr>
            <w:tcW w:w="2720" w:type="dxa"/>
            <w:vAlign w:val="bottom"/>
          </w:tcPr>
          <w:p>
            <w:pPr>
              <w:ind w:left="140"/>
              <w:spacing w:after="0"/>
              <w:rPr>
                <w:sz w:val="20"/>
                <w:szCs w:val="20"/>
                <w:color w:val="auto"/>
              </w:rPr>
            </w:pPr>
            <w:r>
              <w:rPr>
                <w:rFonts w:ascii="Arial" w:cs="Arial" w:eastAsia="Arial" w:hAnsi="Arial"/>
                <w:sz w:val="14"/>
                <w:szCs w:val="14"/>
                <w:b w:val="1"/>
                <w:bCs w:val="1"/>
                <w:color w:val="005388"/>
              </w:rPr>
              <w:t>William J. Leatherberry</w:t>
            </w:r>
          </w:p>
        </w:tc>
        <w:tc>
          <w:tcPr>
            <w:tcW w:w="2700" w:type="dxa"/>
            <w:vAlign w:val="bottom"/>
          </w:tcPr>
          <w:p>
            <w:pPr>
              <w:jc w:val="right"/>
              <w:ind w:right="348"/>
              <w:spacing w:after="0"/>
              <w:rPr>
                <w:sz w:val="20"/>
                <w:szCs w:val="20"/>
                <w:color w:val="auto"/>
              </w:rPr>
            </w:pPr>
            <w:r>
              <w:rPr>
                <w:rFonts w:ascii="Arial" w:cs="Arial" w:eastAsia="Arial" w:hAnsi="Arial"/>
                <w:sz w:val="14"/>
                <w:szCs w:val="14"/>
                <w:color w:val="auto"/>
              </w:rPr>
              <w:t>691,843</w:t>
            </w:r>
          </w:p>
        </w:tc>
        <w:tc>
          <w:tcPr>
            <w:tcW w:w="2080" w:type="dxa"/>
            <w:vAlign w:val="bottom"/>
          </w:tcPr>
          <w:p>
            <w:pPr>
              <w:jc w:val="right"/>
              <w:ind w:right="8"/>
              <w:spacing w:after="0"/>
              <w:rPr>
                <w:sz w:val="20"/>
                <w:szCs w:val="20"/>
                <w:color w:val="auto"/>
              </w:rPr>
            </w:pPr>
            <w:r>
              <w:rPr>
                <w:rFonts w:ascii="Arial" w:cs="Arial" w:eastAsia="Arial" w:hAnsi="Arial"/>
                <w:sz w:val="14"/>
                <w:szCs w:val="14"/>
                <w:color w:val="auto"/>
              </w:rPr>
              <w:t>691,843</w:t>
            </w:r>
          </w:p>
        </w:tc>
        <w:tc>
          <w:tcPr>
            <w:tcW w:w="3380" w:type="dxa"/>
            <w:vAlign w:val="bottom"/>
          </w:tcPr>
          <w:p>
            <w:pPr>
              <w:jc w:val="right"/>
              <w:ind w:right="48"/>
              <w:spacing w:after="0"/>
              <w:rPr>
                <w:sz w:val="20"/>
                <w:szCs w:val="20"/>
                <w:color w:val="auto"/>
              </w:rPr>
            </w:pPr>
            <w:r>
              <w:rPr>
                <w:rFonts w:ascii="Arial" w:cs="Arial" w:eastAsia="Arial" w:hAnsi="Arial"/>
                <w:sz w:val="14"/>
                <w:szCs w:val="14"/>
                <w:color w:val="auto"/>
              </w:rPr>
              <w:t>1,383,686</w:t>
            </w:r>
          </w:p>
        </w:tc>
        <w:tc>
          <w:tcPr>
            <w:tcW w:w="0" w:type="dxa"/>
            <w:vAlign w:val="bottom"/>
          </w:tcPr>
          <w:p>
            <w:pPr>
              <w:spacing w:after="0"/>
              <w:rPr>
                <w:sz w:val="1"/>
                <w:szCs w:val="1"/>
                <w:color w:val="auto"/>
              </w:rPr>
            </w:pPr>
          </w:p>
        </w:tc>
      </w:tr>
      <w:tr>
        <w:trPr>
          <w:trHeight w:val="43"/>
        </w:trPr>
        <w:tc>
          <w:tcPr>
            <w:tcW w:w="27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20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27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Robert Smith</w:t>
            </w:r>
          </w:p>
        </w:tc>
        <w:tc>
          <w:tcPr>
            <w:tcW w:w="2700" w:type="dxa"/>
            <w:vAlign w:val="bottom"/>
            <w:shd w:val="clear" w:color="auto" w:fill="F5F5F5"/>
          </w:tcPr>
          <w:p>
            <w:pPr>
              <w:jc w:val="right"/>
              <w:ind w:right="348"/>
              <w:spacing w:after="0"/>
              <w:rPr>
                <w:sz w:val="20"/>
                <w:szCs w:val="20"/>
                <w:color w:val="auto"/>
              </w:rPr>
            </w:pPr>
            <w:r>
              <w:rPr>
                <w:rFonts w:ascii="Arial" w:cs="Arial" w:eastAsia="Arial" w:hAnsi="Arial"/>
                <w:sz w:val="14"/>
                <w:szCs w:val="14"/>
                <w:color w:val="auto"/>
              </w:rPr>
              <w:t>514,989</w:t>
            </w:r>
          </w:p>
        </w:tc>
        <w:tc>
          <w:tcPr>
            <w:tcW w:w="20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514,989</w:t>
            </w:r>
          </w:p>
        </w:tc>
        <w:tc>
          <w:tcPr>
            <w:tcW w:w="338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1,029,978</w:t>
            </w:r>
          </w:p>
        </w:tc>
        <w:tc>
          <w:tcPr>
            <w:tcW w:w="0" w:type="dxa"/>
            <w:vAlign w:val="bottom"/>
          </w:tcPr>
          <w:p>
            <w:pPr>
              <w:spacing w:after="0"/>
              <w:rPr>
                <w:sz w:val="1"/>
                <w:szCs w:val="1"/>
                <w:color w:val="auto"/>
              </w:rPr>
            </w:pPr>
          </w:p>
        </w:tc>
      </w:tr>
      <w:tr>
        <w:trPr>
          <w:trHeight w:val="103"/>
        </w:trPr>
        <w:tc>
          <w:tcPr>
            <w:tcW w:w="2720" w:type="dxa"/>
            <w:vAlign w:val="bottom"/>
            <w:tcBorders>
              <w:bottom w:val="single" w:sz="8" w:color="DE762B"/>
            </w:tcBorders>
            <w:shd w:val="clear" w:color="auto" w:fill="F5F5F5"/>
          </w:tcPr>
          <w:p>
            <w:pPr>
              <w:spacing w:after="0"/>
              <w:rPr>
                <w:sz w:val="8"/>
                <w:szCs w:val="8"/>
                <w:color w:val="auto"/>
              </w:rPr>
            </w:pPr>
          </w:p>
        </w:tc>
        <w:tc>
          <w:tcPr>
            <w:tcW w:w="2700" w:type="dxa"/>
            <w:vAlign w:val="bottom"/>
            <w:tcBorders>
              <w:bottom w:val="single" w:sz="8" w:color="DE762B"/>
            </w:tcBorders>
            <w:shd w:val="clear" w:color="auto" w:fill="F5F5F5"/>
          </w:tcPr>
          <w:p>
            <w:pPr>
              <w:spacing w:after="0"/>
              <w:rPr>
                <w:sz w:val="8"/>
                <w:szCs w:val="8"/>
                <w:color w:val="auto"/>
              </w:rPr>
            </w:pPr>
          </w:p>
        </w:tc>
        <w:tc>
          <w:tcPr>
            <w:tcW w:w="2080" w:type="dxa"/>
            <w:vAlign w:val="bottom"/>
            <w:tcBorders>
              <w:bottom w:val="single" w:sz="8" w:color="DE762B"/>
            </w:tcBorders>
            <w:shd w:val="clear" w:color="auto" w:fill="F5F5F5"/>
          </w:tcPr>
          <w:p>
            <w:pPr>
              <w:spacing w:after="0"/>
              <w:rPr>
                <w:sz w:val="8"/>
                <w:szCs w:val="8"/>
                <w:color w:val="auto"/>
              </w:rPr>
            </w:pPr>
          </w:p>
        </w:tc>
        <w:tc>
          <w:tcPr>
            <w:tcW w:w="3380" w:type="dxa"/>
            <w:vAlign w:val="bottom"/>
            <w:tcBorders>
              <w:bottom w:val="single" w:sz="8" w:color="DE762B"/>
            </w:tcBorders>
            <w:shd w:val="clear" w:color="auto" w:fill="F5F5F5"/>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4715510</wp:posOffset>
            </wp:positionH>
            <wp:positionV relativeFrom="paragraph">
              <wp:posOffset>-1057910</wp:posOffset>
            </wp:positionV>
            <wp:extent cx="34290" cy="10629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1062990"/>
                    </a:xfrm>
                    <a:prstGeom prst="rect">
                      <a:avLst/>
                    </a:prstGeom>
                    <a:noFill/>
                  </pic:spPr>
                </pic:pic>
              </a:graphicData>
            </a:graphic>
          </wp:anchor>
        </w:drawing>
        <w:drawing>
          <wp:anchor simplePos="0" relativeHeight="251657728" behindDoc="1" locked="0" layoutInCell="0" allowOverlap="1">
            <wp:simplePos x="0" y="0"/>
            <wp:positionH relativeFrom="column">
              <wp:posOffset>3172460</wp:posOffset>
            </wp:positionH>
            <wp:positionV relativeFrom="paragraph">
              <wp:posOffset>-1057910</wp:posOffset>
            </wp:positionV>
            <wp:extent cx="33655" cy="10629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655" cy="1062990"/>
                    </a:xfrm>
                    <a:prstGeom prst="rect">
                      <a:avLst/>
                    </a:prstGeom>
                    <a:noFill/>
                  </pic:spPr>
                </pic:pic>
              </a:graphicData>
            </a:graphic>
          </wp:anchor>
        </w:drawing>
        <w:drawing>
          <wp:anchor simplePos="0" relativeHeight="251657728" behindDoc="1" locked="0" layoutInCell="0" allowOverlap="1">
            <wp:simplePos x="0" y="0"/>
            <wp:positionH relativeFrom="column">
              <wp:posOffset>1715135</wp:posOffset>
            </wp:positionH>
            <wp:positionV relativeFrom="paragraph">
              <wp:posOffset>-1057910</wp:posOffset>
            </wp:positionV>
            <wp:extent cx="34290" cy="10629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106299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05388"/>
        </w:rPr>
        <w:t>2025 RSUs Granted:</w:t>
      </w:r>
    </w:p>
    <w:p>
      <w:pPr>
        <w:spacing w:after="0" w:line="11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2025 RSU awards for each of our NEOs are eligible to vest 40% on each of the first and second anniversaries of the grant date, with the remaining 20% eligible to vest on the third anniversary of the grant date.</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005388"/>
        </w:rPr>
        <w:t>2025 PRSUs Granted:</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PRSUs granted to our NEOs in 2025 are earned based on achievement of cumulative BVPS growth targets (as described below) over a three-year performance period commencing on January 1, 2025 and ending on December 31, 2027 (Performance Period). With respect to the BVPS goals, the awards have a 50% payout for threshold achievement, 100% payout for target achievement, 150% for above-target achievement, and 200% payout for maximum achievement, with linear interpolation between performance levels.</w:t>
      </w:r>
    </w:p>
    <w:p>
      <w:pPr>
        <w:spacing w:after="0" w:line="313"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45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chart below illustrates the percentage of PRSUs eligible to vest (BVPS Vesting Percentage) if the Company achieves the corresponding BVPS growth target (BVPS Growth Percentage), rounded to the nearest tenth of a percent (0.1%), as determined by the Compensation Committee at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66675</wp:posOffset>
            </wp:positionV>
            <wp:extent cx="6755130" cy="7842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755130" cy="784225"/>
                    </a:xfrm>
                    <a:prstGeom prst="rect">
                      <a:avLst/>
                    </a:prstGeom>
                    <a:noFill/>
                  </pic:spPr>
                </pic:pic>
              </a:graphicData>
            </a:graphic>
          </wp:anchor>
        </w:drawing>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FFFFFF"/>
        </w:rPr>
        <w:t>2025 PRSUs GRANTED</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80" w:type="dxa"/>
            <w:vAlign w:val="bottom"/>
          </w:tcPr>
          <w:p>
            <w:pPr>
              <w:spacing w:after="0"/>
              <w:rPr>
                <w:sz w:val="16"/>
                <w:szCs w:val="16"/>
                <w:color w:val="auto"/>
              </w:rPr>
            </w:pPr>
          </w:p>
        </w:tc>
        <w:tc>
          <w:tcPr>
            <w:tcW w:w="3500" w:type="dxa"/>
            <w:vAlign w:val="bottom"/>
            <w:shd w:val="clear" w:color="auto" w:fill="0C2940"/>
          </w:tcPr>
          <w:p>
            <w:pPr>
              <w:jc w:val="center"/>
              <w:ind w:left="188"/>
              <w:spacing w:after="0"/>
              <w:rPr>
                <w:sz w:val="20"/>
                <w:szCs w:val="20"/>
                <w:color w:val="auto"/>
              </w:rPr>
            </w:pPr>
            <w:r>
              <w:rPr>
                <w:rFonts w:ascii="Arial" w:cs="Arial" w:eastAsia="Arial" w:hAnsi="Arial"/>
                <w:sz w:val="14"/>
                <w:szCs w:val="14"/>
                <w:color w:val="FFFFFF"/>
              </w:rPr>
              <w:t>2025 CUMULATIVE</w:t>
            </w:r>
          </w:p>
        </w:tc>
        <w:tc>
          <w:tcPr>
            <w:tcW w:w="2060" w:type="dxa"/>
            <w:vAlign w:val="bottom"/>
            <w:vMerge w:val="restart"/>
            <w:shd w:val="clear" w:color="auto" w:fill="0C2940"/>
          </w:tcPr>
          <w:p>
            <w:pPr>
              <w:ind w:left="700"/>
              <w:spacing w:after="0"/>
              <w:rPr>
                <w:sz w:val="20"/>
                <w:szCs w:val="20"/>
                <w:color w:val="auto"/>
              </w:rPr>
            </w:pPr>
            <w:r>
              <w:rPr>
                <w:rFonts w:ascii="Arial" w:cs="Arial" w:eastAsia="Arial" w:hAnsi="Arial"/>
                <w:sz w:val="14"/>
                <w:szCs w:val="14"/>
                <w:color w:val="FFFFFF"/>
              </w:rPr>
              <w:t>THRESHOLD</w:t>
            </w:r>
          </w:p>
        </w:tc>
        <w:tc>
          <w:tcPr>
            <w:tcW w:w="1600" w:type="dxa"/>
            <w:vAlign w:val="bottom"/>
            <w:vMerge w:val="restart"/>
            <w:shd w:val="clear" w:color="auto" w:fill="0C2940"/>
          </w:tcPr>
          <w:p>
            <w:pPr>
              <w:ind w:left="460"/>
              <w:spacing w:after="0"/>
              <w:rPr>
                <w:sz w:val="20"/>
                <w:szCs w:val="20"/>
                <w:color w:val="auto"/>
              </w:rPr>
            </w:pPr>
            <w:r>
              <w:rPr>
                <w:rFonts w:ascii="Arial" w:cs="Arial" w:eastAsia="Arial" w:hAnsi="Arial"/>
                <w:sz w:val="14"/>
                <w:szCs w:val="14"/>
                <w:color w:val="FFFFFF"/>
              </w:rPr>
              <w:t>TARGET</w:t>
            </w:r>
          </w:p>
        </w:tc>
        <w:tc>
          <w:tcPr>
            <w:tcW w:w="1580" w:type="dxa"/>
            <w:vAlign w:val="bottom"/>
            <w:vMerge w:val="restart"/>
            <w:shd w:val="clear" w:color="auto" w:fill="0C2940"/>
          </w:tcPr>
          <w:p>
            <w:pPr>
              <w:ind w:left="560"/>
              <w:spacing w:after="0"/>
              <w:rPr>
                <w:sz w:val="20"/>
                <w:szCs w:val="20"/>
                <w:color w:val="auto"/>
              </w:rPr>
            </w:pPr>
            <w:r>
              <w:rPr>
                <w:rFonts w:ascii="Arial" w:cs="Arial" w:eastAsia="Arial" w:hAnsi="Arial"/>
                <w:sz w:val="14"/>
                <w:szCs w:val="14"/>
                <w:color w:val="FFFFFF"/>
              </w:rPr>
              <w:t>ABOVE</w:t>
            </w:r>
          </w:p>
        </w:tc>
        <w:tc>
          <w:tcPr>
            <w:tcW w:w="1800" w:type="dxa"/>
            <w:vAlign w:val="bottom"/>
            <w:vMerge w:val="restart"/>
            <w:shd w:val="clear" w:color="auto" w:fill="0C2940"/>
          </w:tcPr>
          <w:p>
            <w:pPr>
              <w:ind w:left="540"/>
              <w:spacing w:after="0"/>
              <w:rPr>
                <w:sz w:val="20"/>
                <w:szCs w:val="20"/>
                <w:color w:val="auto"/>
              </w:rPr>
            </w:pPr>
            <w:r>
              <w:rPr>
                <w:rFonts w:ascii="Arial" w:cs="Arial" w:eastAsia="Arial" w:hAnsi="Arial"/>
                <w:sz w:val="14"/>
                <w:szCs w:val="14"/>
                <w:color w:val="FFFFFF"/>
              </w:rPr>
              <w:t>MAXIMUM</w:t>
            </w:r>
          </w:p>
        </w:tc>
        <w:tc>
          <w:tcPr>
            <w:tcW w:w="0" w:type="dxa"/>
            <w:vAlign w:val="bottom"/>
          </w:tcPr>
          <w:p>
            <w:pPr>
              <w:spacing w:after="0"/>
              <w:rPr>
                <w:sz w:val="1"/>
                <w:szCs w:val="1"/>
                <w:color w:val="auto"/>
              </w:rPr>
            </w:pPr>
          </w:p>
        </w:tc>
      </w:tr>
      <w:tr>
        <w:trPr>
          <w:trHeight w:val="109"/>
        </w:trPr>
        <w:tc>
          <w:tcPr>
            <w:tcW w:w="80" w:type="dxa"/>
            <w:vAlign w:val="bottom"/>
          </w:tcPr>
          <w:p>
            <w:pPr>
              <w:spacing w:after="0"/>
              <w:rPr>
                <w:sz w:val="9"/>
                <w:szCs w:val="9"/>
                <w:color w:val="auto"/>
              </w:rPr>
            </w:pPr>
          </w:p>
        </w:tc>
        <w:tc>
          <w:tcPr>
            <w:tcW w:w="3500" w:type="dxa"/>
            <w:vAlign w:val="bottom"/>
            <w:vMerge w:val="restart"/>
            <w:shd w:val="clear" w:color="auto" w:fill="0C2940"/>
          </w:tcPr>
          <w:p>
            <w:pPr>
              <w:jc w:val="center"/>
              <w:ind w:left="228"/>
              <w:spacing w:after="0"/>
              <w:rPr>
                <w:sz w:val="20"/>
                <w:szCs w:val="20"/>
                <w:color w:val="auto"/>
              </w:rPr>
            </w:pPr>
            <w:r>
              <w:rPr>
                <w:rFonts w:ascii="Arial" w:cs="Arial" w:eastAsia="Arial" w:hAnsi="Arial"/>
                <w:sz w:val="14"/>
                <w:szCs w:val="14"/>
                <w:color w:val="FFFFFF"/>
              </w:rPr>
              <w:t>BVPS GROWTH TARGETS</w:t>
            </w:r>
          </w:p>
        </w:tc>
        <w:tc>
          <w:tcPr>
            <w:tcW w:w="2060" w:type="dxa"/>
            <w:vAlign w:val="bottom"/>
            <w:vMerge w:val="continue"/>
            <w:shd w:val="clear" w:color="auto" w:fill="0C2940"/>
          </w:tcPr>
          <w:p>
            <w:pPr>
              <w:spacing w:after="0"/>
              <w:rPr>
                <w:sz w:val="9"/>
                <w:szCs w:val="9"/>
                <w:color w:val="auto"/>
              </w:rPr>
            </w:pPr>
          </w:p>
        </w:tc>
        <w:tc>
          <w:tcPr>
            <w:tcW w:w="1600" w:type="dxa"/>
            <w:vAlign w:val="bottom"/>
            <w:vMerge w:val="continue"/>
            <w:shd w:val="clear" w:color="auto" w:fill="0C2940"/>
          </w:tcPr>
          <w:p>
            <w:pPr>
              <w:spacing w:after="0"/>
              <w:rPr>
                <w:sz w:val="9"/>
                <w:szCs w:val="9"/>
                <w:color w:val="auto"/>
              </w:rPr>
            </w:pPr>
          </w:p>
        </w:tc>
        <w:tc>
          <w:tcPr>
            <w:tcW w:w="1580" w:type="dxa"/>
            <w:vAlign w:val="bottom"/>
            <w:vMerge w:val="continue"/>
            <w:shd w:val="clear" w:color="auto" w:fill="0C2940"/>
          </w:tcPr>
          <w:p>
            <w:pPr>
              <w:spacing w:after="0"/>
              <w:rPr>
                <w:sz w:val="9"/>
                <w:szCs w:val="9"/>
                <w:color w:val="auto"/>
              </w:rPr>
            </w:pPr>
          </w:p>
        </w:tc>
        <w:tc>
          <w:tcPr>
            <w:tcW w:w="1800" w:type="dxa"/>
            <w:vAlign w:val="bottom"/>
            <w:vMerge w:val="continue"/>
            <w:shd w:val="clear" w:color="auto" w:fill="0C2940"/>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3500" w:type="dxa"/>
            <w:vAlign w:val="bottom"/>
            <w:tcBorders>
              <w:bottom w:val="single" w:sz="8" w:color="0C2940"/>
            </w:tcBorders>
            <w:vMerge w:val="continue"/>
            <w:shd w:val="clear" w:color="auto" w:fill="0C2940"/>
          </w:tcPr>
          <w:p>
            <w:pPr>
              <w:spacing w:after="0"/>
              <w:rPr>
                <w:sz w:val="8"/>
                <w:szCs w:val="8"/>
                <w:color w:val="auto"/>
              </w:rPr>
            </w:pPr>
          </w:p>
        </w:tc>
        <w:tc>
          <w:tcPr>
            <w:tcW w:w="2060" w:type="dxa"/>
            <w:vAlign w:val="bottom"/>
            <w:tcBorders>
              <w:bottom w:val="single" w:sz="8" w:color="0C2940"/>
            </w:tcBorders>
            <w:shd w:val="clear" w:color="auto" w:fill="0C2940"/>
          </w:tcPr>
          <w:p>
            <w:pPr>
              <w:spacing w:after="0"/>
              <w:rPr>
                <w:sz w:val="8"/>
                <w:szCs w:val="8"/>
                <w:color w:val="auto"/>
              </w:rPr>
            </w:pPr>
          </w:p>
        </w:tc>
        <w:tc>
          <w:tcPr>
            <w:tcW w:w="1600" w:type="dxa"/>
            <w:vAlign w:val="bottom"/>
            <w:tcBorders>
              <w:bottom w:val="single" w:sz="8" w:color="0C2940"/>
            </w:tcBorders>
            <w:shd w:val="clear" w:color="auto" w:fill="0C2940"/>
          </w:tcPr>
          <w:p>
            <w:pPr>
              <w:spacing w:after="0"/>
              <w:rPr>
                <w:sz w:val="8"/>
                <w:szCs w:val="8"/>
                <w:color w:val="auto"/>
              </w:rPr>
            </w:pPr>
          </w:p>
        </w:tc>
        <w:tc>
          <w:tcPr>
            <w:tcW w:w="1580" w:type="dxa"/>
            <w:vAlign w:val="bottom"/>
            <w:tcBorders>
              <w:bottom w:val="single" w:sz="8" w:color="0C2940"/>
            </w:tcBorders>
            <w:shd w:val="clear" w:color="auto" w:fill="0C2940"/>
          </w:tcPr>
          <w:p>
            <w:pPr>
              <w:spacing w:after="0"/>
              <w:rPr>
                <w:sz w:val="8"/>
                <w:szCs w:val="8"/>
                <w:color w:val="auto"/>
              </w:rPr>
            </w:pPr>
          </w:p>
        </w:tc>
        <w:tc>
          <w:tcPr>
            <w:tcW w:w="1800" w:type="dxa"/>
            <w:vAlign w:val="bottom"/>
            <w:tcBorders>
              <w:bottom w:val="single" w:sz="8" w:color="0C2940"/>
            </w:tcBorders>
            <w:shd w:val="clear" w:color="auto" w:fill="0C2940"/>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80" w:type="dxa"/>
            <w:vAlign w:val="bottom"/>
            <w:shd w:val="clear" w:color="auto" w:fill="F5F5F5"/>
          </w:tcPr>
          <w:p>
            <w:pPr>
              <w:spacing w:after="0"/>
              <w:rPr>
                <w:sz w:val="24"/>
                <w:szCs w:val="24"/>
                <w:color w:val="auto"/>
              </w:rPr>
            </w:pPr>
          </w:p>
        </w:tc>
        <w:tc>
          <w:tcPr>
            <w:tcW w:w="3500" w:type="dxa"/>
            <w:vAlign w:val="bottom"/>
            <w:shd w:val="clear" w:color="auto" w:fill="F5F5F5"/>
          </w:tcPr>
          <w:p>
            <w:pPr>
              <w:ind w:left="20"/>
              <w:spacing w:after="0"/>
              <w:rPr>
                <w:sz w:val="20"/>
                <w:szCs w:val="20"/>
                <w:color w:val="auto"/>
              </w:rPr>
            </w:pPr>
            <w:r>
              <w:rPr>
                <w:rFonts w:ascii="Arial" w:cs="Arial" w:eastAsia="Arial" w:hAnsi="Arial"/>
                <w:sz w:val="14"/>
                <w:szCs w:val="14"/>
                <w:color w:val="auto"/>
              </w:rPr>
              <w:t>BVPS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Growth Percentage</w:t>
            </w:r>
            <w:r>
              <w:rPr>
                <w:rFonts w:ascii="Arial" w:cs="Arial" w:eastAsia="Arial" w:hAnsi="Arial"/>
                <w:sz w:val="18"/>
                <w:szCs w:val="18"/>
                <w:color w:val="auto"/>
                <w:vertAlign w:val="superscript"/>
              </w:rPr>
              <w:t>2</w:t>
            </w:r>
          </w:p>
        </w:tc>
        <w:tc>
          <w:tcPr>
            <w:tcW w:w="2060" w:type="dxa"/>
            <w:vAlign w:val="bottom"/>
            <w:shd w:val="clear" w:color="auto" w:fill="F5F5F5"/>
          </w:tcPr>
          <w:p>
            <w:pPr>
              <w:jc w:val="right"/>
              <w:ind w:right="668"/>
              <w:spacing w:after="0"/>
              <w:rPr>
                <w:sz w:val="20"/>
                <w:szCs w:val="20"/>
                <w:color w:val="auto"/>
              </w:rPr>
            </w:pPr>
            <w:r>
              <w:rPr>
                <w:rFonts w:ascii="Arial" w:cs="Arial" w:eastAsia="Arial" w:hAnsi="Arial"/>
                <w:sz w:val="14"/>
                <w:szCs w:val="14"/>
                <w:color w:val="auto"/>
              </w:rPr>
              <w:t>5.0%</w:t>
            </w:r>
          </w:p>
        </w:tc>
        <w:tc>
          <w:tcPr>
            <w:tcW w:w="1600" w:type="dxa"/>
            <w:vAlign w:val="bottom"/>
            <w:shd w:val="clear" w:color="auto" w:fill="F5F5F5"/>
          </w:tcPr>
          <w:p>
            <w:pPr>
              <w:jc w:val="right"/>
              <w:ind w:right="568"/>
              <w:spacing w:after="0"/>
              <w:rPr>
                <w:sz w:val="20"/>
                <w:szCs w:val="20"/>
                <w:color w:val="auto"/>
              </w:rPr>
            </w:pPr>
            <w:r>
              <w:rPr>
                <w:rFonts w:ascii="Arial" w:cs="Arial" w:eastAsia="Arial" w:hAnsi="Arial"/>
                <w:sz w:val="14"/>
                <w:szCs w:val="14"/>
                <w:color w:val="auto"/>
              </w:rPr>
              <w:t>10.0%</w:t>
            </w:r>
          </w:p>
        </w:tc>
        <w:tc>
          <w:tcPr>
            <w:tcW w:w="1580" w:type="dxa"/>
            <w:vAlign w:val="bottom"/>
            <w:shd w:val="clear" w:color="auto" w:fill="F5F5F5"/>
          </w:tcPr>
          <w:p>
            <w:pPr>
              <w:jc w:val="right"/>
              <w:ind w:right="488"/>
              <w:spacing w:after="0"/>
              <w:rPr>
                <w:sz w:val="20"/>
                <w:szCs w:val="20"/>
                <w:color w:val="auto"/>
              </w:rPr>
            </w:pPr>
            <w:r>
              <w:rPr>
                <w:rFonts w:ascii="Arial" w:cs="Arial" w:eastAsia="Arial" w:hAnsi="Arial"/>
                <w:sz w:val="14"/>
                <w:szCs w:val="14"/>
                <w:color w:val="auto"/>
              </w:rPr>
              <w:t>12.5%</w:t>
            </w:r>
          </w:p>
        </w:tc>
        <w:tc>
          <w:tcPr>
            <w:tcW w:w="1800" w:type="dxa"/>
            <w:vAlign w:val="bottom"/>
            <w:shd w:val="clear" w:color="auto" w:fill="F5F5F5"/>
          </w:tcPr>
          <w:p>
            <w:pPr>
              <w:jc w:val="right"/>
              <w:ind w:right="6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4"/>
                <w:szCs w:val="14"/>
                <w:color w:val="auto"/>
              </w:rPr>
              <w:t>BVPS Vesting Percentage</w:t>
            </w:r>
          </w:p>
        </w:tc>
        <w:tc>
          <w:tcPr>
            <w:tcW w:w="2060" w:type="dxa"/>
            <w:vAlign w:val="bottom"/>
          </w:tcPr>
          <w:p>
            <w:pPr>
              <w:jc w:val="right"/>
              <w:ind w:right="688"/>
              <w:spacing w:after="0"/>
              <w:rPr>
                <w:sz w:val="20"/>
                <w:szCs w:val="20"/>
                <w:color w:val="auto"/>
              </w:rPr>
            </w:pPr>
            <w:r>
              <w:rPr>
                <w:rFonts w:ascii="Arial" w:cs="Arial" w:eastAsia="Arial" w:hAnsi="Arial"/>
                <w:sz w:val="14"/>
                <w:szCs w:val="14"/>
                <w:color w:val="auto"/>
              </w:rPr>
              <w:t>50%</w:t>
            </w:r>
          </w:p>
        </w:tc>
        <w:tc>
          <w:tcPr>
            <w:tcW w:w="1600" w:type="dxa"/>
            <w:vAlign w:val="bottom"/>
          </w:tcPr>
          <w:p>
            <w:pPr>
              <w:jc w:val="right"/>
              <w:ind w:right="588"/>
              <w:spacing w:after="0"/>
              <w:rPr>
                <w:sz w:val="20"/>
                <w:szCs w:val="20"/>
                <w:color w:val="auto"/>
              </w:rPr>
            </w:pPr>
            <w:r>
              <w:rPr>
                <w:rFonts w:ascii="Arial" w:cs="Arial" w:eastAsia="Arial" w:hAnsi="Arial"/>
                <w:sz w:val="14"/>
                <w:szCs w:val="14"/>
                <w:color w:val="auto"/>
              </w:rPr>
              <w:t>100%</w:t>
            </w:r>
          </w:p>
        </w:tc>
        <w:tc>
          <w:tcPr>
            <w:tcW w:w="1580" w:type="dxa"/>
            <w:vAlign w:val="bottom"/>
          </w:tcPr>
          <w:p>
            <w:pPr>
              <w:jc w:val="right"/>
              <w:ind w:right="508"/>
              <w:spacing w:after="0"/>
              <w:rPr>
                <w:sz w:val="20"/>
                <w:szCs w:val="20"/>
                <w:color w:val="auto"/>
              </w:rPr>
            </w:pPr>
            <w:r>
              <w:rPr>
                <w:rFonts w:ascii="Arial" w:cs="Arial" w:eastAsia="Arial" w:hAnsi="Arial"/>
                <w:sz w:val="14"/>
                <w:szCs w:val="14"/>
                <w:color w:val="auto"/>
              </w:rPr>
              <w:t>150%</w:t>
            </w:r>
          </w:p>
        </w:tc>
        <w:tc>
          <w:tcPr>
            <w:tcW w:w="1800" w:type="dxa"/>
            <w:vAlign w:val="bottom"/>
          </w:tcPr>
          <w:p>
            <w:pPr>
              <w:jc w:val="right"/>
              <w:ind w:right="64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75"/>
        </w:trPr>
        <w:tc>
          <w:tcPr>
            <w:tcW w:w="80" w:type="dxa"/>
            <w:vAlign w:val="bottom"/>
            <w:tcBorders>
              <w:bottom w:val="single" w:sz="8" w:color="DE762B"/>
            </w:tcBorders>
          </w:tcPr>
          <w:p>
            <w:pPr>
              <w:spacing w:after="0"/>
              <w:rPr>
                <w:sz w:val="6"/>
                <w:szCs w:val="6"/>
                <w:color w:val="auto"/>
              </w:rPr>
            </w:pPr>
          </w:p>
        </w:tc>
        <w:tc>
          <w:tcPr>
            <w:tcW w:w="3500" w:type="dxa"/>
            <w:vAlign w:val="bottom"/>
            <w:tcBorders>
              <w:bottom w:val="single" w:sz="8" w:color="DE762B"/>
            </w:tcBorders>
          </w:tcPr>
          <w:p>
            <w:pPr>
              <w:spacing w:after="0"/>
              <w:rPr>
                <w:sz w:val="6"/>
                <w:szCs w:val="6"/>
                <w:color w:val="auto"/>
              </w:rPr>
            </w:pPr>
          </w:p>
        </w:tc>
        <w:tc>
          <w:tcPr>
            <w:tcW w:w="2060" w:type="dxa"/>
            <w:vAlign w:val="bottom"/>
            <w:tcBorders>
              <w:bottom w:val="single" w:sz="8" w:color="DE762B"/>
            </w:tcBorders>
          </w:tcPr>
          <w:p>
            <w:pPr>
              <w:spacing w:after="0"/>
              <w:rPr>
                <w:sz w:val="6"/>
                <w:szCs w:val="6"/>
                <w:color w:val="auto"/>
              </w:rPr>
            </w:pPr>
          </w:p>
        </w:tc>
        <w:tc>
          <w:tcPr>
            <w:tcW w:w="1600" w:type="dxa"/>
            <w:vAlign w:val="bottom"/>
            <w:tcBorders>
              <w:bottom w:val="single" w:sz="8" w:color="DE762B"/>
            </w:tcBorders>
          </w:tcPr>
          <w:p>
            <w:pPr>
              <w:spacing w:after="0"/>
              <w:rPr>
                <w:sz w:val="6"/>
                <w:szCs w:val="6"/>
                <w:color w:val="auto"/>
              </w:rPr>
            </w:pPr>
          </w:p>
        </w:tc>
        <w:tc>
          <w:tcPr>
            <w:tcW w:w="1580" w:type="dxa"/>
            <w:vAlign w:val="bottom"/>
            <w:tcBorders>
              <w:bottom w:val="single" w:sz="8" w:color="DE762B"/>
            </w:tcBorders>
          </w:tcPr>
          <w:p>
            <w:pPr>
              <w:spacing w:after="0"/>
              <w:rPr>
                <w:sz w:val="6"/>
                <w:szCs w:val="6"/>
                <w:color w:val="auto"/>
              </w:rPr>
            </w:pPr>
          </w:p>
        </w:tc>
        <w:tc>
          <w:tcPr>
            <w:tcW w:w="1800" w:type="dxa"/>
            <w:vAlign w:val="bottom"/>
            <w:tcBorders>
              <w:bottom w:val="single" w:sz="8" w:color="DE762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left="260" w:hanging="252"/>
        <w:spacing w:after="0" w:line="250" w:lineRule="auto"/>
        <w:tabs>
          <w:tab w:leader="none" w:pos="257" w:val="left"/>
        </w:tabs>
        <w:numPr>
          <w:ilvl w:val="0"/>
          <w:numId w:val="55"/>
        </w:numPr>
        <w:rPr>
          <w:rFonts w:ascii="Arial" w:cs="Arial" w:eastAsia="Arial" w:hAnsi="Arial"/>
          <w:sz w:val="13"/>
          <w:szCs w:val="13"/>
          <w:color w:val="6D6D6D"/>
        </w:rPr>
      </w:pPr>
      <w:r>
        <w:rPr>
          <w:rFonts w:ascii="Arial" w:cs="Arial" w:eastAsia="Arial" w:hAnsi="Arial"/>
          <w:sz w:val="13"/>
          <w:szCs w:val="13"/>
          <w:color w:val="6D6D6D"/>
        </w:rPr>
        <w:t>As defined for purposes of the 2025 PRSUs, BVPS, for any year during the Performance Period, is equal to the "Adjusted Book Value" for such year divided by the number of "Common Shares Outstanding." "Adjusted Book Value" is a non-GAAP measure, and means, for any year, the consolidated stockholder's equity of the Company computed in accordance with GAAP, as reflected in the Company's financial statements, adjusted to exclude the impact of (i) accumulated other comprehensive income (loss); (ii) the cumulative effect of cash dividends paid on the Company's common stock during the Performance Period, (iii) the cumulative effect of the repurchase of the Company's common stock during the Performance Period, (iv) the cumulative effect of changes in accounting principles under GAAP, and (v) the cumulative effect of changes in tax law.</w:t>
      </w:r>
    </w:p>
    <w:p>
      <w:pPr>
        <w:spacing w:after="0" w:line="31" w:lineRule="exact"/>
        <w:rPr>
          <w:rFonts w:ascii="Arial" w:cs="Arial" w:eastAsia="Arial" w:hAnsi="Arial"/>
          <w:sz w:val="13"/>
          <w:szCs w:val="13"/>
          <w:color w:val="6D6D6D"/>
        </w:rPr>
      </w:pPr>
    </w:p>
    <w:p>
      <w:pPr>
        <w:ind w:left="260" w:hanging="252"/>
        <w:spacing w:after="0" w:line="264" w:lineRule="auto"/>
        <w:tabs>
          <w:tab w:leader="none" w:pos="257" w:val="left"/>
        </w:tabs>
        <w:numPr>
          <w:ilvl w:val="0"/>
          <w:numId w:val="55"/>
        </w:numPr>
        <w:rPr>
          <w:rFonts w:ascii="Arial" w:cs="Arial" w:eastAsia="Arial" w:hAnsi="Arial"/>
          <w:sz w:val="13"/>
          <w:szCs w:val="13"/>
          <w:color w:val="6D6D6D"/>
        </w:rPr>
      </w:pPr>
      <w:r>
        <w:rPr>
          <w:rFonts w:ascii="Arial" w:cs="Arial" w:eastAsia="Arial" w:hAnsi="Arial"/>
          <w:sz w:val="13"/>
          <w:szCs w:val="13"/>
          <w:color w:val="6D6D6D"/>
        </w:rPr>
        <w:t>BVPS Growth Percentage means, for the Performance Period, the compounded annual growth rate in BVPS measured at the end of the Performance Period over the BVPS measured as of December 31, 2024.</w:t>
      </w:r>
    </w:p>
    <w:p>
      <w:pPr>
        <w:spacing w:after="0" w:line="147" w:lineRule="exact"/>
        <w:rPr>
          <w:sz w:val="20"/>
          <w:szCs w:val="20"/>
          <w:color w:val="auto"/>
        </w:rPr>
      </w:pPr>
    </w:p>
    <w:p>
      <w:pPr>
        <w:jc w:val="both"/>
        <w:ind w:left="260"/>
        <w:spacing w:after="0" w:line="266" w:lineRule="auto"/>
        <w:rPr>
          <w:sz w:val="20"/>
          <w:szCs w:val="20"/>
          <w:color w:val="auto"/>
        </w:rPr>
      </w:pPr>
      <w:r>
        <w:rPr>
          <w:rFonts w:ascii="Arial" w:cs="Arial" w:eastAsia="Arial" w:hAnsi="Arial"/>
          <w:sz w:val="16"/>
          <w:szCs w:val="16"/>
          <w:color w:val="auto"/>
        </w:rPr>
        <w:t>No later than 60 days following the completion of the Performance Period, the Compensation Committee will determine the Company's BVPS Growth Percentage, certify the level of achievement with respect to the BVPS Vesting Percentage, if any, and determine the portion of shares that have been earned in accordance with the terms of the applicable plan and/or award agreement, with any unearned PRSUs to be forfeited at that time.</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005388"/>
        </w:rPr>
        <w:t>2025 Payouts Under Our 2023 PRSU Awards</w:t>
      </w:r>
    </w:p>
    <w:p>
      <w:pPr>
        <w:spacing w:after="0" w:line="172" w:lineRule="exact"/>
        <w:rPr>
          <w:sz w:val="20"/>
          <w:szCs w:val="20"/>
          <w:color w:val="auto"/>
        </w:rPr>
      </w:pPr>
    </w:p>
    <w:p>
      <w:pPr>
        <w:jc w:val="both"/>
        <w:ind w:left="260"/>
        <w:spacing w:after="0" w:line="260" w:lineRule="auto"/>
        <w:rPr>
          <w:sz w:val="20"/>
          <w:szCs w:val="20"/>
          <w:color w:val="auto"/>
        </w:rPr>
      </w:pPr>
      <w:r>
        <w:rPr>
          <w:rFonts w:ascii="Arial" w:cs="Arial" w:eastAsia="Arial" w:hAnsi="Arial"/>
          <w:sz w:val="16"/>
          <w:szCs w:val="16"/>
          <w:color w:val="auto"/>
        </w:rPr>
        <w:t>In 2023, the Company granted PRSUs to our NEOs that are earned based on the achievement of cumulative BVPS growth targets over a three-year performance period commencing on January 1, 2023 and ending on December 31, 2025. In February 2026, the Compensation Committee determined the extent to which the fiscal year 2023 PRSUs had been earned: a 200% payout based on BVPS Growth Percentage of 21.1% over the three-year performance period. The terms of the fiscal year 2023 PRSUs, including the target performance and payout level, actual results and vesting schedule,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70485</wp:posOffset>
            </wp:positionV>
            <wp:extent cx="6755130" cy="784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755130" cy="784225"/>
                    </a:xfrm>
                    <a:prstGeom prst="rect">
                      <a:avLst/>
                    </a:prstGeom>
                    <a:noFill/>
                  </pic:spPr>
                </pic:pic>
              </a:graphicData>
            </a:graphic>
          </wp:anchor>
        </w:drawing>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FFFFFF"/>
        </w:rPr>
        <w:t>2025 PAYOUT UNDER OUR 2023 PRSU AWARDS</w:t>
      </w:r>
    </w:p>
    <w:p>
      <w:pPr>
        <w:spacing w:after="0" w:line="5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3060" w:type="dxa"/>
            <w:vAlign w:val="bottom"/>
            <w:shd w:val="clear" w:color="auto" w:fill="0C2940"/>
          </w:tcPr>
          <w:p>
            <w:pPr>
              <w:jc w:val="center"/>
              <w:ind w:left="148"/>
              <w:spacing w:after="0"/>
              <w:rPr>
                <w:sz w:val="20"/>
                <w:szCs w:val="20"/>
                <w:color w:val="auto"/>
              </w:rPr>
            </w:pPr>
            <w:r>
              <w:rPr>
                <w:rFonts w:ascii="Arial" w:cs="Arial" w:eastAsia="Arial" w:hAnsi="Arial"/>
                <w:sz w:val="14"/>
                <w:szCs w:val="14"/>
                <w:color w:val="FFFFFF"/>
              </w:rPr>
              <w:t>2023 CUMULATIVE</w:t>
            </w:r>
          </w:p>
        </w:tc>
        <w:tc>
          <w:tcPr>
            <w:tcW w:w="1660" w:type="dxa"/>
            <w:vAlign w:val="bottom"/>
            <w:vMerge w:val="restart"/>
            <w:shd w:val="clear" w:color="auto" w:fill="0C2940"/>
          </w:tcPr>
          <w:p>
            <w:pPr>
              <w:ind w:left="500"/>
              <w:spacing w:after="0"/>
              <w:rPr>
                <w:sz w:val="20"/>
                <w:szCs w:val="20"/>
                <w:color w:val="auto"/>
              </w:rPr>
            </w:pPr>
            <w:r>
              <w:rPr>
                <w:rFonts w:ascii="Arial" w:cs="Arial" w:eastAsia="Arial" w:hAnsi="Arial"/>
                <w:sz w:val="14"/>
                <w:szCs w:val="14"/>
                <w:color w:val="FFFFFF"/>
              </w:rPr>
              <w:t>THRESHOLD</w:t>
            </w:r>
          </w:p>
        </w:tc>
        <w:tc>
          <w:tcPr>
            <w:tcW w:w="1260" w:type="dxa"/>
            <w:vAlign w:val="bottom"/>
            <w:vMerge w:val="restart"/>
            <w:shd w:val="clear" w:color="auto" w:fill="0C2940"/>
          </w:tcPr>
          <w:p>
            <w:pPr>
              <w:ind w:left="300"/>
              <w:spacing w:after="0"/>
              <w:rPr>
                <w:sz w:val="20"/>
                <w:szCs w:val="20"/>
                <w:color w:val="auto"/>
              </w:rPr>
            </w:pPr>
            <w:r>
              <w:rPr>
                <w:rFonts w:ascii="Arial" w:cs="Arial" w:eastAsia="Arial" w:hAnsi="Arial"/>
                <w:sz w:val="14"/>
                <w:szCs w:val="14"/>
                <w:color w:val="FFFFFF"/>
              </w:rPr>
              <w:t>TARGET</w:t>
            </w:r>
          </w:p>
        </w:tc>
        <w:tc>
          <w:tcPr>
            <w:tcW w:w="1240" w:type="dxa"/>
            <w:vAlign w:val="bottom"/>
            <w:vMerge w:val="restart"/>
            <w:shd w:val="clear" w:color="auto" w:fill="0C2940"/>
          </w:tcPr>
          <w:p>
            <w:pPr>
              <w:ind w:left="380"/>
              <w:spacing w:after="0"/>
              <w:rPr>
                <w:sz w:val="20"/>
                <w:szCs w:val="20"/>
                <w:color w:val="auto"/>
              </w:rPr>
            </w:pPr>
            <w:r>
              <w:rPr>
                <w:rFonts w:ascii="Arial" w:cs="Arial" w:eastAsia="Arial" w:hAnsi="Arial"/>
                <w:sz w:val="14"/>
                <w:szCs w:val="14"/>
                <w:color w:val="FFFFFF"/>
              </w:rPr>
              <w:t>ABOVE</w:t>
            </w:r>
          </w:p>
        </w:tc>
        <w:tc>
          <w:tcPr>
            <w:tcW w:w="1520" w:type="dxa"/>
            <w:vAlign w:val="bottom"/>
            <w:vMerge w:val="restart"/>
            <w:shd w:val="clear" w:color="auto" w:fill="0C2940"/>
          </w:tcPr>
          <w:p>
            <w:pPr>
              <w:ind w:left="360"/>
              <w:spacing w:after="0"/>
              <w:rPr>
                <w:sz w:val="20"/>
                <w:szCs w:val="20"/>
                <w:color w:val="auto"/>
              </w:rPr>
            </w:pPr>
            <w:r>
              <w:rPr>
                <w:rFonts w:ascii="Arial" w:cs="Arial" w:eastAsia="Arial" w:hAnsi="Arial"/>
                <w:sz w:val="14"/>
                <w:szCs w:val="14"/>
                <w:color w:val="FFFFFF"/>
              </w:rPr>
              <w:t>MAXIMUM</w:t>
            </w:r>
          </w:p>
        </w:tc>
        <w:tc>
          <w:tcPr>
            <w:tcW w:w="1800" w:type="dxa"/>
            <w:vAlign w:val="bottom"/>
            <w:shd w:val="clear" w:color="auto" w:fill="0C2940"/>
          </w:tcPr>
          <w:p>
            <w:pPr>
              <w:ind w:left="480"/>
              <w:spacing w:after="0"/>
              <w:rPr>
                <w:sz w:val="20"/>
                <w:szCs w:val="20"/>
                <w:color w:val="auto"/>
              </w:rPr>
            </w:pPr>
            <w:r>
              <w:rPr>
                <w:rFonts w:ascii="Arial" w:cs="Arial" w:eastAsia="Arial" w:hAnsi="Arial"/>
                <w:sz w:val="14"/>
                <w:szCs w:val="14"/>
                <w:color w:val="FFFFFF"/>
              </w:rPr>
              <w:t>ACTUAL</w:t>
            </w: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3060" w:type="dxa"/>
            <w:vAlign w:val="bottom"/>
            <w:tcBorders>
              <w:bottom w:val="single" w:sz="8" w:color="0C2940"/>
            </w:tcBorders>
            <w:shd w:val="clear" w:color="auto" w:fill="0C2940"/>
          </w:tcPr>
          <w:p>
            <w:pPr>
              <w:jc w:val="center"/>
              <w:ind w:left="208"/>
              <w:spacing w:after="0"/>
              <w:rPr>
                <w:sz w:val="20"/>
                <w:szCs w:val="20"/>
                <w:color w:val="auto"/>
              </w:rPr>
            </w:pPr>
            <w:r>
              <w:rPr>
                <w:rFonts w:ascii="Arial" w:cs="Arial" w:eastAsia="Arial" w:hAnsi="Arial"/>
                <w:sz w:val="14"/>
                <w:szCs w:val="14"/>
                <w:color w:val="FFFFFF"/>
              </w:rPr>
              <w:t>BVPS GROWTH TARGETS</w:t>
            </w:r>
          </w:p>
        </w:tc>
        <w:tc>
          <w:tcPr>
            <w:tcW w:w="1660" w:type="dxa"/>
            <w:vAlign w:val="bottom"/>
            <w:tcBorders>
              <w:bottom w:val="single" w:sz="8" w:color="0C2940"/>
            </w:tcBorders>
            <w:vMerge w:val="continue"/>
            <w:shd w:val="clear" w:color="auto" w:fill="0C2940"/>
          </w:tcPr>
          <w:p>
            <w:pPr>
              <w:spacing w:after="0"/>
              <w:rPr>
                <w:sz w:val="16"/>
                <w:szCs w:val="16"/>
                <w:color w:val="auto"/>
              </w:rPr>
            </w:pPr>
          </w:p>
        </w:tc>
        <w:tc>
          <w:tcPr>
            <w:tcW w:w="1260" w:type="dxa"/>
            <w:vAlign w:val="bottom"/>
            <w:tcBorders>
              <w:bottom w:val="single" w:sz="8" w:color="0C2940"/>
            </w:tcBorders>
            <w:vMerge w:val="continue"/>
            <w:shd w:val="clear" w:color="auto" w:fill="0C2940"/>
          </w:tcPr>
          <w:p>
            <w:pPr>
              <w:spacing w:after="0"/>
              <w:rPr>
                <w:sz w:val="16"/>
                <w:szCs w:val="16"/>
                <w:color w:val="auto"/>
              </w:rPr>
            </w:pPr>
          </w:p>
        </w:tc>
        <w:tc>
          <w:tcPr>
            <w:tcW w:w="1240" w:type="dxa"/>
            <w:vAlign w:val="bottom"/>
            <w:tcBorders>
              <w:bottom w:val="single" w:sz="8" w:color="0C2940"/>
            </w:tcBorders>
            <w:vMerge w:val="continue"/>
            <w:shd w:val="clear" w:color="auto" w:fill="0C2940"/>
          </w:tcPr>
          <w:p>
            <w:pPr>
              <w:spacing w:after="0"/>
              <w:rPr>
                <w:sz w:val="16"/>
                <w:szCs w:val="16"/>
                <w:color w:val="auto"/>
              </w:rPr>
            </w:pPr>
          </w:p>
        </w:tc>
        <w:tc>
          <w:tcPr>
            <w:tcW w:w="1520" w:type="dxa"/>
            <w:vAlign w:val="bottom"/>
            <w:tcBorders>
              <w:bottom w:val="single" w:sz="8" w:color="0C2940"/>
            </w:tcBorders>
            <w:vMerge w:val="continue"/>
            <w:shd w:val="clear" w:color="auto" w:fill="0C2940"/>
          </w:tcPr>
          <w:p>
            <w:pPr>
              <w:spacing w:after="0"/>
              <w:rPr>
                <w:sz w:val="16"/>
                <w:szCs w:val="16"/>
                <w:color w:val="auto"/>
              </w:rPr>
            </w:pPr>
          </w:p>
        </w:tc>
        <w:tc>
          <w:tcPr>
            <w:tcW w:w="1800" w:type="dxa"/>
            <w:vAlign w:val="bottom"/>
            <w:tcBorders>
              <w:bottom w:val="single" w:sz="8" w:color="0C2940"/>
            </w:tcBorders>
            <w:shd w:val="clear" w:color="auto" w:fill="0C2940"/>
          </w:tcPr>
          <w:p>
            <w:pPr>
              <w:ind w:left="460"/>
              <w:spacing w:after="0"/>
              <w:rPr>
                <w:sz w:val="20"/>
                <w:szCs w:val="20"/>
                <w:color w:val="auto"/>
              </w:rPr>
            </w:pPr>
            <w:r>
              <w:rPr>
                <w:rFonts w:ascii="Arial" w:cs="Arial" w:eastAsia="Arial" w:hAnsi="Arial"/>
                <w:sz w:val="14"/>
                <w:szCs w:val="14"/>
                <w:color w:val="FFFFFF"/>
              </w:rPr>
              <w:t>RESULTS</w:t>
            </w:r>
          </w:p>
        </w:tc>
        <w:tc>
          <w:tcPr>
            <w:tcW w:w="0" w:type="dxa"/>
            <w:vAlign w:val="bottom"/>
          </w:tcPr>
          <w:p>
            <w:pPr>
              <w:spacing w:after="0"/>
              <w:rPr>
                <w:sz w:val="1"/>
                <w:szCs w:val="1"/>
                <w:color w:val="auto"/>
              </w:rPr>
            </w:pPr>
          </w:p>
        </w:tc>
      </w:tr>
      <w:tr>
        <w:trPr>
          <w:trHeight w:val="208"/>
        </w:trPr>
        <w:tc>
          <w:tcPr>
            <w:tcW w:w="80" w:type="dxa"/>
            <w:vAlign w:val="bottom"/>
            <w:shd w:val="clear" w:color="auto" w:fill="F5F5F5"/>
          </w:tcPr>
          <w:p>
            <w:pPr>
              <w:spacing w:after="0"/>
              <w:rPr>
                <w:sz w:val="18"/>
                <w:szCs w:val="18"/>
                <w:color w:val="auto"/>
              </w:rPr>
            </w:pPr>
          </w:p>
        </w:tc>
        <w:tc>
          <w:tcPr>
            <w:tcW w:w="3060" w:type="dxa"/>
            <w:vAlign w:val="bottom"/>
            <w:shd w:val="clear" w:color="auto" w:fill="F5F5F5"/>
          </w:tcPr>
          <w:p>
            <w:pPr>
              <w:ind w:left="20"/>
              <w:spacing w:after="0"/>
              <w:rPr>
                <w:sz w:val="20"/>
                <w:szCs w:val="20"/>
                <w:color w:val="auto"/>
              </w:rPr>
            </w:pPr>
            <w:r>
              <w:rPr>
                <w:rFonts w:ascii="Arial" w:cs="Arial" w:eastAsia="Arial" w:hAnsi="Arial"/>
                <w:sz w:val="14"/>
                <w:szCs w:val="14"/>
                <w:color w:val="auto"/>
              </w:rPr>
              <w:t>BVPS</w:t>
            </w:r>
            <w:r>
              <w:rPr>
                <w:rFonts w:ascii="Arial" w:cs="Arial" w:eastAsia="Arial" w:hAnsi="Arial"/>
                <w:sz w:val="9"/>
                <w:szCs w:val="9"/>
                <w:color w:val="auto"/>
              </w:rPr>
              <w:t>1</w:t>
            </w:r>
            <w:r>
              <w:rPr>
                <w:rFonts w:ascii="Arial" w:cs="Arial" w:eastAsia="Arial" w:hAnsi="Arial"/>
                <w:sz w:val="14"/>
                <w:szCs w:val="14"/>
                <w:color w:val="auto"/>
              </w:rPr>
              <w:t xml:space="preserve"> Growth Percentage</w:t>
            </w:r>
            <w:r>
              <w:rPr>
                <w:rFonts w:ascii="Arial" w:cs="Arial" w:eastAsia="Arial" w:hAnsi="Arial"/>
                <w:sz w:val="9"/>
                <w:szCs w:val="9"/>
                <w:color w:val="auto"/>
              </w:rPr>
              <w:t>2</w:t>
            </w:r>
          </w:p>
        </w:tc>
        <w:tc>
          <w:tcPr>
            <w:tcW w:w="1660" w:type="dxa"/>
            <w:vAlign w:val="bottom"/>
            <w:shd w:val="clear" w:color="auto" w:fill="F5F5F5"/>
          </w:tcPr>
          <w:p>
            <w:pPr>
              <w:jc w:val="right"/>
              <w:ind w:right="488"/>
              <w:spacing w:after="0"/>
              <w:rPr>
                <w:sz w:val="20"/>
                <w:szCs w:val="20"/>
                <w:color w:val="auto"/>
              </w:rPr>
            </w:pPr>
            <w:r>
              <w:rPr>
                <w:rFonts w:ascii="Arial" w:cs="Arial" w:eastAsia="Arial" w:hAnsi="Arial"/>
                <w:sz w:val="14"/>
                <w:szCs w:val="14"/>
                <w:color w:val="auto"/>
              </w:rPr>
              <w:t>5.0%</w:t>
            </w:r>
          </w:p>
        </w:tc>
        <w:tc>
          <w:tcPr>
            <w:tcW w:w="1260" w:type="dxa"/>
            <w:vAlign w:val="bottom"/>
            <w:shd w:val="clear" w:color="auto" w:fill="F5F5F5"/>
          </w:tcPr>
          <w:p>
            <w:pPr>
              <w:jc w:val="right"/>
              <w:ind w:right="448"/>
              <w:spacing w:after="0"/>
              <w:rPr>
                <w:sz w:val="20"/>
                <w:szCs w:val="20"/>
                <w:color w:val="auto"/>
              </w:rPr>
            </w:pPr>
            <w:r>
              <w:rPr>
                <w:rFonts w:ascii="Arial" w:cs="Arial" w:eastAsia="Arial" w:hAnsi="Arial"/>
                <w:sz w:val="14"/>
                <w:szCs w:val="14"/>
                <w:color w:val="auto"/>
              </w:rPr>
              <w:t>10%</w:t>
            </w:r>
          </w:p>
        </w:tc>
        <w:tc>
          <w:tcPr>
            <w:tcW w:w="1240" w:type="dxa"/>
            <w:vAlign w:val="bottom"/>
            <w:shd w:val="clear" w:color="auto" w:fill="F5F5F5"/>
          </w:tcPr>
          <w:p>
            <w:pPr>
              <w:jc w:val="right"/>
              <w:ind w:right="328"/>
              <w:spacing w:after="0"/>
              <w:rPr>
                <w:sz w:val="20"/>
                <w:szCs w:val="20"/>
                <w:color w:val="auto"/>
              </w:rPr>
            </w:pPr>
            <w:r>
              <w:rPr>
                <w:rFonts w:ascii="Arial" w:cs="Arial" w:eastAsia="Arial" w:hAnsi="Arial"/>
                <w:sz w:val="14"/>
                <w:szCs w:val="14"/>
                <w:color w:val="auto"/>
              </w:rPr>
              <w:t>12.5%</w:t>
            </w:r>
          </w:p>
        </w:tc>
        <w:tc>
          <w:tcPr>
            <w:tcW w:w="1520" w:type="dxa"/>
            <w:vAlign w:val="bottom"/>
            <w:shd w:val="clear" w:color="auto" w:fill="F5F5F5"/>
          </w:tcPr>
          <w:p>
            <w:pPr>
              <w:jc w:val="right"/>
              <w:ind w:right="528"/>
              <w:spacing w:after="0"/>
              <w:rPr>
                <w:sz w:val="20"/>
                <w:szCs w:val="20"/>
                <w:color w:val="auto"/>
              </w:rPr>
            </w:pPr>
            <w:r>
              <w:rPr>
                <w:rFonts w:ascii="Arial" w:cs="Arial" w:eastAsia="Arial" w:hAnsi="Arial"/>
                <w:sz w:val="14"/>
                <w:szCs w:val="14"/>
                <w:color w:val="auto"/>
              </w:rPr>
              <w:t>15.0%</w:t>
            </w:r>
          </w:p>
        </w:tc>
        <w:tc>
          <w:tcPr>
            <w:tcW w:w="1800" w:type="dxa"/>
            <w:vAlign w:val="bottom"/>
            <w:shd w:val="clear" w:color="auto" w:fill="F5F5F5"/>
          </w:tcPr>
          <w:p>
            <w:pPr>
              <w:jc w:val="right"/>
              <w:ind w:right="74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76"/>
        </w:trPr>
        <w:tc>
          <w:tcPr>
            <w:tcW w:w="80" w:type="dxa"/>
            <w:vAlign w:val="bottom"/>
            <w:shd w:val="clear" w:color="auto" w:fill="F5F5F5"/>
          </w:tcPr>
          <w:p>
            <w:pPr>
              <w:spacing w:after="0"/>
              <w:rPr>
                <w:sz w:val="6"/>
                <w:szCs w:val="6"/>
                <w:color w:val="auto"/>
              </w:rPr>
            </w:pPr>
          </w:p>
        </w:tc>
        <w:tc>
          <w:tcPr>
            <w:tcW w:w="3060" w:type="dxa"/>
            <w:vAlign w:val="bottom"/>
            <w:shd w:val="clear" w:color="auto" w:fill="F5F5F5"/>
          </w:tcPr>
          <w:p>
            <w:pPr>
              <w:spacing w:after="0"/>
              <w:rPr>
                <w:sz w:val="6"/>
                <w:szCs w:val="6"/>
                <w:color w:val="auto"/>
              </w:rPr>
            </w:pPr>
          </w:p>
        </w:tc>
        <w:tc>
          <w:tcPr>
            <w:tcW w:w="1660" w:type="dxa"/>
            <w:vAlign w:val="bottom"/>
            <w:shd w:val="clear" w:color="auto" w:fill="F5F5F5"/>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1240" w:type="dxa"/>
            <w:vAlign w:val="bottom"/>
            <w:shd w:val="clear" w:color="auto" w:fill="F5F5F5"/>
          </w:tcPr>
          <w:p>
            <w:pPr>
              <w:spacing w:after="0"/>
              <w:rPr>
                <w:sz w:val="6"/>
                <w:szCs w:val="6"/>
                <w:color w:val="auto"/>
              </w:rPr>
            </w:pPr>
          </w:p>
        </w:tc>
        <w:tc>
          <w:tcPr>
            <w:tcW w:w="1520" w:type="dxa"/>
            <w:vAlign w:val="bottom"/>
            <w:shd w:val="clear" w:color="auto" w:fill="F5F5F5"/>
          </w:tcPr>
          <w:p>
            <w:pPr>
              <w:spacing w:after="0"/>
              <w:rPr>
                <w:sz w:val="6"/>
                <w:szCs w:val="6"/>
                <w:color w:val="auto"/>
              </w:rPr>
            </w:pPr>
          </w:p>
        </w:tc>
        <w:tc>
          <w:tcPr>
            <w:tcW w:w="180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060" w:type="dxa"/>
            <w:vAlign w:val="bottom"/>
          </w:tcPr>
          <w:p>
            <w:pPr>
              <w:ind w:left="20"/>
              <w:spacing w:after="0"/>
              <w:rPr>
                <w:sz w:val="20"/>
                <w:szCs w:val="20"/>
                <w:color w:val="auto"/>
              </w:rPr>
            </w:pPr>
            <w:r>
              <w:rPr>
                <w:rFonts w:ascii="Arial" w:cs="Arial" w:eastAsia="Arial" w:hAnsi="Arial"/>
                <w:sz w:val="14"/>
                <w:szCs w:val="14"/>
                <w:color w:val="auto"/>
              </w:rPr>
              <w:t>BVPS Vesting Percentage</w:t>
            </w:r>
          </w:p>
        </w:tc>
        <w:tc>
          <w:tcPr>
            <w:tcW w:w="1660" w:type="dxa"/>
            <w:vAlign w:val="bottom"/>
          </w:tcPr>
          <w:p>
            <w:pPr>
              <w:jc w:val="right"/>
              <w:ind w:right="508"/>
              <w:spacing w:after="0"/>
              <w:rPr>
                <w:sz w:val="20"/>
                <w:szCs w:val="20"/>
                <w:color w:val="auto"/>
              </w:rPr>
            </w:pPr>
            <w:r>
              <w:rPr>
                <w:rFonts w:ascii="Arial" w:cs="Arial" w:eastAsia="Arial" w:hAnsi="Arial"/>
                <w:sz w:val="14"/>
                <w:szCs w:val="14"/>
                <w:color w:val="auto"/>
              </w:rPr>
              <w:t>50%</w:t>
            </w:r>
          </w:p>
        </w:tc>
        <w:tc>
          <w:tcPr>
            <w:tcW w:w="1260" w:type="dxa"/>
            <w:vAlign w:val="bottom"/>
          </w:tcPr>
          <w:p>
            <w:pPr>
              <w:jc w:val="right"/>
              <w:ind w:right="408"/>
              <w:spacing w:after="0"/>
              <w:rPr>
                <w:sz w:val="20"/>
                <w:szCs w:val="20"/>
                <w:color w:val="auto"/>
              </w:rPr>
            </w:pPr>
            <w:r>
              <w:rPr>
                <w:rFonts w:ascii="Arial" w:cs="Arial" w:eastAsia="Arial" w:hAnsi="Arial"/>
                <w:sz w:val="14"/>
                <w:szCs w:val="14"/>
                <w:color w:val="auto"/>
              </w:rPr>
              <w:t>100%</w:t>
            </w:r>
          </w:p>
        </w:tc>
        <w:tc>
          <w:tcPr>
            <w:tcW w:w="1240" w:type="dxa"/>
            <w:vAlign w:val="bottom"/>
          </w:tcPr>
          <w:p>
            <w:pPr>
              <w:jc w:val="right"/>
              <w:ind w:right="348"/>
              <w:spacing w:after="0"/>
              <w:rPr>
                <w:sz w:val="20"/>
                <w:szCs w:val="20"/>
                <w:color w:val="auto"/>
              </w:rPr>
            </w:pPr>
            <w:r>
              <w:rPr>
                <w:rFonts w:ascii="Arial" w:cs="Arial" w:eastAsia="Arial" w:hAnsi="Arial"/>
                <w:sz w:val="14"/>
                <w:szCs w:val="14"/>
                <w:color w:val="auto"/>
              </w:rPr>
              <w:t>150%</w:t>
            </w:r>
          </w:p>
        </w:tc>
        <w:tc>
          <w:tcPr>
            <w:tcW w:w="1520" w:type="dxa"/>
            <w:vAlign w:val="bottom"/>
          </w:tcPr>
          <w:p>
            <w:pPr>
              <w:jc w:val="right"/>
              <w:ind w:right="548"/>
              <w:spacing w:after="0"/>
              <w:rPr>
                <w:sz w:val="20"/>
                <w:szCs w:val="20"/>
                <w:color w:val="auto"/>
              </w:rPr>
            </w:pPr>
            <w:r>
              <w:rPr>
                <w:rFonts w:ascii="Arial" w:cs="Arial" w:eastAsia="Arial" w:hAnsi="Arial"/>
                <w:sz w:val="14"/>
                <w:szCs w:val="14"/>
                <w:color w:val="auto"/>
              </w:rPr>
              <w:t>200%</w:t>
            </w:r>
          </w:p>
        </w:tc>
        <w:tc>
          <w:tcPr>
            <w:tcW w:w="1800" w:type="dxa"/>
            <w:vAlign w:val="bottom"/>
          </w:tcPr>
          <w:p>
            <w:pPr>
              <w:jc w:val="right"/>
              <w:ind w:right="76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75"/>
        </w:trPr>
        <w:tc>
          <w:tcPr>
            <w:tcW w:w="80" w:type="dxa"/>
            <w:vAlign w:val="bottom"/>
            <w:tcBorders>
              <w:bottom w:val="single" w:sz="8" w:color="DE762B"/>
            </w:tcBorders>
          </w:tcPr>
          <w:p>
            <w:pPr>
              <w:spacing w:after="0"/>
              <w:rPr>
                <w:sz w:val="6"/>
                <w:szCs w:val="6"/>
                <w:color w:val="auto"/>
              </w:rPr>
            </w:pPr>
          </w:p>
        </w:tc>
        <w:tc>
          <w:tcPr>
            <w:tcW w:w="3060" w:type="dxa"/>
            <w:vAlign w:val="bottom"/>
            <w:tcBorders>
              <w:bottom w:val="single" w:sz="8" w:color="DE762B"/>
            </w:tcBorders>
          </w:tcPr>
          <w:p>
            <w:pPr>
              <w:spacing w:after="0"/>
              <w:rPr>
                <w:sz w:val="6"/>
                <w:szCs w:val="6"/>
                <w:color w:val="auto"/>
              </w:rPr>
            </w:pPr>
          </w:p>
        </w:tc>
        <w:tc>
          <w:tcPr>
            <w:tcW w:w="1660" w:type="dxa"/>
            <w:vAlign w:val="bottom"/>
            <w:tcBorders>
              <w:bottom w:val="single" w:sz="8" w:color="DE762B"/>
            </w:tcBorders>
          </w:tcPr>
          <w:p>
            <w:pPr>
              <w:spacing w:after="0"/>
              <w:rPr>
                <w:sz w:val="6"/>
                <w:szCs w:val="6"/>
                <w:color w:val="auto"/>
              </w:rPr>
            </w:pPr>
          </w:p>
        </w:tc>
        <w:tc>
          <w:tcPr>
            <w:tcW w:w="1260" w:type="dxa"/>
            <w:vAlign w:val="bottom"/>
            <w:tcBorders>
              <w:bottom w:val="single" w:sz="8" w:color="DE762B"/>
            </w:tcBorders>
          </w:tcPr>
          <w:p>
            <w:pPr>
              <w:spacing w:after="0"/>
              <w:rPr>
                <w:sz w:val="6"/>
                <w:szCs w:val="6"/>
                <w:color w:val="auto"/>
              </w:rPr>
            </w:pPr>
          </w:p>
        </w:tc>
        <w:tc>
          <w:tcPr>
            <w:tcW w:w="1240" w:type="dxa"/>
            <w:vAlign w:val="bottom"/>
            <w:tcBorders>
              <w:bottom w:val="single" w:sz="8" w:color="DE762B"/>
            </w:tcBorders>
          </w:tcPr>
          <w:p>
            <w:pPr>
              <w:spacing w:after="0"/>
              <w:rPr>
                <w:sz w:val="6"/>
                <w:szCs w:val="6"/>
                <w:color w:val="auto"/>
              </w:rPr>
            </w:pPr>
          </w:p>
        </w:tc>
        <w:tc>
          <w:tcPr>
            <w:tcW w:w="1520" w:type="dxa"/>
            <w:vAlign w:val="bottom"/>
            <w:tcBorders>
              <w:bottom w:val="single" w:sz="8" w:color="DE762B"/>
            </w:tcBorders>
          </w:tcPr>
          <w:p>
            <w:pPr>
              <w:spacing w:after="0"/>
              <w:rPr>
                <w:sz w:val="6"/>
                <w:szCs w:val="6"/>
                <w:color w:val="auto"/>
              </w:rPr>
            </w:pPr>
          </w:p>
        </w:tc>
        <w:tc>
          <w:tcPr>
            <w:tcW w:w="1800" w:type="dxa"/>
            <w:vAlign w:val="bottom"/>
            <w:tcBorders>
              <w:bottom w:val="single" w:sz="8" w:color="DE762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left="260" w:hanging="252"/>
        <w:spacing w:after="0" w:line="276" w:lineRule="auto"/>
        <w:tabs>
          <w:tab w:leader="none" w:pos="257" w:val="left"/>
        </w:tabs>
        <w:numPr>
          <w:ilvl w:val="0"/>
          <w:numId w:val="56"/>
        </w:numPr>
        <w:rPr>
          <w:rFonts w:ascii="Arial" w:cs="Arial" w:eastAsia="Arial" w:hAnsi="Arial"/>
          <w:sz w:val="12"/>
          <w:szCs w:val="12"/>
          <w:color w:val="6D6D6D"/>
        </w:rPr>
      </w:pPr>
      <w:r>
        <w:rPr>
          <w:rFonts w:ascii="Arial" w:cs="Arial" w:eastAsia="Arial" w:hAnsi="Arial"/>
          <w:sz w:val="12"/>
          <w:szCs w:val="12"/>
          <w:color w:val="6D6D6D"/>
        </w:rPr>
        <w:t>As defined for purposes of the 2023 PRSUs, BVPS, for any year during the Performance Period, is equal to the "Adjusted Book Value" for such year divided by the number of "Common Shares Outstanding." "Adjusted Book Value" is a non-GAAP measure, and means, for any year, the consolidated stockholder's equity of the Company computed in accordance with GAAP, adjusted to exclude the impact of (i) accumulated other comprehensive income (loss), (ii) the cumulative effect of cash dividends paid on the Company's common stock during the Performance Period, (iii) the cumulative effect of the repurchase of the Company's common stock during the Performance Period, (iv) the cumulative effect of changes in the fair value of the Company's warrant liability to the extent such warrants are not exercised, (v) the cumulative effect of changes in accounting principles under GAAP, and (vi) the cumulative effect of changes in tax law.</w:t>
      </w:r>
    </w:p>
    <w:p>
      <w:pPr>
        <w:spacing w:after="0" w:line="70" w:lineRule="exact"/>
        <w:rPr>
          <w:rFonts w:ascii="Arial" w:cs="Arial" w:eastAsia="Arial" w:hAnsi="Arial"/>
          <w:sz w:val="12"/>
          <w:szCs w:val="12"/>
          <w:color w:val="6D6D6D"/>
        </w:rPr>
      </w:pPr>
    </w:p>
    <w:p>
      <w:pPr>
        <w:ind w:left="260" w:hanging="252"/>
        <w:spacing w:after="0" w:line="264" w:lineRule="auto"/>
        <w:tabs>
          <w:tab w:leader="none" w:pos="257" w:val="left"/>
        </w:tabs>
        <w:numPr>
          <w:ilvl w:val="0"/>
          <w:numId w:val="56"/>
        </w:numPr>
        <w:rPr>
          <w:rFonts w:ascii="Arial" w:cs="Arial" w:eastAsia="Arial" w:hAnsi="Arial"/>
          <w:sz w:val="13"/>
          <w:szCs w:val="13"/>
          <w:color w:val="6D6D6D"/>
        </w:rPr>
      </w:pPr>
      <w:r>
        <w:rPr>
          <w:rFonts w:ascii="Arial" w:cs="Arial" w:eastAsia="Arial" w:hAnsi="Arial"/>
          <w:sz w:val="13"/>
          <w:szCs w:val="13"/>
          <w:color w:val="6D6D6D"/>
        </w:rPr>
        <w:t>BVPS Growth Percentage means, for the Performance Period, the compounded annual growth rate in BVPS measured at the end of the Performance Period over the BVPS measured as of December 31, 2022.</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005388"/>
        </w:rPr>
        <w:t>Retirement Savings Plan</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Since 2014, the Company has offered a tax-qualified defined contribution retirement savings plan (the 401(k) Plan), pursuant to which our employees, including our NEOs, are able to contribute a percentage of their annual compensation on a pre- and post-tax basis, up to the limits prescribed by the Internal Revenue Service. In 2025, we offered a 401(k) Company matching contribution for eligible employees who participated in the 401(k) Plan, including our NEOs, of up to 5% of an employee's eligible compensation. Generally, "eligible compensation" used for purposes of calculating contributions under the 401(k) Plan is the amount paid to the NEO as base salary, cash allowance and bonuses. Each of our NEOs was eligible to participate in the 401(k) Plan in 2025. The Company does not sponsor any nonqualified deferred compensation plans or pension plans.</w:t>
      </w:r>
    </w:p>
    <w:p>
      <w:pPr>
        <w:spacing w:after="0" w:line="335"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Executive Cash Allowance Program</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includes in the annual compensation of each NEO a standardized, fixed cash amount to be used at the discretion of the executive officer, in lieu of individualized perquisite programs. In 2025, the additional compensation under this program was approximately $38,400 for Mr. Pollitzer and Mr. Shuster and approximately $30,000 for our other NEOs.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C2940"/>
        </w:rPr>
        <w:t>OTHER IMPORTANT GOVERNANCE AND EXECUTIVE COMPENSATION POLICIES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005388"/>
        </w:rPr>
        <w:t>Minimum Stock Ownership and Holding Period (Executive Officers)</w:t>
      </w:r>
    </w:p>
    <w:p>
      <w:pPr>
        <w:spacing w:after="0" w:line="18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Stock Ownership Policy, which is administered by the Compensation Committee, is applicable to the Company's executive officers, including our Executive Chairman and other NEOs, and non-employee directors. These guidelines were adopted to further underscore that management's interests should be aligned with those of our stockholders. Stock considered owned under the policy includes (i) common shares owned directly or indirectly by the executive or director; and (ii) shares underlying unvested RSUs (excluding all PRSUs). Under the policy, the total value of all shares of the Company's common stock held by each executive officer must equal or exceed the following multiples of their respective base salaries: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POSITION</w:t>
            </w:r>
          </w:p>
        </w:tc>
        <w:tc>
          <w:tcPr>
            <w:tcW w:w="5900" w:type="dxa"/>
            <w:vAlign w:val="bottom"/>
            <w:shd w:val="clear" w:color="auto" w:fill="0C2940"/>
          </w:tcPr>
          <w:p>
            <w:pPr>
              <w:ind w:left="3380"/>
              <w:spacing w:after="0"/>
              <w:rPr>
                <w:sz w:val="20"/>
                <w:szCs w:val="20"/>
                <w:color w:val="auto"/>
              </w:rPr>
            </w:pPr>
            <w:r>
              <w:rPr>
                <w:rFonts w:ascii="Arial" w:cs="Arial" w:eastAsia="Arial" w:hAnsi="Arial"/>
                <w:sz w:val="14"/>
                <w:szCs w:val="14"/>
                <w:color w:val="FFFFFF"/>
              </w:rPr>
              <w:t>BASE SALARY MULTIPLE</w:t>
            </w:r>
          </w:p>
        </w:tc>
      </w:tr>
      <w:tr>
        <w:trPr>
          <w:trHeight w:val="208"/>
        </w:trPr>
        <w:tc>
          <w:tcPr>
            <w:tcW w:w="5240" w:type="dxa"/>
            <w:vAlign w:val="bottom"/>
            <w:shd w:val="clear" w:color="auto" w:fill="F5F5F5"/>
          </w:tcPr>
          <w:p>
            <w:pPr>
              <w:ind w:left="140"/>
              <w:spacing w:after="0"/>
              <w:rPr>
                <w:sz w:val="20"/>
                <w:szCs w:val="20"/>
                <w:color w:val="auto"/>
              </w:rPr>
            </w:pPr>
            <w:r>
              <w:rPr>
                <w:rFonts w:ascii="Arial" w:cs="Arial" w:eastAsia="Arial" w:hAnsi="Arial"/>
                <w:sz w:val="14"/>
                <w:szCs w:val="14"/>
                <w:color w:val="auto"/>
              </w:rPr>
              <w:t>Executive Chairman</w:t>
            </w:r>
          </w:p>
        </w:tc>
        <w:tc>
          <w:tcPr>
            <w:tcW w:w="5900" w:type="dxa"/>
            <w:vAlign w:val="bottom"/>
            <w:shd w:val="clear" w:color="auto" w:fill="F5F5F5"/>
          </w:tcPr>
          <w:p>
            <w:pPr>
              <w:jc w:val="center"/>
              <w:ind w:left="2508"/>
              <w:spacing w:after="0"/>
              <w:rPr>
                <w:sz w:val="20"/>
                <w:szCs w:val="20"/>
                <w:color w:val="auto"/>
              </w:rPr>
            </w:pPr>
            <w:r>
              <w:rPr>
                <w:rFonts w:ascii="Arial" w:cs="Arial" w:eastAsia="Arial" w:hAnsi="Arial"/>
                <w:sz w:val="14"/>
                <w:szCs w:val="14"/>
                <w:color w:val="auto"/>
              </w:rPr>
              <w:t>10.0x</w:t>
            </w:r>
          </w:p>
        </w:tc>
      </w:tr>
      <w:tr>
        <w:trPr>
          <w:trHeight w:val="75"/>
        </w:trPr>
        <w:tc>
          <w:tcPr>
            <w:tcW w:w="5240" w:type="dxa"/>
            <w:vAlign w:val="bottom"/>
            <w:shd w:val="clear" w:color="auto" w:fill="F5F5F5"/>
          </w:tcPr>
          <w:p>
            <w:pPr>
              <w:spacing w:after="0"/>
              <w:rPr>
                <w:sz w:val="6"/>
                <w:szCs w:val="6"/>
                <w:color w:val="auto"/>
              </w:rPr>
            </w:pPr>
          </w:p>
        </w:tc>
        <w:tc>
          <w:tcPr>
            <w:tcW w:w="5900" w:type="dxa"/>
            <w:vAlign w:val="bottom"/>
            <w:shd w:val="clear" w:color="auto" w:fill="F5F5F5"/>
          </w:tcPr>
          <w:p>
            <w:pPr>
              <w:spacing w:after="0"/>
              <w:rPr>
                <w:sz w:val="6"/>
                <w:szCs w:val="6"/>
                <w:color w:val="auto"/>
              </w:rPr>
            </w:pPr>
          </w:p>
        </w:tc>
      </w:tr>
      <w:tr>
        <w:trPr>
          <w:trHeight w:val="208"/>
        </w:trPr>
        <w:tc>
          <w:tcPr>
            <w:tcW w:w="5240" w:type="dxa"/>
            <w:vAlign w:val="bottom"/>
          </w:tcPr>
          <w:p>
            <w:pPr>
              <w:ind w:left="140"/>
              <w:spacing w:after="0"/>
              <w:rPr>
                <w:sz w:val="20"/>
                <w:szCs w:val="20"/>
                <w:color w:val="auto"/>
              </w:rPr>
            </w:pPr>
            <w:r>
              <w:rPr>
                <w:rFonts w:ascii="Arial" w:cs="Arial" w:eastAsia="Arial" w:hAnsi="Arial"/>
                <w:sz w:val="14"/>
                <w:szCs w:val="14"/>
                <w:color w:val="auto"/>
              </w:rPr>
              <w:t>Chief Executive Officer</w:t>
            </w:r>
          </w:p>
        </w:tc>
        <w:tc>
          <w:tcPr>
            <w:tcW w:w="5900" w:type="dxa"/>
            <w:vAlign w:val="bottom"/>
          </w:tcPr>
          <w:p>
            <w:pPr>
              <w:jc w:val="center"/>
              <w:ind w:left="2508"/>
              <w:spacing w:after="0"/>
              <w:rPr>
                <w:sz w:val="20"/>
                <w:szCs w:val="20"/>
                <w:color w:val="auto"/>
              </w:rPr>
            </w:pPr>
            <w:r>
              <w:rPr>
                <w:rFonts w:ascii="Arial" w:cs="Arial" w:eastAsia="Arial" w:hAnsi="Arial"/>
                <w:sz w:val="14"/>
                <w:szCs w:val="14"/>
                <w:color w:val="auto"/>
              </w:rPr>
              <w:t>5.0x</w:t>
            </w:r>
          </w:p>
        </w:tc>
      </w:tr>
      <w:tr>
        <w:trPr>
          <w:trHeight w:val="76"/>
        </w:trPr>
        <w:tc>
          <w:tcPr>
            <w:tcW w:w="5240" w:type="dxa"/>
            <w:vAlign w:val="bottom"/>
          </w:tcPr>
          <w:p>
            <w:pPr>
              <w:spacing w:after="0"/>
              <w:rPr>
                <w:sz w:val="6"/>
                <w:szCs w:val="6"/>
                <w:color w:val="auto"/>
              </w:rPr>
            </w:pPr>
          </w:p>
        </w:tc>
        <w:tc>
          <w:tcPr>
            <w:tcW w:w="5900" w:type="dxa"/>
            <w:vAlign w:val="bottom"/>
          </w:tcPr>
          <w:p>
            <w:pPr>
              <w:spacing w:after="0"/>
              <w:rPr>
                <w:sz w:val="6"/>
                <w:szCs w:val="6"/>
                <w:color w:val="auto"/>
              </w:rPr>
            </w:pPr>
          </w:p>
        </w:tc>
      </w:tr>
      <w:tr>
        <w:trPr>
          <w:trHeight w:val="283"/>
        </w:trPr>
        <w:tc>
          <w:tcPr>
            <w:tcW w:w="5240" w:type="dxa"/>
            <w:vAlign w:val="bottom"/>
            <w:tcBorders>
              <w:bottom w:val="single" w:sz="8" w:color="DE762B"/>
            </w:tcBorders>
            <w:shd w:val="clear" w:color="auto" w:fill="F5F5F5"/>
          </w:tcPr>
          <w:p>
            <w:pPr>
              <w:ind w:left="140"/>
              <w:spacing w:after="0"/>
              <w:rPr>
                <w:sz w:val="20"/>
                <w:szCs w:val="20"/>
                <w:color w:val="auto"/>
              </w:rPr>
            </w:pPr>
            <w:r>
              <w:rPr>
                <w:rFonts w:ascii="Arial" w:cs="Arial" w:eastAsia="Arial" w:hAnsi="Arial"/>
                <w:sz w:val="14"/>
                <w:szCs w:val="14"/>
                <w:color w:val="auto"/>
              </w:rPr>
              <w:t>Executive Vice Presidents</w:t>
            </w:r>
            <w:r>
              <w:rPr>
                <w:rFonts w:ascii="Arial" w:cs="Arial" w:eastAsia="Arial" w:hAnsi="Arial"/>
                <w:sz w:val="18"/>
                <w:szCs w:val="18"/>
                <w:color w:val="auto"/>
                <w:vertAlign w:val="superscript"/>
              </w:rPr>
              <w:t>1</w:t>
            </w:r>
          </w:p>
        </w:tc>
        <w:tc>
          <w:tcPr>
            <w:tcW w:w="5900" w:type="dxa"/>
            <w:vAlign w:val="bottom"/>
            <w:tcBorders>
              <w:bottom w:val="single" w:sz="8" w:color="DE762B"/>
            </w:tcBorders>
            <w:shd w:val="clear" w:color="auto" w:fill="F5F5F5"/>
          </w:tcPr>
          <w:p>
            <w:pPr>
              <w:jc w:val="center"/>
              <w:ind w:left="2508"/>
              <w:spacing w:after="0"/>
              <w:rPr>
                <w:sz w:val="20"/>
                <w:szCs w:val="20"/>
                <w:color w:val="auto"/>
              </w:rPr>
            </w:pPr>
            <w:r>
              <w:rPr>
                <w:rFonts w:ascii="Arial" w:cs="Arial" w:eastAsia="Arial" w:hAnsi="Arial"/>
                <w:sz w:val="14"/>
                <w:szCs w:val="14"/>
                <w:color w:val="auto"/>
              </w:rPr>
              <w:t>3.0x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-560705</wp:posOffset>
            </wp:positionV>
            <wp:extent cx="33655" cy="565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565785"/>
                    </a:xfrm>
                    <a:prstGeom prst="rect">
                      <a:avLst/>
                    </a:prstGeom>
                    <a:noFill/>
                  </pic:spPr>
                </pic:pic>
              </a:graphicData>
            </a:graphic>
          </wp:anchor>
        </w:drawing>
      </w:r>
    </w:p>
    <w:p>
      <w:pPr>
        <w:spacing w:after="0" w:line="219" w:lineRule="exact"/>
        <w:rPr>
          <w:sz w:val="20"/>
          <w:szCs w:val="20"/>
          <w:color w:val="auto"/>
        </w:rPr>
      </w:pPr>
    </w:p>
    <w:p>
      <w:pPr>
        <w:ind w:left="240" w:hanging="232"/>
        <w:spacing w:after="0"/>
        <w:tabs>
          <w:tab w:leader="none" w:pos="240" w:val="left"/>
        </w:tabs>
        <w:numPr>
          <w:ilvl w:val="0"/>
          <w:numId w:val="57"/>
        </w:numPr>
        <w:rPr>
          <w:rFonts w:ascii="Arial" w:cs="Arial" w:eastAsia="Arial" w:hAnsi="Arial"/>
          <w:sz w:val="13"/>
          <w:szCs w:val="13"/>
          <w:color w:val="6D6D6D"/>
        </w:rPr>
      </w:pPr>
      <w:r>
        <w:rPr>
          <w:rFonts w:ascii="Arial" w:cs="Arial" w:eastAsia="Arial" w:hAnsi="Arial"/>
          <w:sz w:val="13"/>
          <w:szCs w:val="13"/>
          <w:color w:val="6D6D6D"/>
        </w:rPr>
        <w:t>Includes Chief Financial Officer, Chief Administrative Officer and Chief Risk Officer.</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Each executive officer is required to hold 50% of shares delivered by the Company upon vesting or exercise of equity awards granted under the Company's equity plans, until the applicable stock ownership threshold has been met. Under the policy, each executive officer is expected to meet the guideline within five years of becoming a participant under the policy. As of December 31, 2025, each of our NEOs met the stock ownership requirement.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Absolute Hedging and Pledging Prohibitions</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executive officers (including all of our NEOs) and directors are subject to the Company's Insider Trading and Information Policy, which includes a complete prohibition on engaging in any form of speculative hedging transaction involving the Company's equity securities. In addition, our executive officers and directors may not hold Company securities in a margin account or pledge such securities as collateral for a loan.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Clawback Policy</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Compensation Committee has adopted a robust Clawback Policy to comply with the SEC’s regulations on the recovery of erroneously awarded compensation and NASDAQ Rule 5608. The Clawback Policy provides for the recovery of excess incentive-based compensation paid to any executive officer that is based upon the achievement of financial results for which the Company is required to prepare an accounting restatement. A copy of the Clawback Policy is included as Exhibit 97.1 to our Annual Report on Form 10-K for the fiscal year ended December 31, 2025.</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05388"/>
        </w:rPr>
        <w:t>Tax Considerations and Deductibility of Compensation</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fiscal year 2025 compensation decisions, while the Compensation Committee considered the potential tax deductibility of executive compensation under Section 162(m) of the Internal Revenue Code, the Compensation Committee also considered delivering competitive levels and forms of compensation. The Compensation Committee reserves the right to establish compensation arrangements that may not be fully tax deductible under applicable tax laws.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005388"/>
        </w:rPr>
        <w:t>Severance Plan</w:t>
      </w:r>
    </w:p>
    <w:p>
      <w:pPr>
        <w:spacing w:after="0" w:line="7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Company's Severance Plan provides for payment of cash severance and continuation of healthcare coverage upon certain involuntary terminations of employment by the Company, as specified in the Severance Plan, including a workforce reduction, elimination of an eligible employee's position, lack of work or any other reason approved in the sole discretion of the Company (each, a Severance Termination). The Severance Plan applies to all of the Company's regular full- or part-time employees, including our NEOs.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Upon a Severance Termination, subject to certain conditions, including the applicable executive's execution and non-revocation of a separation agreement and release of claims, the Severance Plan provides that an eligible NEO would receive three months' base salary, target annual bonus opportunity and three months' of health coverage contributions (paid at the active employee rate) for each full year of service, with a maximum benefit of (i) 24 months of base salary and target annual bonus opportunity and 18 months of health coverage contributions for the Executive Chairman and President and CEO, and (ii) a maximum benefit of 18</w:t>
      </w:r>
    </w:p>
    <w:p>
      <w:pPr>
        <w:spacing w:after="0" w:line="336"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47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months of base salary and target annual bonus opportunity and 12 months of health coverage contributions for all other eligible NEOs. Based on their years of service as of December 31, 2025, each of Messrs. Pollitzer and Shuster were eligible for 24 months of base salary and 18 months of health coverage contributions, each of Messrs. Leatherberry and Smith were eligible for 18 months of base salary and 12 months of health coverage contributions, and Ms. Swithenbank was eligible for 6 months of base salary and health coverage contributions. See "</w:t>
      </w:r>
      <w:r>
        <w:rPr>
          <w:rFonts w:ascii="Arial" w:cs="Arial" w:eastAsia="Arial" w:hAnsi="Arial"/>
          <w:sz w:val="16"/>
          <w:szCs w:val="16"/>
          <w:i w:val="1"/>
          <w:iCs w:val="1"/>
          <w:color w:val="auto"/>
        </w:rPr>
        <w:t>Compensation of Named Executive Officers — Compensation</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Discussion and Analysis — Compensation and Related Tables— Potential Payments Upon Termination of Employment or Change in Control as of December 31, 2025 - Severance Termination.</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05388"/>
        </w:rPr>
        <w:t>Change in Control Severance Plan (CIC Severance Plan)</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CIC Severance Plan contemplates that the Compensation Committee will designate from time-to-time, in its sole discretion, the executive officers who are eligible to receive benefits under the CIC Severance Plan. The Compensation Committee has designated each of the Company's NEOs as participants in the CIC Severance Plan. Each executive designated by the Compensation Committee to receive benefits under the CIC Severance Plan has received a "participation notice," confirming the terms of the executive's participation, including (i) a severance multiple for purposes of determining the participant's cash severance amount (the Severance Multiple) and (ii) the period of time during which the participant is eligible for medical insurance premium reimbursements (the COBRA Period). Each of the participants in the CIC Severance Plan also participate in the Severance Plan, but participants are not entitled to benefits under both plans, to avoid duplication of payments.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has named each of the Company's NEOs as participants in the CIC Severance Plan at the following Severance Multiples and</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COBRA Periods: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shd w:val="clear" w:color="auto" w:fill="0C2940"/>
          </w:tcPr>
          <w:p>
            <w:pPr>
              <w:ind w:left="140"/>
              <w:spacing w:after="0"/>
              <w:rPr>
                <w:sz w:val="20"/>
                <w:szCs w:val="20"/>
                <w:color w:val="auto"/>
              </w:rPr>
            </w:pPr>
            <w:r>
              <w:rPr>
                <w:rFonts w:ascii="Arial" w:cs="Arial" w:eastAsia="Arial" w:hAnsi="Arial"/>
                <w:sz w:val="14"/>
                <w:szCs w:val="14"/>
                <w:b w:val="1"/>
                <w:bCs w:val="1"/>
                <w:color w:val="FFFFFF"/>
              </w:rPr>
              <w:t>NEO</w:t>
            </w:r>
          </w:p>
        </w:tc>
        <w:tc>
          <w:tcPr>
            <w:tcW w:w="4520" w:type="dxa"/>
            <w:vAlign w:val="bottom"/>
            <w:shd w:val="clear" w:color="auto" w:fill="0C2940"/>
          </w:tcPr>
          <w:p>
            <w:pPr>
              <w:jc w:val="center"/>
              <w:ind w:left="1188"/>
              <w:spacing w:after="0"/>
              <w:rPr>
                <w:sz w:val="20"/>
                <w:szCs w:val="20"/>
                <w:color w:val="auto"/>
              </w:rPr>
            </w:pPr>
            <w:r>
              <w:rPr>
                <w:rFonts w:ascii="Arial" w:cs="Arial" w:eastAsia="Arial" w:hAnsi="Arial"/>
                <w:sz w:val="14"/>
                <w:szCs w:val="14"/>
                <w:color w:val="FFFFFF"/>
              </w:rPr>
              <w:t>SEVERANCE MULTIPLE</w:t>
            </w:r>
          </w:p>
        </w:tc>
        <w:tc>
          <w:tcPr>
            <w:tcW w:w="2900" w:type="dxa"/>
            <w:vAlign w:val="bottom"/>
            <w:shd w:val="clear" w:color="auto" w:fill="0C2940"/>
          </w:tcPr>
          <w:p>
            <w:pPr>
              <w:jc w:val="center"/>
              <w:ind w:right="48"/>
              <w:spacing w:after="0"/>
              <w:rPr>
                <w:sz w:val="20"/>
                <w:szCs w:val="20"/>
                <w:color w:val="auto"/>
              </w:rPr>
            </w:pPr>
            <w:r>
              <w:rPr>
                <w:rFonts w:ascii="Arial" w:cs="Arial" w:eastAsia="Arial" w:hAnsi="Arial"/>
                <w:sz w:val="14"/>
                <w:szCs w:val="14"/>
                <w:color w:val="FFFFFF"/>
              </w:rPr>
              <w:t>COBRA PERIOD</w:t>
            </w:r>
          </w:p>
        </w:tc>
      </w:tr>
      <w:tr>
        <w:trPr>
          <w:trHeight w:val="322"/>
        </w:trPr>
        <w:tc>
          <w:tcPr>
            <w:tcW w:w="38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4520" w:type="dxa"/>
            <w:vAlign w:val="bottom"/>
            <w:shd w:val="clear" w:color="auto" w:fill="F5F5F5"/>
          </w:tcPr>
          <w:p>
            <w:pPr>
              <w:jc w:val="center"/>
              <w:ind w:left="1188"/>
              <w:spacing w:after="0"/>
              <w:rPr>
                <w:sz w:val="20"/>
                <w:szCs w:val="20"/>
                <w:color w:val="auto"/>
              </w:rPr>
            </w:pPr>
            <w:r>
              <w:rPr>
                <w:rFonts w:ascii="Arial" w:cs="Arial" w:eastAsia="Arial" w:hAnsi="Arial"/>
                <w:sz w:val="14"/>
                <w:szCs w:val="14"/>
                <w:color w:val="auto"/>
                <w:w w:val="98"/>
              </w:rPr>
              <w:t>2.0x</w:t>
            </w:r>
          </w:p>
        </w:tc>
        <w:tc>
          <w:tcPr>
            <w:tcW w:w="2900" w:type="dxa"/>
            <w:vAlign w:val="bottom"/>
            <w:shd w:val="clear" w:color="auto" w:fill="F5F5F5"/>
          </w:tcPr>
          <w:p>
            <w:pPr>
              <w:jc w:val="center"/>
              <w:ind w:right="28"/>
              <w:spacing w:after="0"/>
              <w:rPr>
                <w:sz w:val="20"/>
                <w:szCs w:val="20"/>
                <w:color w:val="auto"/>
              </w:rPr>
            </w:pPr>
            <w:r>
              <w:rPr>
                <w:rFonts w:ascii="Arial" w:cs="Arial" w:eastAsia="Arial" w:hAnsi="Arial"/>
                <w:sz w:val="14"/>
                <w:szCs w:val="14"/>
                <w:color w:val="auto"/>
              </w:rPr>
              <w:t>24 months</w:t>
            </w:r>
          </w:p>
        </w:tc>
      </w:tr>
      <w:tr>
        <w:trPr>
          <w:trHeight w:val="123"/>
        </w:trPr>
        <w:tc>
          <w:tcPr>
            <w:tcW w:w="3820" w:type="dxa"/>
            <w:vAlign w:val="bottom"/>
            <w:shd w:val="clear" w:color="auto" w:fill="F5F5F5"/>
          </w:tcPr>
          <w:p>
            <w:pPr>
              <w:spacing w:after="0"/>
              <w:rPr>
                <w:sz w:val="10"/>
                <w:szCs w:val="10"/>
                <w:color w:val="auto"/>
              </w:rPr>
            </w:pPr>
          </w:p>
        </w:tc>
        <w:tc>
          <w:tcPr>
            <w:tcW w:w="4520" w:type="dxa"/>
            <w:vAlign w:val="bottom"/>
            <w:shd w:val="clear" w:color="auto" w:fill="F5F5F5"/>
          </w:tcPr>
          <w:p>
            <w:pPr>
              <w:spacing w:after="0"/>
              <w:rPr>
                <w:sz w:val="10"/>
                <w:szCs w:val="10"/>
                <w:color w:val="auto"/>
              </w:rPr>
            </w:pPr>
          </w:p>
        </w:tc>
        <w:tc>
          <w:tcPr>
            <w:tcW w:w="2900" w:type="dxa"/>
            <w:vAlign w:val="bottom"/>
            <w:shd w:val="clear" w:color="auto" w:fill="F5F5F5"/>
          </w:tcPr>
          <w:p>
            <w:pPr>
              <w:spacing w:after="0"/>
              <w:rPr>
                <w:sz w:val="10"/>
                <w:szCs w:val="10"/>
                <w:color w:val="auto"/>
              </w:rPr>
            </w:pPr>
          </w:p>
        </w:tc>
      </w:tr>
      <w:tr>
        <w:trPr>
          <w:trHeight w:val="322"/>
        </w:trPr>
        <w:tc>
          <w:tcPr>
            <w:tcW w:w="3820" w:type="dxa"/>
            <w:vAlign w:val="bottom"/>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4520" w:type="dxa"/>
            <w:vAlign w:val="bottom"/>
          </w:tcPr>
          <w:p>
            <w:pPr>
              <w:jc w:val="center"/>
              <w:ind w:left="1188"/>
              <w:spacing w:after="0"/>
              <w:rPr>
                <w:sz w:val="20"/>
                <w:szCs w:val="20"/>
                <w:color w:val="auto"/>
              </w:rPr>
            </w:pPr>
            <w:r>
              <w:rPr>
                <w:rFonts w:ascii="Arial" w:cs="Arial" w:eastAsia="Arial" w:hAnsi="Arial"/>
                <w:sz w:val="14"/>
                <w:szCs w:val="14"/>
                <w:color w:val="auto"/>
                <w:w w:val="98"/>
              </w:rPr>
              <w:t>2.0x</w:t>
            </w:r>
          </w:p>
        </w:tc>
        <w:tc>
          <w:tcPr>
            <w:tcW w:w="2900" w:type="dxa"/>
            <w:vAlign w:val="bottom"/>
          </w:tcPr>
          <w:p>
            <w:pPr>
              <w:jc w:val="center"/>
              <w:ind w:right="28"/>
              <w:spacing w:after="0"/>
              <w:rPr>
                <w:sz w:val="20"/>
                <w:szCs w:val="20"/>
                <w:color w:val="auto"/>
              </w:rPr>
            </w:pPr>
            <w:r>
              <w:rPr>
                <w:rFonts w:ascii="Arial" w:cs="Arial" w:eastAsia="Arial" w:hAnsi="Arial"/>
                <w:sz w:val="14"/>
                <w:szCs w:val="14"/>
                <w:color w:val="auto"/>
              </w:rPr>
              <w:t>24 months</w:t>
            </w:r>
          </w:p>
        </w:tc>
      </w:tr>
      <w:tr>
        <w:trPr>
          <w:trHeight w:val="124"/>
        </w:trPr>
        <w:tc>
          <w:tcPr>
            <w:tcW w:w="38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900" w:type="dxa"/>
            <w:vAlign w:val="bottom"/>
          </w:tcPr>
          <w:p>
            <w:pPr>
              <w:spacing w:after="0"/>
              <w:rPr>
                <w:sz w:val="10"/>
                <w:szCs w:val="10"/>
                <w:color w:val="auto"/>
              </w:rPr>
            </w:pPr>
          </w:p>
        </w:tc>
      </w:tr>
      <w:tr>
        <w:trPr>
          <w:trHeight w:val="322"/>
        </w:trPr>
        <w:tc>
          <w:tcPr>
            <w:tcW w:w="38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Aurora Swithenbank</w:t>
            </w:r>
          </w:p>
        </w:tc>
        <w:tc>
          <w:tcPr>
            <w:tcW w:w="4520" w:type="dxa"/>
            <w:vAlign w:val="bottom"/>
            <w:shd w:val="clear" w:color="auto" w:fill="F5F5F5"/>
          </w:tcPr>
          <w:p>
            <w:pPr>
              <w:jc w:val="center"/>
              <w:ind w:left="1188"/>
              <w:spacing w:after="0"/>
              <w:rPr>
                <w:sz w:val="20"/>
                <w:szCs w:val="20"/>
                <w:color w:val="auto"/>
              </w:rPr>
            </w:pPr>
            <w:r>
              <w:rPr>
                <w:rFonts w:ascii="Arial" w:cs="Arial" w:eastAsia="Arial" w:hAnsi="Arial"/>
                <w:sz w:val="14"/>
                <w:szCs w:val="14"/>
                <w:color w:val="auto"/>
                <w:w w:val="98"/>
              </w:rPr>
              <w:t>1.5x</w:t>
            </w:r>
          </w:p>
        </w:tc>
        <w:tc>
          <w:tcPr>
            <w:tcW w:w="2900" w:type="dxa"/>
            <w:vAlign w:val="bottom"/>
            <w:shd w:val="clear" w:color="auto" w:fill="F5F5F5"/>
          </w:tcPr>
          <w:p>
            <w:pPr>
              <w:jc w:val="center"/>
              <w:ind w:right="28"/>
              <w:spacing w:after="0"/>
              <w:rPr>
                <w:sz w:val="20"/>
                <w:szCs w:val="20"/>
                <w:color w:val="auto"/>
              </w:rPr>
            </w:pPr>
            <w:r>
              <w:rPr>
                <w:rFonts w:ascii="Arial" w:cs="Arial" w:eastAsia="Arial" w:hAnsi="Arial"/>
                <w:sz w:val="14"/>
                <w:szCs w:val="14"/>
                <w:color w:val="auto"/>
              </w:rPr>
              <w:t>18 months</w:t>
            </w:r>
          </w:p>
        </w:tc>
      </w:tr>
      <w:tr>
        <w:trPr>
          <w:trHeight w:val="123"/>
        </w:trPr>
        <w:tc>
          <w:tcPr>
            <w:tcW w:w="3820" w:type="dxa"/>
            <w:vAlign w:val="bottom"/>
            <w:shd w:val="clear" w:color="auto" w:fill="F5F5F5"/>
          </w:tcPr>
          <w:p>
            <w:pPr>
              <w:spacing w:after="0"/>
              <w:rPr>
                <w:sz w:val="10"/>
                <w:szCs w:val="10"/>
                <w:color w:val="auto"/>
              </w:rPr>
            </w:pPr>
          </w:p>
        </w:tc>
        <w:tc>
          <w:tcPr>
            <w:tcW w:w="4520" w:type="dxa"/>
            <w:vAlign w:val="bottom"/>
            <w:shd w:val="clear" w:color="auto" w:fill="F5F5F5"/>
          </w:tcPr>
          <w:p>
            <w:pPr>
              <w:spacing w:after="0"/>
              <w:rPr>
                <w:sz w:val="10"/>
                <w:szCs w:val="10"/>
                <w:color w:val="auto"/>
              </w:rPr>
            </w:pPr>
          </w:p>
        </w:tc>
        <w:tc>
          <w:tcPr>
            <w:tcW w:w="2900" w:type="dxa"/>
            <w:vAlign w:val="bottom"/>
            <w:shd w:val="clear" w:color="auto" w:fill="F5F5F5"/>
          </w:tcPr>
          <w:p>
            <w:pPr>
              <w:spacing w:after="0"/>
              <w:rPr>
                <w:sz w:val="10"/>
                <w:szCs w:val="10"/>
                <w:color w:val="auto"/>
              </w:rPr>
            </w:pPr>
          </w:p>
        </w:tc>
      </w:tr>
      <w:tr>
        <w:trPr>
          <w:trHeight w:val="322"/>
        </w:trPr>
        <w:tc>
          <w:tcPr>
            <w:tcW w:w="3820" w:type="dxa"/>
            <w:vAlign w:val="bottom"/>
          </w:tcPr>
          <w:p>
            <w:pPr>
              <w:ind w:left="140"/>
              <w:spacing w:after="0"/>
              <w:rPr>
                <w:sz w:val="20"/>
                <w:szCs w:val="20"/>
                <w:color w:val="auto"/>
              </w:rPr>
            </w:pPr>
            <w:r>
              <w:rPr>
                <w:rFonts w:ascii="Arial" w:cs="Arial" w:eastAsia="Arial" w:hAnsi="Arial"/>
                <w:sz w:val="14"/>
                <w:szCs w:val="14"/>
                <w:b w:val="1"/>
                <w:bCs w:val="1"/>
                <w:color w:val="005388"/>
              </w:rPr>
              <w:t>William J. Leatherberry</w:t>
            </w:r>
          </w:p>
        </w:tc>
        <w:tc>
          <w:tcPr>
            <w:tcW w:w="4520" w:type="dxa"/>
            <w:vAlign w:val="bottom"/>
          </w:tcPr>
          <w:p>
            <w:pPr>
              <w:jc w:val="center"/>
              <w:ind w:left="1188"/>
              <w:spacing w:after="0"/>
              <w:rPr>
                <w:sz w:val="20"/>
                <w:szCs w:val="20"/>
                <w:color w:val="auto"/>
              </w:rPr>
            </w:pPr>
            <w:r>
              <w:rPr>
                <w:rFonts w:ascii="Arial" w:cs="Arial" w:eastAsia="Arial" w:hAnsi="Arial"/>
                <w:sz w:val="14"/>
                <w:szCs w:val="14"/>
                <w:color w:val="auto"/>
                <w:w w:val="98"/>
              </w:rPr>
              <w:t>1.5x</w:t>
            </w:r>
          </w:p>
        </w:tc>
        <w:tc>
          <w:tcPr>
            <w:tcW w:w="2900" w:type="dxa"/>
            <w:vAlign w:val="bottom"/>
          </w:tcPr>
          <w:p>
            <w:pPr>
              <w:jc w:val="center"/>
              <w:ind w:right="28"/>
              <w:spacing w:after="0"/>
              <w:rPr>
                <w:sz w:val="20"/>
                <w:szCs w:val="20"/>
                <w:color w:val="auto"/>
              </w:rPr>
            </w:pPr>
            <w:r>
              <w:rPr>
                <w:rFonts w:ascii="Arial" w:cs="Arial" w:eastAsia="Arial" w:hAnsi="Arial"/>
                <w:sz w:val="14"/>
                <w:szCs w:val="14"/>
                <w:color w:val="auto"/>
              </w:rPr>
              <w:t>18 months</w:t>
            </w:r>
          </w:p>
        </w:tc>
      </w:tr>
      <w:tr>
        <w:trPr>
          <w:trHeight w:val="124"/>
        </w:trPr>
        <w:tc>
          <w:tcPr>
            <w:tcW w:w="38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900" w:type="dxa"/>
            <w:vAlign w:val="bottom"/>
          </w:tcPr>
          <w:p>
            <w:pPr>
              <w:spacing w:after="0"/>
              <w:rPr>
                <w:sz w:val="10"/>
                <w:szCs w:val="10"/>
                <w:color w:val="auto"/>
              </w:rPr>
            </w:pPr>
          </w:p>
        </w:tc>
      </w:tr>
      <w:tr>
        <w:trPr>
          <w:trHeight w:val="322"/>
        </w:trPr>
        <w:tc>
          <w:tcPr>
            <w:tcW w:w="382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5388"/>
              </w:rPr>
              <w:t>Robert Smith</w:t>
            </w:r>
          </w:p>
        </w:tc>
        <w:tc>
          <w:tcPr>
            <w:tcW w:w="4520" w:type="dxa"/>
            <w:vAlign w:val="bottom"/>
            <w:shd w:val="clear" w:color="auto" w:fill="F5F5F5"/>
          </w:tcPr>
          <w:p>
            <w:pPr>
              <w:jc w:val="center"/>
              <w:ind w:left="1188"/>
              <w:spacing w:after="0"/>
              <w:rPr>
                <w:sz w:val="20"/>
                <w:szCs w:val="20"/>
                <w:color w:val="auto"/>
              </w:rPr>
            </w:pPr>
            <w:r>
              <w:rPr>
                <w:rFonts w:ascii="Arial" w:cs="Arial" w:eastAsia="Arial" w:hAnsi="Arial"/>
                <w:sz w:val="14"/>
                <w:szCs w:val="14"/>
                <w:color w:val="auto"/>
                <w:w w:val="98"/>
              </w:rPr>
              <w:t>1.5x</w:t>
            </w:r>
          </w:p>
        </w:tc>
        <w:tc>
          <w:tcPr>
            <w:tcW w:w="2900" w:type="dxa"/>
            <w:vAlign w:val="bottom"/>
            <w:shd w:val="clear" w:color="auto" w:fill="F5F5F5"/>
          </w:tcPr>
          <w:p>
            <w:pPr>
              <w:jc w:val="center"/>
              <w:ind w:right="28"/>
              <w:spacing w:after="0"/>
              <w:rPr>
                <w:sz w:val="20"/>
                <w:szCs w:val="20"/>
                <w:color w:val="auto"/>
              </w:rPr>
            </w:pPr>
            <w:r>
              <w:rPr>
                <w:rFonts w:ascii="Arial" w:cs="Arial" w:eastAsia="Arial" w:hAnsi="Arial"/>
                <w:sz w:val="14"/>
                <w:szCs w:val="14"/>
                <w:color w:val="auto"/>
              </w:rPr>
              <w:t>18 months</w:t>
            </w:r>
          </w:p>
        </w:tc>
      </w:tr>
      <w:tr>
        <w:trPr>
          <w:trHeight w:val="123"/>
        </w:trPr>
        <w:tc>
          <w:tcPr>
            <w:tcW w:w="3820" w:type="dxa"/>
            <w:vAlign w:val="bottom"/>
            <w:tcBorders>
              <w:bottom w:val="single" w:sz="8" w:color="DE762B"/>
            </w:tcBorders>
            <w:shd w:val="clear" w:color="auto" w:fill="F5F5F5"/>
          </w:tcPr>
          <w:p>
            <w:pPr>
              <w:spacing w:after="0"/>
              <w:rPr>
                <w:sz w:val="10"/>
                <w:szCs w:val="10"/>
                <w:color w:val="auto"/>
              </w:rPr>
            </w:pPr>
          </w:p>
        </w:tc>
        <w:tc>
          <w:tcPr>
            <w:tcW w:w="4520" w:type="dxa"/>
            <w:vAlign w:val="bottom"/>
            <w:tcBorders>
              <w:bottom w:val="single" w:sz="8" w:color="DE762B"/>
            </w:tcBorders>
            <w:shd w:val="clear" w:color="auto" w:fill="F5F5F5"/>
          </w:tcPr>
          <w:p>
            <w:pPr>
              <w:spacing w:after="0"/>
              <w:rPr>
                <w:sz w:val="10"/>
                <w:szCs w:val="10"/>
                <w:color w:val="auto"/>
              </w:rPr>
            </w:pPr>
          </w:p>
        </w:tc>
        <w:tc>
          <w:tcPr>
            <w:tcW w:w="2900" w:type="dxa"/>
            <w:vAlign w:val="bottom"/>
            <w:tcBorders>
              <w:bottom w:val="single" w:sz="8" w:color="DE762B"/>
            </w:tcBorders>
            <w:shd w:val="clear" w:color="auto" w:fill="F5F5F5"/>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5204460</wp:posOffset>
            </wp:positionH>
            <wp:positionV relativeFrom="paragraph">
              <wp:posOffset>-1435100</wp:posOffset>
            </wp:positionV>
            <wp:extent cx="33655" cy="1439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1439545"/>
                    </a:xfrm>
                    <a:prstGeom prst="rect">
                      <a:avLst/>
                    </a:prstGeom>
                    <a:noFill/>
                  </pic:spPr>
                </pic:pic>
              </a:graphicData>
            </a:graphic>
          </wp:anchor>
        </w:drawing>
        <w:drawing>
          <wp:anchor simplePos="0" relativeHeight="251657728" behindDoc="1" locked="0" layoutInCell="0" allowOverlap="1">
            <wp:simplePos x="0" y="0"/>
            <wp:positionH relativeFrom="column">
              <wp:posOffset>3284220</wp:posOffset>
            </wp:positionH>
            <wp:positionV relativeFrom="paragraph">
              <wp:posOffset>-1435100</wp:posOffset>
            </wp:positionV>
            <wp:extent cx="33655" cy="1439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1439545"/>
                    </a:xfrm>
                    <a:prstGeom prst="rect">
                      <a:avLst/>
                    </a:prstGeom>
                    <a:noFill/>
                  </pic:spPr>
                </pic:pic>
              </a:graphicData>
            </a:graphic>
          </wp:anchor>
        </w:drawing>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CIC Severance Plan requires a "double-trigger" to be eligible for benefits, meaning that upon a participant's termination of employment without "Cause" or for "Good Reason" (in each case as defined in the CIC Severance Plan) within 24 months after a "Change in Control" (as defined in the CIC Severance Plan), or six months before a Change in Control (if the termination within that six month period occurs after a definitive agreement that contemplates such Change in Control is executed and the Change in Control actually occurs), such participant shall be entitled to the following payments, subject to the participant's execution and non-revocation of a release of claims:</w:t>
      </w:r>
    </w:p>
    <w:p>
      <w:pPr>
        <w:spacing w:after="0" w:line="83" w:lineRule="exact"/>
        <w:rPr>
          <w:sz w:val="20"/>
          <w:szCs w:val="20"/>
          <w:color w:val="auto"/>
        </w:rPr>
      </w:pPr>
    </w:p>
    <w:p>
      <w:pPr>
        <w:ind w:left="260" w:right="20" w:hanging="252"/>
        <w:spacing w:after="0" w:line="286" w:lineRule="auto"/>
        <w:tabs>
          <w:tab w:leader="none" w:pos="222" w:val="left"/>
        </w:tabs>
        <w:numPr>
          <w:ilvl w:val="0"/>
          <w:numId w:val="58"/>
        </w:numPr>
        <w:rPr>
          <w:rFonts w:ascii="Arial" w:cs="Arial" w:eastAsia="Arial" w:hAnsi="Arial"/>
          <w:sz w:val="16"/>
          <w:szCs w:val="16"/>
          <w:color w:val="005388"/>
        </w:rPr>
      </w:pPr>
      <w:r>
        <w:rPr>
          <w:rFonts w:ascii="Arial" w:cs="Arial" w:eastAsia="Arial" w:hAnsi="Arial"/>
          <w:sz w:val="16"/>
          <w:szCs w:val="16"/>
          <w:color w:val="auto"/>
        </w:rPr>
        <w:t>a lump sum cash payment equal to (A) the sum of the participant's base salary and target annual incentive bonus, in each case, as in effect immediately prior to the termination, multiplied by (B) the participant's Severance Multiple;</w:t>
      </w:r>
    </w:p>
    <w:p>
      <w:pPr>
        <w:spacing w:after="0" w:line="47" w:lineRule="exact"/>
        <w:rPr>
          <w:rFonts w:ascii="Arial" w:cs="Arial" w:eastAsia="Arial" w:hAnsi="Arial"/>
          <w:sz w:val="16"/>
          <w:szCs w:val="16"/>
          <w:color w:val="005388"/>
        </w:rPr>
      </w:pPr>
    </w:p>
    <w:p>
      <w:pPr>
        <w:ind w:left="260" w:hanging="252"/>
        <w:spacing w:after="0" w:line="304" w:lineRule="auto"/>
        <w:tabs>
          <w:tab w:leader="none" w:pos="222" w:val="left"/>
        </w:tabs>
        <w:numPr>
          <w:ilvl w:val="0"/>
          <w:numId w:val="58"/>
        </w:numPr>
        <w:rPr>
          <w:rFonts w:ascii="Arial" w:cs="Arial" w:eastAsia="Arial" w:hAnsi="Arial"/>
          <w:sz w:val="16"/>
          <w:szCs w:val="16"/>
          <w:color w:val="005388"/>
        </w:rPr>
      </w:pPr>
      <w:r>
        <w:rPr>
          <w:rFonts w:ascii="Arial" w:cs="Arial" w:eastAsia="Arial" w:hAnsi="Arial"/>
          <w:sz w:val="16"/>
          <w:szCs w:val="16"/>
          <w:color w:val="auto"/>
        </w:rPr>
        <w:t>a lump sum cash payment equal to the participant's target annual incentive bonus for the fiscal year in which the participant is terminated, pro-rated through the date of termination as described in the CIC Severance Plan;</w:t>
      </w:r>
    </w:p>
    <w:p>
      <w:pPr>
        <w:spacing w:after="0" w:line="33" w:lineRule="exact"/>
        <w:rPr>
          <w:rFonts w:ascii="Arial" w:cs="Arial" w:eastAsia="Arial" w:hAnsi="Arial"/>
          <w:sz w:val="16"/>
          <w:szCs w:val="16"/>
          <w:color w:val="005388"/>
        </w:rPr>
      </w:pPr>
    </w:p>
    <w:p>
      <w:pPr>
        <w:ind w:left="260" w:hanging="252"/>
        <w:spacing w:after="0" w:line="304" w:lineRule="auto"/>
        <w:tabs>
          <w:tab w:leader="none" w:pos="222" w:val="left"/>
        </w:tabs>
        <w:numPr>
          <w:ilvl w:val="0"/>
          <w:numId w:val="58"/>
        </w:numPr>
        <w:rPr>
          <w:rFonts w:ascii="Arial" w:cs="Arial" w:eastAsia="Arial" w:hAnsi="Arial"/>
          <w:sz w:val="16"/>
          <w:szCs w:val="16"/>
          <w:color w:val="005388"/>
        </w:rPr>
      </w:pPr>
      <w:r>
        <w:rPr>
          <w:rFonts w:ascii="Arial" w:cs="Arial" w:eastAsia="Arial" w:hAnsi="Arial"/>
          <w:sz w:val="16"/>
          <w:szCs w:val="16"/>
          <w:color w:val="auto"/>
        </w:rPr>
        <w:t>a lump sum cash payment equal to the cost of monthly healthcare premiums in effect as of the date of termination for the duration of the participant's COBRA Period; and</w:t>
      </w:r>
    </w:p>
    <w:p>
      <w:pPr>
        <w:spacing w:after="0" w:line="33" w:lineRule="exact"/>
        <w:rPr>
          <w:rFonts w:ascii="Arial" w:cs="Arial" w:eastAsia="Arial" w:hAnsi="Arial"/>
          <w:sz w:val="16"/>
          <w:szCs w:val="16"/>
          <w:color w:val="005388"/>
        </w:rPr>
      </w:pPr>
    </w:p>
    <w:p>
      <w:pPr>
        <w:ind w:left="260" w:hanging="252"/>
        <w:spacing w:after="0" w:line="286" w:lineRule="auto"/>
        <w:tabs>
          <w:tab w:leader="none" w:pos="222" w:val="left"/>
        </w:tabs>
        <w:numPr>
          <w:ilvl w:val="0"/>
          <w:numId w:val="58"/>
        </w:numPr>
        <w:rPr>
          <w:rFonts w:ascii="Arial" w:cs="Arial" w:eastAsia="Arial" w:hAnsi="Arial"/>
          <w:sz w:val="16"/>
          <w:szCs w:val="16"/>
          <w:color w:val="005388"/>
        </w:rPr>
      </w:pPr>
      <w:r>
        <w:rPr>
          <w:rFonts w:ascii="Arial" w:cs="Arial" w:eastAsia="Arial" w:hAnsi="Arial"/>
          <w:sz w:val="16"/>
          <w:szCs w:val="16"/>
          <w:color w:val="auto"/>
        </w:rPr>
        <w:t>any other earned and vested amounts or benefits that the Company is required to pay or provide or which the participant is eligible to receive from the Company through the date of the termination, to the extent not yet paid or provided.</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the Compensation Committee of the Board of Directors of the Company, have reviewed and discussed the Compensation Discussion and Analysis contained in this proxy statement with the Company's management. Based on such review and discussion, we recommend to the Board that the Compensation Discussion and Analysis be included in this proxy statement.</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0C2940"/>
        </w:rPr>
        <w:t>Members of the Compensation Committee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color w:val="auto"/>
        </w:rPr>
        <w:t>Steven L. Scheid (Chair)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Michael Embler</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Priya Huskins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48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COMPENSATION AND RELATED TABLES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2025 </w:t>
      </w:r>
      <w:r>
        <w:rPr>
          <w:rFonts w:ascii="Arial" w:cs="Arial" w:eastAsia="Arial" w:hAnsi="Arial"/>
          <w:sz w:val="16"/>
          <w:szCs w:val="16"/>
          <w:color w:val="0C2940"/>
        </w:rPr>
        <w:t>SUMMARY COMPENSATION TABLE</w:t>
      </w:r>
    </w:p>
    <w:p>
      <w:pPr>
        <w:spacing w:after="0" w:line="5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summary compensation table sets forth information regarding the compensation paid, awarded to or earned by our NEOs who were serving as executive officers on December 31, 2025, for services rendered in all capacities during the fiscal years presented.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880" w:type="dxa"/>
            <w:vAlign w:val="bottom"/>
            <w:shd w:val="clear" w:color="auto" w:fill="0C2940"/>
          </w:tcPr>
          <w:p>
            <w:pPr>
              <w:spacing w:after="0"/>
              <w:rPr>
                <w:sz w:val="16"/>
                <w:szCs w:val="16"/>
                <w:color w:val="auto"/>
              </w:rPr>
            </w:pPr>
          </w:p>
        </w:tc>
        <w:tc>
          <w:tcPr>
            <w:tcW w:w="640" w:type="dxa"/>
            <w:vAlign w:val="bottom"/>
            <w:shd w:val="clear" w:color="auto" w:fill="0C2940"/>
          </w:tcPr>
          <w:p>
            <w:pPr>
              <w:spacing w:after="0"/>
              <w:rPr>
                <w:sz w:val="16"/>
                <w:szCs w:val="16"/>
                <w:color w:val="auto"/>
              </w:rPr>
            </w:pPr>
          </w:p>
        </w:tc>
        <w:tc>
          <w:tcPr>
            <w:tcW w:w="860" w:type="dxa"/>
            <w:vAlign w:val="bottom"/>
            <w:shd w:val="clear" w:color="auto" w:fill="0C2940"/>
          </w:tcPr>
          <w:p>
            <w:pPr>
              <w:spacing w:after="0"/>
              <w:rPr>
                <w:sz w:val="16"/>
                <w:szCs w:val="16"/>
                <w:color w:val="auto"/>
              </w:rPr>
            </w:pPr>
          </w:p>
        </w:tc>
        <w:tc>
          <w:tcPr>
            <w:tcW w:w="1220" w:type="dxa"/>
            <w:vAlign w:val="bottom"/>
            <w:shd w:val="clear" w:color="auto" w:fill="0C2940"/>
          </w:tcPr>
          <w:p>
            <w:pPr>
              <w:spacing w:after="0"/>
              <w:rPr>
                <w:sz w:val="16"/>
                <w:szCs w:val="16"/>
                <w:color w:val="auto"/>
              </w:rPr>
            </w:pPr>
          </w:p>
        </w:tc>
        <w:tc>
          <w:tcPr>
            <w:tcW w:w="1180" w:type="dxa"/>
            <w:vAlign w:val="bottom"/>
            <w:shd w:val="clear" w:color="auto" w:fill="0C2940"/>
          </w:tcPr>
          <w:p>
            <w:pPr>
              <w:spacing w:after="0"/>
              <w:rPr>
                <w:sz w:val="16"/>
                <w:szCs w:val="16"/>
                <w:color w:val="auto"/>
              </w:rPr>
            </w:pPr>
          </w:p>
        </w:tc>
        <w:tc>
          <w:tcPr>
            <w:tcW w:w="1720" w:type="dxa"/>
            <w:vAlign w:val="bottom"/>
            <w:shd w:val="clear" w:color="auto" w:fill="0C2940"/>
          </w:tcPr>
          <w:p>
            <w:pPr>
              <w:jc w:val="right"/>
              <w:ind w:right="210"/>
              <w:spacing w:after="0"/>
              <w:rPr>
                <w:sz w:val="20"/>
                <w:szCs w:val="20"/>
                <w:color w:val="auto"/>
              </w:rPr>
            </w:pPr>
            <w:r>
              <w:rPr>
                <w:rFonts w:ascii="Arial" w:cs="Arial" w:eastAsia="Arial" w:hAnsi="Arial"/>
                <w:sz w:val="14"/>
                <w:szCs w:val="14"/>
                <w:color w:val="FFFFFF"/>
              </w:rPr>
              <w:t>NON-EQUITY</w:t>
            </w:r>
          </w:p>
        </w:tc>
        <w:tc>
          <w:tcPr>
            <w:tcW w:w="2120" w:type="dxa"/>
            <w:vAlign w:val="bottom"/>
            <w:shd w:val="clear" w:color="auto" w:fill="0C2940"/>
          </w:tcPr>
          <w:p>
            <w:pPr>
              <w:spacing w:after="0"/>
              <w:rPr>
                <w:sz w:val="16"/>
                <w:szCs w:val="16"/>
                <w:color w:val="auto"/>
              </w:rPr>
            </w:pPr>
          </w:p>
        </w:tc>
        <w:tc>
          <w:tcPr>
            <w:tcW w:w="1460" w:type="dxa"/>
            <w:vAlign w:val="bottom"/>
            <w:shd w:val="clear" w:color="auto" w:fill="0C2940"/>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0C2940"/>
          </w:tcPr>
          <w:p>
            <w:pPr>
              <w:spacing w:after="0"/>
              <w:rPr>
                <w:sz w:val="14"/>
                <w:szCs w:val="14"/>
                <w:color w:val="auto"/>
              </w:rPr>
            </w:pPr>
          </w:p>
        </w:tc>
        <w:tc>
          <w:tcPr>
            <w:tcW w:w="640" w:type="dxa"/>
            <w:vAlign w:val="bottom"/>
            <w:shd w:val="clear" w:color="auto" w:fill="0C2940"/>
          </w:tcPr>
          <w:p>
            <w:pPr>
              <w:spacing w:after="0"/>
              <w:rPr>
                <w:sz w:val="14"/>
                <w:szCs w:val="14"/>
                <w:color w:val="auto"/>
              </w:rPr>
            </w:pPr>
          </w:p>
        </w:tc>
        <w:tc>
          <w:tcPr>
            <w:tcW w:w="860" w:type="dxa"/>
            <w:vAlign w:val="bottom"/>
            <w:shd w:val="clear" w:color="auto" w:fill="0C2940"/>
          </w:tcPr>
          <w:p>
            <w:pPr>
              <w:spacing w:after="0"/>
              <w:rPr>
                <w:sz w:val="14"/>
                <w:szCs w:val="14"/>
                <w:color w:val="auto"/>
              </w:rPr>
            </w:pPr>
          </w:p>
        </w:tc>
        <w:tc>
          <w:tcPr>
            <w:tcW w:w="1220" w:type="dxa"/>
            <w:vAlign w:val="bottom"/>
            <w:shd w:val="clear" w:color="auto" w:fill="0C2940"/>
          </w:tcPr>
          <w:p>
            <w:pPr>
              <w:spacing w:after="0"/>
              <w:rPr>
                <w:sz w:val="14"/>
                <w:szCs w:val="14"/>
                <w:color w:val="auto"/>
              </w:rPr>
            </w:pPr>
          </w:p>
        </w:tc>
        <w:tc>
          <w:tcPr>
            <w:tcW w:w="1180" w:type="dxa"/>
            <w:vAlign w:val="bottom"/>
            <w:shd w:val="clear" w:color="auto" w:fill="0C2940"/>
          </w:tcPr>
          <w:p>
            <w:pPr>
              <w:spacing w:after="0"/>
              <w:rPr>
                <w:sz w:val="14"/>
                <w:szCs w:val="14"/>
                <w:color w:val="auto"/>
              </w:rPr>
            </w:pPr>
          </w:p>
        </w:tc>
        <w:tc>
          <w:tcPr>
            <w:tcW w:w="1720" w:type="dxa"/>
            <w:vAlign w:val="bottom"/>
            <w:shd w:val="clear" w:color="auto" w:fill="0C2940"/>
          </w:tcPr>
          <w:p>
            <w:pPr>
              <w:jc w:val="right"/>
              <w:ind w:right="210"/>
              <w:spacing w:after="0"/>
              <w:rPr>
                <w:sz w:val="20"/>
                <w:szCs w:val="20"/>
                <w:color w:val="auto"/>
              </w:rPr>
            </w:pPr>
            <w:r>
              <w:rPr>
                <w:rFonts w:ascii="Arial" w:cs="Arial" w:eastAsia="Arial" w:hAnsi="Arial"/>
                <w:sz w:val="14"/>
                <w:szCs w:val="14"/>
                <w:color w:val="FFFFFF"/>
              </w:rPr>
              <w:t>INCENTIVE PLAN</w:t>
            </w:r>
          </w:p>
        </w:tc>
        <w:tc>
          <w:tcPr>
            <w:tcW w:w="2120" w:type="dxa"/>
            <w:vAlign w:val="bottom"/>
            <w:shd w:val="clear" w:color="auto" w:fill="0C2940"/>
          </w:tcPr>
          <w:p>
            <w:pPr>
              <w:jc w:val="right"/>
              <w:ind w:right="628"/>
              <w:spacing w:after="0"/>
              <w:rPr>
                <w:sz w:val="20"/>
                <w:szCs w:val="20"/>
                <w:color w:val="auto"/>
              </w:rPr>
            </w:pPr>
            <w:r>
              <w:rPr>
                <w:rFonts w:ascii="Arial" w:cs="Arial" w:eastAsia="Arial" w:hAnsi="Arial"/>
                <w:sz w:val="14"/>
                <w:szCs w:val="14"/>
                <w:color w:val="FFFFFF"/>
              </w:rPr>
              <w:t>ALL OTHER</w:t>
            </w:r>
          </w:p>
        </w:tc>
        <w:tc>
          <w:tcPr>
            <w:tcW w:w="1460" w:type="dxa"/>
            <w:vAlign w:val="bottom"/>
            <w:shd w:val="clear" w:color="auto" w:fill="0C2940"/>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NAME AND PRINCIPAL</w:t>
            </w:r>
          </w:p>
        </w:tc>
        <w:tc>
          <w:tcPr>
            <w:tcW w:w="640" w:type="dxa"/>
            <w:vAlign w:val="bottom"/>
            <w:shd w:val="clear" w:color="auto" w:fill="0C2940"/>
          </w:tcPr>
          <w:p>
            <w:pPr>
              <w:spacing w:after="0"/>
              <w:rPr>
                <w:sz w:val="15"/>
                <w:szCs w:val="15"/>
                <w:color w:val="auto"/>
              </w:rPr>
            </w:pPr>
          </w:p>
        </w:tc>
        <w:tc>
          <w:tcPr>
            <w:tcW w:w="8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SALARY</w:t>
            </w:r>
          </w:p>
        </w:tc>
        <w:tc>
          <w:tcPr>
            <w:tcW w:w="2400" w:type="dxa"/>
            <w:vAlign w:val="bottom"/>
            <w:gridSpan w:val="2"/>
            <w:shd w:val="clear" w:color="auto" w:fill="0C2940"/>
          </w:tcPr>
          <w:p>
            <w:pPr>
              <w:jc w:val="right"/>
              <w:ind w:right="190"/>
              <w:spacing w:after="0"/>
              <w:rPr>
                <w:sz w:val="20"/>
                <w:szCs w:val="20"/>
                <w:color w:val="auto"/>
              </w:rPr>
            </w:pPr>
            <w:r>
              <w:rPr>
                <w:rFonts w:ascii="Arial" w:cs="Arial" w:eastAsia="Arial" w:hAnsi="Arial"/>
                <w:sz w:val="14"/>
                <w:szCs w:val="14"/>
                <w:color w:val="FFFFFF"/>
              </w:rPr>
              <w:t>BONUS STOCK AWARDS</w:t>
            </w:r>
          </w:p>
        </w:tc>
        <w:tc>
          <w:tcPr>
            <w:tcW w:w="1720" w:type="dxa"/>
            <w:vAlign w:val="bottom"/>
            <w:shd w:val="clear" w:color="auto" w:fill="0C2940"/>
          </w:tcPr>
          <w:p>
            <w:pPr>
              <w:jc w:val="right"/>
              <w:ind w:right="210"/>
              <w:spacing w:after="0"/>
              <w:rPr>
                <w:sz w:val="20"/>
                <w:szCs w:val="20"/>
                <w:color w:val="auto"/>
              </w:rPr>
            </w:pPr>
            <w:r>
              <w:rPr>
                <w:rFonts w:ascii="Arial" w:cs="Arial" w:eastAsia="Arial" w:hAnsi="Arial"/>
                <w:sz w:val="14"/>
                <w:szCs w:val="14"/>
                <w:color w:val="FFFFFF"/>
              </w:rPr>
              <w:t>COMPENSATION</w:t>
            </w:r>
          </w:p>
        </w:tc>
        <w:tc>
          <w:tcPr>
            <w:tcW w:w="2120" w:type="dxa"/>
            <w:vAlign w:val="bottom"/>
            <w:shd w:val="clear" w:color="auto" w:fill="0C2940"/>
          </w:tcPr>
          <w:p>
            <w:pPr>
              <w:jc w:val="right"/>
              <w:ind w:right="628"/>
              <w:spacing w:after="0"/>
              <w:rPr>
                <w:sz w:val="20"/>
                <w:szCs w:val="20"/>
                <w:color w:val="auto"/>
              </w:rPr>
            </w:pPr>
            <w:r>
              <w:rPr>
                <w:rFonts w:ascii="Arial" w:cs="Arial" w:eastAsia="Arial" w:hAnsi="Arial"/>
                <w:sz w:val="14"/>
                <w:szCs w:val="14"/>
                <w:color w:val="FFFFFF"/>
              </w:rPr>
              <w:t>COMPENSATION</w:t>
            </w:r>
          </w:p>
        </w:tc>
        <w:tc>
          <w:tcPr>
            <w:tcW w:w="14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TOTAL</w:t>
            </w:r>
          </w:p>
        </w:tc>
        <w:tc>
          <w:tcPr>
            <w:tcW w:w="0" w:type="dxa"/>
            <w:vAlign w:val="bottom"/>
          </w:tcPr>
          <w:p>
            <w:pPr>
              <w:spacing w:after="0"/>
              <w:rPr>
                <w:sz w:val="1"/>
                <w:szCs w:val="1"/>
                <w:color w:val="auto"/>
              </w:rPr>
            </w:pPr>
          </w:p>
        </w:tc>
      </w:tr>
      <w:tr>
        <w:trPr>
          <w:trHeight w:val="248"/>
        </w:trPr>
        <w:tc>
          <w:tcPr>
            <w:tcW w:w="1880" w:type="dxa"/>
            <w:vAlign w:val="bottom"/>
            <w:tcBorders>
              <w:bottom w:val="single" w:sz="8" w:color="0C2940"/>
            </w:tcBorders>
            <w:shd w:val="clear" w:color="auto" w:fill="0C2940"/>
          </w:tcPr>
          <w:p>
            <w:pPr>
              <w:ind w:left="140"/>
              <w:spacing w:after="0"/>
              <w:rPr>
                <w:sz w:val="20"/>
                <w:szCs w:val="20"/>
                <w:color w:val="auto"/>
              </w:rPr>
            </w:pPr>
            <w:r>
              <w:rPr>
                <w:rFonts w:ascii="Arial" w:cs="Arial" w:eastAsia="Arial" w:hAnsi="Arial"/>
                <w:sz w:val="14"/>
                <w:szCs w:val="14"/>
                <w:color w:val="FFFFFF"/>
              </w:rPr>
              <w:t>POSITION</w:t>
            </w:r>
          </w:p>
        </w:tc>
        <w:tc>
          <w:tcPr>
            <w:tcW w:w="64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4"/>
                <w:szCs w:val="14"/>
                <w:color w:val="FFFFFF"/>
              </w:rPr>
              <w:t>YEAR</w:t>
            </w:r>
          </w:p>
        </w:tc>
        <w:tc>
          <w:tcPr>
            <w:tcW w:w="860" w:type="dxa"/>
            <w:vAlign w:val="bottom"/>
            <w:tcBorders>
              <w:bottom w:val="single" w:sz="8" w:color="0C2940"/>
            </w:tcBorders>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220" w:type="dxa"/>
            <w:vAlign w:val="bottom"/>
            <w:tcBorders>
              <w:bottom w:val="single" w:sz="8" w:color="0C2940"/>
            </w:tcBorders>
            <w:shd w:val="clear" w:color="auto" w:fill="0C2940"/>
          </w:tcPr>
          <w:p>
            <w:pPr>
              <w:jc w:val="right"/>
              <w:ind w:right="208"/>
              <w:spacing w:after="0"/>
              <w:rPr>
                <w:sz w:val="20"/>
                <w:szCs w:val="20"/>
                <w:color w:val="auto"/>
              </w:rPr>
            </w:pPr>
            <w:r>
              <w:rPr>
                <w:rFonts w:ascii="Arial" w:cs="Arial" w:eastAsia="Arial" w:hAnsi="Arial"/>
                <w:sz w:val="14"/>
                <w:szCs w:val="14"/>
                <w:color w:val="FFFFFF"/>
              </w:rPr>
              <w:t>($)</w:t>
            </w:r>
          </w:p>
        </w:tc>
        <w:tc>
          <w:tcPr>
            <w:tcW w:w="1180" w:type="dxa"/>
            <w:vAlign w:val="bottom"/>
            <w:tcBorders>
              <w:bottom w:val="single" w:sz="8" w:color="0C2940"/>
            </w:tcBorders>
            <w:shd w:val="clear" w:color="auto" w:fill="0C2940"/>
          </w:tcPr>
          <w:p>
            <w:pPr>
              <w:jc w:val="right"/>
              <w:ind w:right="190"/>
              <w:spacing w:after="0" w:line="214"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9"/>
                <w:szCs w:val="9"/>
                <w:color w:val="FFFFFF"/>
              </w:rPr>
              <w:t>(1)</w:t>
            </w:r>
          </w:p>
        </w:tc>
        <w:tc>
          <w:tcPr>
            <w:tcW w:w="1720" w:type="dxa"/>
            <w:vAlign w:val="bottom"/>
            <w:tcBorders>
              <w:bottom w:val="single" w:sz="8" w:color="0C2940"/>
            </w:tcBorders>
            <w:shd w:val="clear" w:color="auto" w:fill="0C2940"/>
          </w:tcPr>
          <w:p>
            <w:pPr>
              <w:jc w:val="right"/>
              <w:ind w:right="210"/>
              <w:spacing w:after="0" w:line="214"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9"/>
                <w:szCs w:val="9"/>
                <w:color w:val="FFFFFF"/>
              </w:rPr>
              <w:t>(2)</w:t>
            </w:r>
          </w:p>
        </w:tc>
        <w:tc>
          <w:tcPr>
            <w:tcW w:w="2120" w:type="dxa"/>
            <w:vAlign w:val="bottom"/>
            <w:tcBorders>
              <w:bottom w:val="single" w:sz="8" w:color="0C2940"/>
            </w:tcBorders>
            <w:shd w:val="clear" w:color="auto" w:fill="0C2940"/>
          </w:tcPr>
          <w:p>
            <w:pPr>
              <w:jc w:val="right"/>
              <w:ind w:right="628"/>
              <w:spacing w:after="0"/>
              <w:rPr>
                <w:sz w:val="20"/>
                <w:szCs w:val="20"/>
                <w:color w:val="auto"/>
              </w:rPr>
            </w:pPr>
            <w:r>
              <w:rPr>
                <w:rFonts w:ascii="Arial" w:cs="Arial" w:eastAsia="Arial" w:hAnsi="Arial"/>
                <w:sz w:val="14"/>
                <w:szCs w:val="14"/>
                <w:color w:val="FFFFFF"/>
              </w:rPr>
              <w:t>($)</w:t>
            </w:r>
            <w:r>
              <w:rPr>
                <w:rFonts w:ascii="Arial" w:cs="Arial" w:eastAsia="Arial" w:hAnsi="Arial"/>
                <w:sz w:val="18"/>
                <w:szCs w:val="18"/>
                <w:color w:val="FFFFFF"/>
                <w:vertAlign w:val="superscript"/>
              </w:rPr>
              <w:t>(3)</w:t>
            </w:r>
          </w:p>
        </w:tc>
        <w:tc>
          <w:tcPr>
            <w:tcW w:w="1460" w:type="dxa"/>
            <w:vAlign w:val="bottom"/>
            <w:tcBorders>
              <w:bottom w:val="single" w:sz="8" w:color="0C2940"/>
            </w:tcBorders>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21"/>
        </w:trPr>
        <w:tc>
          <w:tcPr>
            <w:tcW w:w="1880" w:type="dxa"/>
            <w:vAlign w:val="bottom"/>
            <w:vMerge w:val="restart"/>
            <w:shd w:val="clear" w:color="auto" w:fill="F5F5F5"/>
          </w:tcPr>
          <w:p>
            <w:pPr>
              <w:ind w:left="140"/>
              <w:spacing w:after="0"/>
              <w:rPr>
                <w:sz w:val="20"/>
                <w:szCs w:val="20"/>
                <w:color w:val="auto"/>
              </w:rPr>
            </w:pPr>
            <w:r>
              <w:rPr>
                <w:rFonts w:ascii="Arial" w:cs="Arial" w:eastAsia="Arial" w:hAnsi="Arial"/>
                <w:sz w:val="14"/>
                <w:szCs w:val="14"/>
                <w:b w:val="1"/>
                <w:bCs w:val="1"/>
                <w:color w:val="005388"/>
              </w:rPr>
              <w:t>Adam S. Pollitzer</w:t>
            </w:r>
          </w:p>
        </w:tc>
        <w:tc>
          <w:tcPr>
            <w:tcW w:w="64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975,000</w:t>
            </w:r>
          </w:p>
        </w:tc>
        <w:tc>
          <w:tcPr>
            <w:tcW w:w="1220" w:type="dxa"/>
            <w:vAlign w:val="bottom"/>
            <w:shd w:val="clear" w:color="auto" w:fill="F5F5F5"/>
          </w:tcPr>
          <w:p>
            <w:pPr>
              <w:spacing w:after="0"/>
              <w:rPr>
                <w:sz w:val="19"/>
                <w:szCs w:val="19"/>
                <w:color w:val="auto"/>
              </w:rPr>
            </w:pPr>
          </w:p>
        </w:tc>
        <w:tc>
          <w:tcPr>
            <w:tcW w:w="1180" w:type="dxa"/>
            <w:vAlign w:val="bottom"/>
            <w:shd w:val="clear" w:color="auto" w:fill="F5F5F5"/>
          </w:tcPr>
          <w:p>
            <w:pPr>
              <w:jc w:val="right"/>
              <w:ind w:right="190"/>
              <w:spacing w:after="0"/>
              <w:rPr>
                <w:sz w:val="20"/>
                <w:szCs w:val="20"/>
                <w:color w:val="auto"/>
              </w:rPr>
            </w:pPr>
            <w:r>
              <w:rPr>
                <w:rFonts w:ascii="Arial" w:cs="Arial" w:eastAsia="Arial" w:hAnsi="Arial"/>
                <w:sz w:val="14"/>
                <w:szCs w:val="14"/>
                <w:color w:val="auto"/>
              </w:rPr>
              <w:t>6,337,450</w:t>
            </w:r>
          </w:p>
        </w:tc>
        <w:tc>
          <w:tcPr>
            <w:tcW w:w="1720" w:type="dxa"/>
            <w:vAlign w:val="bottom"/>
            <w:shd w:val="clear" w:color="auto" w:fill="F5F5F5"/>
          </w:tcPr>
          <w:p>
            <w:pPr>
              <w:jc w:val="right"/>
              <w:ind w:right="210"/>
              <w:spacing w:after="0"/>
              <w:rPr>
                <w:sz w:val="20"/>
                <w:szCs w:val="20"/>
                <w:color w:val="auto"/>
              </w:rPr>
            </w:pPr>
            <w:r>
              <w:rPr>
                <w:rFonts w:ascii="Arial" w:cs="Arial" w:eastAsia="Arial" w:hAnsi="Arial"/>
                <w:sz w:val="14"/>
                <w:szCs w:val="14"/>
                <w:color w:val="auto"/>
              </w:rPr>
              <w:t>2,839,200</w:t>
            </w:r>
          </w:p>
        </w:tc>
        <w:tc>
          <w:tcPr>
            <w:tcW w:w="2120" w:type="dxa"/>
            <w:vAlign w:val="bottom"/>
            <w:shd w:val="clear" w:color="auto" w:fill="F5F5F5"/>
          </w:tcPr>
          <w:p>
            <w:pPr>
              <w:jc w:val="right"/>
              <w:ind w:right="628"/>
              <w:spacing w:after="0"/>
              <w:rPr>
                <w:sz w:val="20"/>
                <w:szCs w:val="20"/>
                <w:color w:val="auto"/>
              </w:rPr>
            </w:pPr>
            <w:r>
              <w:rPr>
                <w:rFonts w:ascii="Arial" w:cs="Arial" w:eastAsia="Arial" w:hAnsi="Arial"/>
                <w:sz w:val="14"/>
                <w:szCs w:val="14"/>
                <w:color w:val="auto"/>
              </w:rPr>
              <w:t>57,965</w:t>
            </w:r>
          </w:p>
        </w:tc>
        <w:tc>
          <w:tcPr>
            <w:tcW w:w="14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10,209,615</w:t>
            </w:r>
          </w:p>
        </w:tc>
        <w:tc>
          <w:tcPr>
            <w:tcW w:w="0" w:type="dxa"/>
            <w:vAlign w:val="bottom"/>
          </w:tcPr>
          <w:p>
            <w:pPr>
              <w:spacing w:after="0"/>
              <w:rPr>
                <w:sz w:val="1"/>
                <w:szCs w:val="1"/>
                <w:color w:val="auto"/>
              </w:rPr>
            </w:pPr>
          </w:p>
        </w:tc>
      </w:tr>
      <w:tr>
        <w:trPr>
          <w:trHeight w:val="147"/>
        </w:trPr>
        <w:tc>
          <w:tcPr>
            <w:tcW w:w="1880" w:type="dxa"/>
            <w:vAlign w:val="bottom"/>
            <w:vMerge w:val="continue"/>
            <w:shd w:val="clear" w:color="auto" w:fill="F5F5F5"/>
          </w:tcPr>
          <w:p>
            <w:pPr>
              <w:spacing w:after="0"/>
              <w:rPr>
                <w:sz w:val="12"/>
                <w:szCs w:val="12"/>
                <w:color w:val="auto"/>
              </w:rPr>
            </w:pPr>
          </w:p>
        </w:tc>
        <w:tc>
          <w:tcPr>
            <w:tcW w:w="640" w:type="dxa"/>
            <w:vAlign w:val="bottom"/>
            <w:vMerge w:val="restart"/>
            <w:shd w:val="clear" w:color="auto" w:fill="F5F5F5"/>
          </w:tcPr>
          <w:p>
            <w:pPr>
              <w:jc w:val="center"/>
              <w:spacing w:after="0"/>
              <w:rPr>
                <w:sz w:val="20"/>
                <w:szCs w:val="20"/>
                <w:color w:val="auto"/>
              </w:rPr>
            </w:pPr>
            <w:r>
              <w:rPr>
                <w:rFonts w:ascii="Arial" w:cs="Arial" w:eastAsia="Arial" w:hAnsi="Arial"/>
                <w:sz w:val="14"/>
                <w:szCs w:val="14"/>
                <w:color w:val="auto"/>
              </w:rPr>
              <w:t>2024</w:t>
            </w: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975,000</w:t>
            </w:r>
          </w:p>
        </w:tc>
        <w:tc>
          <w:tcPr>
            <w:tcW w:w="1220" w:type="dxa"/>
            <w:vAlign w:val="bottom"/>
            <w:shd w:val="clear" w:color="auto" w:fill="F5F5F5"/>
          </w:tcPr>
          <w:p>
            <w:pPr>
              <w:spacing w:after="0"/>
              <w:rPr>
                <w:sz w:val="12"/>
                <w:szCs w:val="12"/>
                <w:color w:val="auto"/>
              </w:rPr>
            </w:pPr>
          </w:p>
        </w:tc>
        <w:tc>
          <w:tcPr>
            <w:tcW w:w="1180" w:type="dxa"/>
            <w:vAlign w:val="bottom"/>
            <w:vMerge w:val="restart"/>
            <w:shd w:val="clear" w:color="auto" w:fill="F5F5F5"/>
          </w:tcPr>
          <w:p>
            <w:pPr>
              <w:jc w:val="right"/>
              <w:ind w:right="190"/>
              <w:spacing w:after="0"/>
              <w:rPr>
                <w:sz w:val="20"/>
                <w:szCs w:val="20"/>
                <w:color w:val="auto"/>
              </w:rPr>
            </w:pPr>
            <w:r>
              <w:rPr>
                <w:rFonts w:ascii="Arial" w:cs="Arial" w:eastAsia="Arial" w:hAnsi="Arial"/>
                <w:sz w:val="14"/>
                <w:szCs w:val="14"/>
                <w:color w:val="auto"/>
              </w:rPr>
              <w:t>4,874,994</w:t>
            </w:r>
          </w:p>
        </w:tc>
        <w:tc>
          <w:tcPr>
            <w:tcW w:w="1720" w:type="dxa"/>
            <w:vAlign w:val="bottom"/>
            <w:vMerge w:val="restart"/>
            <w:shd w:val="clear" w:color="auto" w:fill="F5F5F5"/>
          </w:tcPr>
          <w:p>
            <w:pPr>
              <w:jc w:val="right"/>
              <w:ind w:right="210"/>
              <w:spacing w:after="0"/>
              <w:rPr>
                <w:sz w:val="20"/>
                <w:szCs w:val="20"/>
                <w:color w:val="auto"/>
              </w:rPr>
            </w:pPr>
            <w:r>
              <w:rPr>
                <w:rFonts w:ascii="Arial" w:cs="Arial" w:eastAsia="Arial" w:hAnsi="Arial"/>
                <w:sz w:val="14"/>
                <w:szCs w:val="14"/>
                <w:color w:val="auto"/>
              </w:rPr>
              <w:t>3,071,250</w:t>
            </w:r>
          </w:p>
        </w:tc>
        <w:tc>
          <w:tcPr>
            <w:tcW w:w="2120" w:type="dxa"/>
            <w:vAlign w:val="bottom"/>
            <w:vMerge w:val="restart"/>
            <w:shd w:val="clear" w:color="auto" w:fill="F5F5F5"/>
          </w:tcPr>
          <w:p>
            <w:pPr>
              <w:jc w:val="right"/>
              <w:ind w:right="628"/>
              <w:spacing w:after="0"/>
              <w:rPr>
                <w:sz w:val="20"/>
                <w:szCs w:val="20"/>
                <w:color w:val="auto"/>
              </w:rPr>
            </w:pPr>
            <w:r>
              <w:rPr>
                <w:rFonts w:ascii="Arial" w:cs="Arial" w:eastAsia="Arial" w:hAnsi="Arial"/>
                <w:sz w:val="14"/>
                <w:szCs w:val="14"/>
                <w:color w:val="auto"/>
              </w:rPr>
              <w:t>57,690</w:t>
            </w:r>
          </w:p>
        </w:tc>
        <w:tc>
          <w:tcPr>
            <w:tcW w:w="14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8,978,934</w:t>
            </w:r>
          </w:p>
        </w:tc>
        <w:tc>
          <w:tcPr>
            <w:tcW w:w="0" w:type="dxa"/>
            <w:vAlign w:val="bottom"/>
          </w:tcPr>
          <w:p>
            <w:pPr>
              <w:spacing w:after="0"/>
              <w:rPr>
                <w:sz w:val="1"/>
                <w:szCs w:val="1"/>
                <w:color w:val="auto"/>
              </w:rPr>
            </w:pPr>
          </w:p>
        </w:tc>
      </w:tr>
      <w:tr>
        <w:trPr>
          <w:trHeight w:val="162"/>
        </w:trPr>
        <w:tc>
          <w:tcPr>
            <w:tcW w:w="18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President and Chief</w:t>
            </w:r>
          </w:p>
        </w:tc>
        <w:tc>
          <w:tcPr>
            <w:tcW w:w="640" w:type="dxa"/>
            <w:vAlign w:val="bottom"/>
            <w:vMerge w:val="continue"/>
            <w:shd w:val="clear" w:color="auto" w:fill="F5F5F5"/>
          </w:tcPr>
          <w:p>
            <w:pPr>
              <w:spacing w:after="0"/>
              <w:rPr>
                <w:sz w:val="14"/>
                <w:szCs w:val="14"/>
                <w:color w:val="auto"/>
              </w:rPr>
            </w:pPr>
          </w:p>
        </w:tc>
        <w:tc>
          <w:tcPr>
            <w:tcW w:w="860" w:type="dxa"/>
            <w:vAlign w:val="bottom"/>
            <w:vMerge w:val="continue"/>
            <w:shd w:val="clear" w:color="auto" w:fill="F5F5F5"/>
          </w:tcPr>
          <w:p>
            <w:pPr>
              <w:spacing w:after="0"/>
              <w:rPr>
                <w:sz w:val="14"/>
                <w:szCs w:val="14"/>
                <w:color w:val="auto"/>
              </w:rPr>
            </w:pPr>
          </w:p>
        </w:tc>
        <w:tc>
          <w:tcPr>
            <w:tcW w:w="1220" w:type="dxa"/>
            <w:vAlign w:val="bottom"/>
            <w:shd w:val="clear" w:color="auto" w:fill="F5F5F5"/>
          </w:tcPr>
          <w:p>
            <w:pPr>
              <w:spacing w:after="0"/>
              <w:rPr>
                <w:sz w:val="14"/>
                <w:szCs w:val="14"/>
                <w:color w:val="auto"/>
              </w:rPr>
            </w:pPr>
          </w:p>
        </w:tc>
        <w:tc>
          <w:tcPr>
            <w:tcW w:w="1180" w:type="dxa"/>
            <w:vAlign w:val="bottom"/>
            <w:vMerge w:val="continue"/>
            <w:shd w:val="clear" w:color="auto" w:fill="F5F5F5"/>
          </w:tcPr>
          <w:p>
            <w:pPr>
              <w:spacing w:after="0"/>
              <w:rPr>
                <w:sz w:val="14"/>
                <w:szCs w:val="14"/>
                <w:color w:val="auto"/>
              </w:rPr>
            </w:pPr>
          </w:p>
        </w:tc>
        <w:tc>
          <w:tcPr>
            <w:tcW w:w="1720" w:type="dxa"/>
            <w:vAlign w:val="bottom"/>
            <w:vMerge w:val="continue"/>
            <w:shd w:val="clear" w:color="auto" w:fill="F5F5F5"/>
          </w:tcPr>
          <w:p>
            <w:pPr>
              <w:spacing w:after="0"/>
              <w:rPr>
                <w:sz w:val="14"/>
                <w:szCs w:val="14"/>
                <w:color w:val="auto"/>
              </w:rPr>
            </w:pPr>
          </w:p>
        </w:tc>
        <w:tc>
          <w:tcPr>
            <w:tcW w:w="2120" w:type="dxa"/>
            <w:vAlign w:val="bottom"/>
            <w:vMerge w:val="continue"/>
            <w:shd w:val="clear" w:color="auto" w:fill="F5F5F5"/>
          </w:tcPr>
          <w:p>
            <w:pPr>
              <w:spacing w:after="0"/>
              <w:rPr>
                <w:sz w:val="14"/>
                <w:szCs w:val="14"/>
                <w:color w:val="auto"/>
              </w:rPr>
            </w:pPr>
          </w:p>
        </w:tc>
        <w:tc>
          <w:tcPr>
            <w:tcW w:w="1460" w:type="dxa"/>
            <w:vAlign w:val="bottom"/>
            <w:vMerge w:val="continue"/>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80" w:type="dxa"/>
            <w:vAlign w:val="bottom"/>
            <w:shd w:val="clear" w:color="auto" w:fill="F5F5F5"/>
          </w:tcPr>
          <w:p>
            <w:pPr>
              <w:ind w:left="140"/>
              <w:spacing w:after="0"/>
              <w:rPr>
                <w:sz w:val="20"/>
                <w:szCs w:val="20"/>
                <w:color w:val="auto"/>
              </w:rPr>
            </w:pPr>
            <w:r>
              <w:rPr>
                <w:rFonts w:ascii="Arial" w:cs="Arial" w:eastAsia="Arial" w:hAnsi="Arial"/>
                <w:sz w:val="14"/>
                <w:szCs w:val="14"/>
                <w:color w:val="auto"/>
              </w:rPr>
              <w:t>Executive Officer</w:t>
            </w:r>
          </w:p>
        </w:tc>
        <w:tc>
          <w:tcPr>
            <w:tcW w:w="640" w:type="dxa"/>
            <w:vAlign w:val="bottom"/>
            <w:vMerge w:val="restart"/>
            <w:shd w:val="clear" w:color="auto" w:fill="F5F5F5"/>
          </w:tcPr>
          <w:p>
            <w:pPr>
              <w:jc w:val="center"/>
              <w:spacing w:after="0"/>
              <w:rPr>
                <w:sz w:val="20"/>
                <w:szCs w:val="20"/>
                <w:color w:val="auto"/>
              </w:rPr>
            </w:pPr>
            <w:r>
              <w:rPr>
                <w:rFonts w:ascii="Arial" w:cs="Arial" w:eastAsia="Arial" w:hAnsi="Arial"/>
                <w:sz w:val="14"/>
                <w:szCs w:val="14"/>
                <w:color w:val="auto"/>
              </w:rPr>
              <w:t>2023</w:t>
            </w: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900,000</w:t>
            </w:r>
          </w:p>
        </w:tc>
        <w:tc>
          <w:tcPr>
            <w:tcW w:w="1220" w:type="dxa"/>
            <w:vAlign w:val="bottom"/>
            <w:shd w:val="clear" w:color="auto" w:fill="F5F5F5"/>
          </w:tcPr>
          <w:p>
            <w:pPr>
              <w:spacing w:after="0"/>
              <w:rPr>
                <w:sz w:val="16"/>
                <w:szCs w:val="16"/>
                <w:color w:val="auto"/>
              </w:rPr>
            </w:pPr>
          </w:p>
        </w:tc>
        <w:tc>
          <w:tcPr>
            <w:tcW w:w="1180" w:type="dxa"/>
            <w:vAlign w:val="bottom"/>
            <w:vMerge w:val="restart"/>
            <w:shd w:val="clear" w:color="auto" w:fill="F5F5F5"/>
          </w:tcPr>
          <w:p>
            <w:pPr>
              <w:jc w:val="right"/>
              <w:ind w:right="190"/>
              <w:spacing w:after="0"/>
              <w:rPr>
                <w:sz w:val="20"/>
                <w:szCs w:val="20"/>
                <w:color w:val="auto"/>
              </w:rPr>
            </w:pPr>
            <w:r>
              <w:rPr>
                <w:rFonts w:ascii="Arial" w:cs="Arial" w:eastAsia="Arial" w:hAnsi="Arial"/>
                <w:sz w:val="14"/>
                <w:szCs w:val="14"/>
                <w:color w:val="auto"/>
              </w:rPr>
              <w:t>4,274,972</w:t>
            </w:r>
          </w:p>
        </w:tc>
        <w:tc>
          <w:tcPr>
            <w:tcW w:w="1720" w:type="dxa"/>
            <w:vAlign w:val="bottom"/>
            <w:vMerge w:val="restart"/>
            <w:shd w:val="clear" w:color="auto" w:fill="F5F5F5"/>
          </w:tcPr>
          <w:p>
            <w:pPr>
              <w:jc w:val="right"/>
              <w:ind w:right="210"/>
              <w:spacing w:after="0"/>
              <w:rPr>
                <w:sz w:val="20"/>
                <w:szCs w:val="20"/>
                <w:color w:val="auto"/>
              </w:rPr>
            </w:pPr>
            <w:r>
              <w:rPr>
                <w:rFonts w:ascii="Arial" w:cs="Arial" w:eastAsia="Arial" w:hAnsi="Arial"/>
                <w:sz w:val="14"/>
                <w:szCs w:val="14"/>
                <w:color w:val="auto"/>
              </w:rPr>
              <w:t>2,699,550</w:t>
            </w:r>
          </w:p>
        </w:tc>
        <w:tc>
          <w:tcPr>
            <w:tcW w:w="2120" w:type="dxa"/>
            <w:vAlign w:val="bottom"/>
            <w:vMerge w:val="restart"/>
            <w:shd w:val="clear" w:color="auto" w:fill="F5F5F5"/>
          </w:tcPr>
          <w:p>
            <w:pPr>
              <w:jc w:val="right"/>
              <w:ind w:right="628"/>
              <w:spacing w:after="0"/>
              <w:rPr>
                <w:sz w:val="20"/>
                <w:szCs w:val="20"/>
                <w:color w:val="auto"/>
              </w:rPr>
            </w:pPr>
            <w:r>
              <w:rPr>
                <w:rFonts w:ascii="Arial" w:cs="Arial" w:eastAsia="Arial" w:hAnsi="Arial"/>
                <w:sz w:val="14"/>
                <w:szCs w:val="14"/>
                <w:color w:val="auto"/>
              </w:rPr>
              <w:t>56,965</w:t>
            </w:r>
          </w:p>
        </w:tc>
        <w:tc>
          <w:tcPr>
            <w:tcW w:w="14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7,931,487</w:t>
            </w:r>
          </w:p>
        </w:tc>
        <w:tc>
          <w:tcPr>
            <w:tcW w:w="0" w:type="dxa"/>
            <w:vAlign w:val="bottom"/>
          </w:tcPr>
          <w:p>
            <w:pPr>
              <w:spacing w:after="0"/>
              <w:rPr>
                <w:sz w:val="1"/>
                <w:szCs w:val="1"/>
                <w:color w:val="auto"/>
              </w:rPr>
            </w:pPr>
          </w:p>
        </w:tc>
      </w:tr>
      <w:tr>
        <w:trPr>
          <w:trHeight w:val="121"/>
        </w:trPr>
        <w:tc>
          <w:tcPr>
            <w:tcW w:w="1880" w:type="dxa"/>
            <w:vAlign w:val="bottom"/>
            <w:shd w:val="clear" w:color="auto" w:fill="F5F5F5"/>
          </w:tcPr>
          <w:p>
            <w:pPr>
              <w:spacing w:after="0"/>
              <w:rPr>
                <w:sz w:val="10"/>
                <w:szCs w:val="10"/>
                <w:color w:val="auto"/>
              </w:rPr>
            </w:pPr>
          </w:p>
        </w:tc>
        <w:tc>
          <w:tcPr>
            <w:tcW w:w="640" w:type="dxa"/>
            <w:vAlign w:val="bottom"/>
            <w:vMerge w:val="continue"/>
            <w:shd w:val="clear" w:color="auto" w:fill="F5F5F5"/>
          </w:tcPr>
          <w:p>
            <w:pPr>
              <w:spacing w:after="0"/>
              <w:rPr>
                <w:sz w:val="10"/>
                <w:szCs w:val="10"/>
                <w:color w:val="auto"/>
              </w:rPr>
            </w:pPr>
          </w:p>
        </w:tc>
        <w:tc>
          <w:tcPr>
            <w:tcW w:w="860" w:type="dxa"/>
            <w:vAlign w:val="bottom"/>
            <w:vMerge w:val="continue"/>
            <w:shd w:val="clear" w:color="auto" w:fill="F5F5F5"/>
          </w:tcPr>
          <w:p>
            <w:pPr>
              <w:spacing w:after="0"/>
              <w:rPr>
                <w:sz w:val="10"/>
                <w:szCs w:val="10"/>
                <w:color w:val="auto"/>
              </w:rPr>
            </w:pPr>
          </w:p>
        </w:tc>
        <w:tc>
          <w:tcPr>
            <w:tcW w:w="1220" w:type="dxa"/>
            <w:vAlign w:val="bottom"/>
            <w:shd w:val="clear" w:color="auto" w:fill="F5F5F5"/>
          </w:tcPr>
          <w:p>
            <w:pPr>
              <w:spacing w:after="0"/>
              <w:rPr>
                <w:sz w:val="10"/>
                <w:szCs w:val="10"/>
                <w:color w:val="auto"/>
              </w:rPr>
            </w:pPr>
          </w:p>
        </w:tc>
        <w:tc>
          <w:tcPr>
            <w:tcW w:w="1180" w:type="dxa"/>
            <w:vAlign w:val="bottom"/>
            <w:vMerge w:val="continue"/>
            <w:shd w:val="clear" w:color="auto" w:fill="F5F5F5"/>
          </w:tcPr>
          <w:p>
            <w:pPr>
              <w:spacing w:after="0"/>
              <w:rPr>
                <w:sz w:val="10"/>
                <w:szCs w:val="10"/>
                <w:color w:val="auto"/>
              </w:rPr>
            </w:pPr>
          </w:p>
        </w:tc>
        <w:tc>
          <w:tcPr>
            <w:tcW w:w="1720" w:type="dxa"/>
            <w:vAlign w:val="bottom"/>
            <w:vMerge w:val="continue"/>
            <w:shd w:val="clear" w:color="auto" w:fill="F5F5F5"/>
          </w:tcPr>
          <w:p>
            <w:pPr>
              <w:spacing w:after="0"/>
              <w:rPr>
                <w:sz w:val="10"/>
                <w:szCs w:val="10"/>
                <w:color w:val="auto"/>
              </w:rPr>
            </w:pPr>
          </w:p>
        </w:tc>
        <w:tc>
          <w:tcPr>
            <w:tcW w:w="2120" w:type="dxa"/>
            <w:vAlign w:val="bottom"/>
            <w:vMerge w:val="continue"/>
            <w:shd w:val="clear" w:color="auto" w:fill="F5F5F5"/>
          </w:tcPr>
          <w:p>
            <w:pPr>
              <w:spacing w:after="0"/>
              <w:rPr>
                <w:sz w:val="10"/>
                <w:szCs w:val="10"/>
                <w:color w:val="auto"/>
              </w:rPr>
            </w:pPr>
          </w:p>
        </w:tc>
        <w:tc>
          <w:tcPr>
            <w:tcW w:w="1460" w:type="dxa"/>
            <w:vAlign w:val="bottom"/>
            <w:vMerge w:val="continue"/>
            <w:shd w:val="clear" w:color="auto" w:fill="F5F5F5"/>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880" w:type="dxa"/>
            <w:vAlign w:val="bottom"/>
            <w:shd w:val="clear" w:color="auto" w:fill="F5F5F5"/>
          </w:tcPr>
          <w:p>
            <w:pPr>
              <w:spacing w:after="0"/>
              <w:rPr>
                <w:sz w:val="7"/>
                <w:szCs w:val="7"/>
                <w:color w:val="auto"/>
              </w:rPr>
            </w:pPr>
          </w:p>
        </w:tc>
        <w:tc>
          <w:tcPr>
            <w:tcW w:w="640" w:type="dxa"/>
            <w:vAlign w:val="bottom"/>
            <w:shd w:val="clear" w:color="auto" w:fill="F5F5F5"/>
          </w:tcPr>
          <w:p>
            <w:pPr>
              <w:spacing w:after="0"/>
              <w:rPr>
                <w:sz w:val="7"/>
                <w:szCs w:val="7"/>
                <w:color w:val="auto"/>
              </w:rPr>
            </w:pPr>
          </w:p>
        </w:tc>
        <w:tc>
          <w:tcPr>
            <w:tcW w:w="860" w:type="dxa"/>
            <w:vAlign w:val="bottom"/>
            <w:shd w:val="clear" w:color="auto" w:fill="F5F5F5"/>
          </w:tcPr>
          <w:p>
            <w:pPr>
              <w:spacing w:after="0"/>
              <w:rPr>
                <w:sz w:val="7"/>
                <w:szCs w:val="7"/>
                <w:color w:val="auto"/>
              </w:rPr>
            </w:pPr>
          </w:p>
        </w:tc>
        <w:tc>
          <w:tcPr>
            <w:tcW w:w="1220" w:type="dxa"/>
            <w:vAlign w:val="bottom"/>
            <w:shd w:val="clear" w:color="auto" w:fill="F5F5F5"/>
          </w:tcPr>
          <w:p>
            <w:pPr>
              <w:spacing w:after="0"/>
              <w:rPr>
                <w:sz w:val="7"/>
                <w:szCs w:val="7"/>
                <w:color w:val="auto"/>
              </w:rPr>
            </w:pPr>
          </w:p>
        </w:tc>
        <w:tc>
          <w:tcPr>
            <w:tcW w:w="1180" w:type="dxa"/>
            <w:vAlign w:val="bottom"/>
            <w:shd w:val="clear" w:color="auto" w:fill="F5F5F5"/>
          </w:tcPr>
          <w:p>
            <w:pPr>
              <w:spacing w:after="0"/>
              <w:rPr>
                <w:sz w:val="7"/>
                <w:szCs w:val="7"/>
                <w:color w:val="auto"/>
              </w:rPr>
            </w:pPr>
          </w:p>
        </w:tc>
        <w:tc>
          <w:tcPr>
            <w:tcW w:w="1720" w:type="dxa"/>
            <w:vAlign w:val="bottom"/>
            <w:shd w:val="clear" w:color="auto" w:fill="F5F5F5"/>
          </w:tcPr>
          <w:p>
            <w:pPr>
              <w:spacing w:after="0"/>
              <w:rPr>
                <w:sz w:val="7"/>
                <w:szCs w:val="7"/>
                <w:color w:val="auto"/>
              </w:rPr>
            </w:pPr>
          </w:p>
        </w:tc>
        <w:tc>
          <w:tcPr>
            <w:tcW w:w="2120" w:type="dxa"/>
            <w:vAlign w:val="bottom"/>
            <w:shd w:val="clear" w:color="auto" w:fill="F5F5F5"/>
          </w:tcPr>
          <w:p>
            <w:pPr>
              <w:spacing w:after="0"/>
              <w:rPr>
                <w:sz w:val="7"/>
                <w:szCs w:val="7"/>
                <w:color w:val="auto"/>
              </w:rPr>
            </w:pPr>
          </w:p>
        </w:tc>
        <w:tc>
          <w:tcPr>
            <w:tcW w:w="146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8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2025</w:t>
            </w:r>
          </w:p>
        </w:tc>
        <w:tc>
          <w:tcPr>
            <w:tcW w:w="860" w:type="dxa"/>
            <w:vAlign w:val="bottom"/>
          </w:tcPr>
          <w:p>
            <w:pPr>
              <w:jc w:val="right"/>
              <w:spacing w:after="0"/>
              <w:rPr>
                <w:sz w:val="20"/>
                <w:szCs w:val="20"/>
                <w:color w:val="auto"/>
              </w:rPr>
            </w:pPr>
            <w:r>
              <w:rPr>
                <w:rFonts w:ascii="Arial" w:cs="Arial" w:eastAsia="Arial" w:hAnsi="Arial"/>
                <w:sz w:val="14"/>
                <w:szCs w:val="14"/>
                <w:color w:val="auto"/>
              </w:rPr>
              <w:t>650,000</w:t>
            </w:r>
          </w:p>
        </w:tc>
        <w:tc>
          <w:tcPr>
            <w:tcW w:w="12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1,699,986</w:t>
            </w: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1,081,600</w:t>
            </w:r>
          </w:p>
        </w:tc>
        <w:tc>
          <w:tcPr>
            <w:tcW w:w="2120" w:type="dxa"/>
            <w:vAlign w:val="bottom"/>
          </w:tcPr>
          <w:p>
            <w:pPr>
              <w:jc w:val="right"/>
              <w:ind w:right="628"/>
              <w:spacing w:after="0"/>
              <w:rPr>
                <w:sz w:val="20"/>
                <w:szCs w:val="20"/>
                <w:color w:val="auto"/>
              </w:rPr>
            </w:pPr>
            <w:r>
              <w:rPr>
                <w:rFonts w:ascii="Arial" w:cs="Arial" w:eastAsia="Arial" w:hAnsi="Arial"/>
                <w:sz w:val="14"/>
                <w:szCs w:val="14"/>
                <w:color w:val="auto"/>
              </w:rPr>
              <w:t>60,524</w:t>
            </w:r>
          </w:p>
        </w:tc>
        <w:tc>
          <w:tcPr>
            <w:tcW w:w="1460" w:type="dxa"/>
            <w:vAlign w:val="bottom"/>
          </w:tcPr>
          <w:p>
            <w:pPr>
              <w:jc w:val="right"/>
              <w:spacing w:after="0"/>
              <w:rPr>
                <w:sz w:val="20"/>
                <w:szCs w:val="20"/>
                <w:color w:val="auto"/>
              </w:rPr>
            </w:pPr>
            <w:r>
              <w:rPr>
                <w:rFonts w:ascii="Arial" w:cs="Arial" w:eastAsia="Arial" w:hAnsi="Arial"/>
                <w:sz w:val="14"/>
                <w:szCs w:val="14"/>
                <w:color w:val="auto"/>
              </w:rPr>
              <w:t>3,492,110</w:t>
            </w:r>
          </w:p>
        </w:tc>
        <w:tc>
          <w:tcPr>
            <w:tcW w:w="0" w:type="dxa"/>
            <w:vAlign w:val="bottom"/>
          </w:tcPr>
          <w:p>
            <w:pPr>
              <w:spacing w:after="0"/>
              <w:rPr>
                <w:sz w:val="1"/>
                <w:szCs w:val="1"/>
                <w:color w:val="auto"/>
              </w:rPr>
            </w:pPr>
          </w:p>
        </w:tc>
      </w:tr>
      <w:tr>
        <w:trPr>
          <w:trHeight w:val="228"/>
        </w:trPr>
        <w:tc>
          <w:tcPr>
            <w:tcW w:w="1880" w:type="dxa"/>
            <w:vAlign w:val="bottom"/>
          </w:tcPr>
          <w:p>
            <w:pPr>
              <w:ind w:left="140"/>
              <w:spacing w:after="0"/>
              <w:rPr>
                <w:sz w:val="20"/>
                <w:szCs w:val="20"/>
                <w:color w:val="auto"/>
              </w:rPr>
            </w:pPr>
            <w:r>
              <w:rPr>
                <w:rFonts w:ascii="Arial" w:cs="Arial" w:eastAsia="Arial" w:hAnsi="Arial"/>
                <w:sz w:val="14"/>
                <w:szCs w:val="14"/>
                <w:b w:val="1"/>
                <w:bCs w:val="1"/>
                <w:color w:val="005388"/>
              </w:rPr>
              <w:t>Bradley M. Shuster</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2024</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650,000</w:t>
            </w:r>
          </w:p>
        </w:tc>
        <w:tc>
          <w:tcPr>
            <w:tcW w:w="1220" w:type="dxa"/>
            <w:vAlign w:val="bottom"/>
          </w:tcPr>
          <w:p>
            <w:pPr>
              <w:spacing w:after="0"/>
              <w:rPr>
                <w:sz w:val="19"/>
                <w:szCs w:val="19"/>
                <w:color w:val="auto"/>
              </w:rPr>
            </w:pPr>
          </w:p>
        </w:tc>
        <w:tc>
          <w:tcPr>
            <w:tcW w:w="1180" w:type="dxa"/>
            <w:vAlign w:val="bottom"/>
            <w:vMerge w:val="restart"/>
          </w:tcPr>
          <w:p>
            <w:pPr>
              <w:jc w:val="right"/>
              <w:ind w:right="190"/>
              <w:spacing w:after="0"/>
              <w:rPr>
                <w:sz w:val="20"/>
                <w:szCs w:val="20"/>
                <w:color w:val="auto"/>
              </w:rPr>
            </w:pPr>
            <w:r>
              <w:rPr>
                <w:rFonts w:ascii="Arial" w:cs="Arial" w:eastAsia="Arial" w:hAnsi="Arial"/>
                <w:sz w:val="14"/>
                <w:szCs w:val="14"/>
                <w:color w:val="auto"/>
              </w:rPr>
              <w:t>1,199,990</w:t>
            </w:r>
          </w:p>
        </w:tc>
        <w:tc>
          <w:tcPr>
            <w:tcW w:w="1720" w:type="dxa"/>
            <w:vAlign w:val="bottom"/>
            <w:vMerge w:val="restart"/>
          </w:tcPr>
          <w:p>
            <w:pPr>
              <w:jc w:val="right"/>
              <w:ind w:right="210"/>
              <w:spacing w:after="0"/>
              <w:rPr>
                <w:sz w:val="20"/>
                <w:szCs w:val="20"/>
                <w:color w:val="auto"/>
              </w:rPr>
            </w:pPr>
            <w:r>
              <w:rPr>
                <w:rFonts w:ascii="Arial" w:cs="Arial" w:eastAsia="Arial" w:hAnsi="Arial"/>
                <w:sz w:val="14"/>
                <w:szCs w:val="14"/>
                <w:color w:val="auto"/>
              </w:rPr>
              <w:t>1,170,000</w:t>
            </w:r>
          </w:p>
        </w:tc>
        <w:tc>
          <w:tcPr>
            <w:tcW w:w="2120" w:type="dxa"/>
            <w:vAlign w:val="bottom"/>
            <w:vMerge w:val="restart"/>
          </w:tcPr>
          <w:p>
            <w:pPr>
              <w:jc w:val="right"/>
              <w:ind w:right="628"/>
              <w:spacing w:after="0"/>
              <w:rPr>
                <w:sz w:val="20"/>
                <w:szCs w:val="20"/>
                <w:color w:val="auto"/>
              </w:rPr>
            </w:pPr>
            <w:r>
              <w:rPr>
                <w:rFonts w:ascii="Arial" w:cs="Arial" w:eastAsia="Arial" w:hAnsi="Arial"/>
                <w:sz w:val="14"/>
                <w:szCs w:val="14"/>
                <w:color w:val="auto"/>
              </w:rPr>
              <w:t>65,514</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3,085,504</w:t>
            </w:r>
          </w:p>
        </w:tc>
        <w:tc>
          <w:tcPr>
            <w:tcW w:w="0" w:type="dxa"/>
            <w:vAlign w:val="bottom"/>
          </w:tcPr>
          <w:p>
            <w:pPr>
              <w:spacing w:after="0"/>
              <w:rPr>
                <w:sz w:val="1"/>
                <w:szCs w:val="1"/>
                <w:color w:val="auto"/>
              </w:rPr>
            </w:pPr>
          </w:p>
        </w:tc>
      </w:tr>
      <w:tr>
        <w:trPr>
          <w:trHeight w:val="82"/>
        </w:trPr>
        <w:tc>
          <w:tcPr>
            <w:tcW w:w="1880" w:type="dxa"/>
            <w:vAlign w:val="bottom"/>
            <w:vMerge w:val="restart"/>
          </w:tcPr>
          <w:p>
            <w:pPr>
              <w:ind w:left="140"/>
              <w:spacing w:after="0"/>
              <w:rPr>
                <w:sz w:val="20"/>
                <w:szCs w:val="20"/>
                <w:color w:val="auto"/>
              </w:rPr>
            </w:pPr>
            <w:r>
              <w:rPr>
                <w:rFonts w:ascii="Arial" w:cs="Arial" w:eastAsia="Arial" w:hAnsi="Arial"/>
                <w:sz w:val="14"/>
                <w:szCs w:val="14"/>
                <w:color w:val="auto"/>
              </w:rPr>
              <w:t>Executive Chairman</w:t>
            </w: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1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2023</w:t>
            </w:r>
          </w:p>
        </w:tc>
        <w:tc>
          <w:tcPr>
            <w:tcW w:w="860" w:type="dxa"/>
            <w:vAlign w:val="bottom"/>
          </w:tcPr>
          <w:p>
            <w:pPr>
              <w:jc w:val="right"/>
              <w:spacing w:after="0"/>
              <w:rPr>
                <w:sz w:val="20"/>
                <w:szCs w:val="20"/>
                <w:color w:val="auto"/>
              </w:rPr>
            </w:pPr>
            <w:r>
              <w:rPr>
                <w:rFonts w:ascii="Arial" w:cs="Arial" w:eastAsia="Arial" w:hAnsi="Arial"/>
                <w:sz w:val="14"/>
                <w:szCs w:val="14"/>
                <w:color w:val="auto"/>
              </w:rPr>
              <w:t>650,000</w:t>
            </w:r>
          </w:p>
        </w:tc>
        <w:tc>
          <w:tcPr>
            <w:tcW w:w="1220" w:type="dxa"/>
            <w:vAlign w:val="bottom"/>
          </w:tcPr>
          <w:p>
            <w:pPr>
              <w:spacing w:after="0"/>
              <w:rPr>
                <w:sz w:val="17"/>
                <w:szCs w:val="17"/>
                <w:color w:val="auto"/>
              </w:rPr>
            </w:pP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949,983</w:t>
            </w: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1,114,100</w:t>
            </w:r>
          </w:p>
        </w:tc>
        <w:tc>
          <w:tcPr>
            <w:tcW w:w="2120" w:type="dxa"/>
            <w:vAlign w:val="bottom"/>
          </w:tcPr>
          <w:p>
            <w:pPr>
              <w:jc w:val="right"/>
              <w:ind w:right="628"/>
              <w:spacing w:after="0"/>
              <w:rPr>
                <w:sz w:val="20"/>
                <w:szCs w:val="20"/>
                <w:color w:val="auto"/>
              </w:rPr>
            </w:pPr>
            <w:r>
              <w:rPr>
                <w:rFonts w:ascii="Arial" w:cs="Arial" w:eastAsia="Arial" w:hAnsi="Arial"/>
                <w:sz w:val="14"/>
                <w:szCs w:val="14"/>
                <w:color w:val="auto"/>
              </w:rPr>
              <w:t>62,222</w:t>
            </w:r>
          </w:p>
        </w:tc>
        <w:tc>
          <w:tcPr>
            <w:tcW w:w="1460" w:type="dxa"/>
            <w:vAlign w:val="bottom"/>
          </w:tcPr>
          <w:p>
            <w:pPr>
              <w:jc w:val="right"/>
              <w:spacing w:after="0"/>
              <w:rPr>
                <w:sz w:val="20"/>
                <w:szCs w:val="20"/>
                <w:color w:val="auto"/>
              </w:rPr>
            </w:pPr>
            <w:r>
              <w:rPr>
                <w:rFonts w:ascii="Arial" w:cs="Arial" w:eastAsia="Arial" w:hAnsi="Arial"/>
                <w:sz w:val="14"/>
                <w:szCs w:val="14"/>
                <w:color w:val="auto"/>
              </w:rPr>
              <w:t>2,776,305</w:t>
            </w: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1880" w:type="dxa"/>
            <w:vAlign w:val="bottom"/>
            <w:shd w:val="clear" w:color="auto" w:fill="F5F5F5"/>
          </w:tcPr>
          <w:p>
            <w:pPr>
              <w:spacing w:after="0"/>
              <w:rPr>
                <w:sz w:val="19"/>
                <w:szCs w:val="19"/>
                <w:color w:val="auto"/>
              </w:rPr>
            </w:pPr>
          </w:p>
        </w:tc>
        <w:tc>
          <w:tcPr>
            <w:tcW w:w="64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530,000</w:t>
            </w:r>
          </w:p>
        </w:tc>
        <w:tc>
          <w:tcPr>
            <w:tcW w:w="1220" w:type="dxa"/>
            <w:vAlign w:val="bottom"/>
            <w:shd w:val="clear" w:color="auto" w:fill="F5F5F5"/>
          </w:tcPr>
          <w:p>
            <w:pPr>
              <w:spacing w:after="0"/>
              <w:rPr>
                <w:sz w:val="19"/>
                <w:szCs w:val="19"/>
                <w:color w:val="auto"/>
              </w:rPr>
            </w:pPr>
          </w:p>
        </w:tc>
        <w:tc>
          <w:tcPr>
            <w:tcW w:w="1180" w:type="dxa"/>
            <w:vAlign w:val="bottom"/>
            <w:shd w:val="clear" w:color="auto" w:fill="F5F5F5"/>
          </w:tcPr>
          <w:p>
            <w:pPr>
              <w:jc w:val="right"/>
              <w:ind w:right="190"/>
              <w:spacing w:after="0"/>
              <w:rPr>
                <w:sz w:val="20"/>
                <w:szCs w:val="20"/>
                <w:color w:val="auto"/>
              </w:rPr>
            </w:pPr>
            <w:r>
              <w:rPr>
                <w:rFonts w:ascii="Arial" w:cs="Arial" w:eastAsia="Arial" w:hAnsi="Arial"/>
                <w:sz w:val="14"/>
                <w:szCs w:val="14"/>
                <w:color w:val="auto"/>
              </w:rPr>
              <w:t>1,112,954</w:t>
            </w:r>
          </w:p>
        </w:tc>
        <w:tc>
          <w:tcPr>
            <w:tcW w:w="1720" w:type="dxa"/>
            <w:vAlign w:val="bottom"/>
            <w:shd w:val="clear" w:color="auto" w:fill="F5F5F5"/>
          </w:tcPr>
          <w:p>
            <w:pPr>
              <w:jc w:val="right"/>
              <w:ind w:right="210"/>
              <w:spacing w:after="0"/>
              <w:rPr>
                <w:sz w:val="20"/>
                <w:szCs w:val="20"/>
                <w:color w:val="auto"/>
              </w:rPr>
            </w:pPr>
            <w:r>
              <w:rPr>
                <w:rFonts w:ascii="Arial" w:cs="Arial" w:eastAsia="Arial" w:hAnsi="Arial"/>
                <w:sz w:val="14"/>
                <w:szCs w:val="14"/>
                <w:color w:val="auto"/>
              </w:rPr>
              <w:t>881,920</w:t>
            </w:r>
          </w:p>
        </w:tc>
        <w:tc>
          <w:tcPr>
            <w:tcW w:w="2120" w:type="dxa"/>
            <w:vAlign w:val="bottom"/>
            <w:shd w:val="clear" w:color="auto" w:fill="F5F5F5"/>
          </w:tcPr>
          <w:p>
            <w:pPr>
              <w:jc w:val="right"/>
              <w:ind w:right="628"/>
              <w:spacing w:after="0"/>
              <w:rPr>
                <w:sz w:val="20"/>
                <w:szCs w:val="20"/>
                <w:color w:val="auto"/>
              </w:rPr>
            </w:pPr>
            <w:r>
              <w:rPr>
                <w:rFonts w:ascii="Arial" w:cs="Arial" w:eastAsia="Arial" w:hAnsi="Arial"/>
                <w:sz w:val="14"/>
                <w:szCs w:val="14"/>
                <w:color w:val="auto"/>
              </w:rPr>
              <w:t>49,565</w:t>
            </w:r>
          </w:p>
        </w:tc>
        <w:tc>
          <w:tcPr>
            <w:tcW w:w="14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2,574,439</w:t>
            </w:r>
          </w:p>
        </w:tc>
        <w:tc>
          <w:tcPr>
            <w:tcW w:w="0" w:type="dxa"/>
            <w:vAlign w:val="bottom"/>
          </w:tcPr>
          <w:p>
            <w:pPr>
              <w:spacing w:after="0"/>
              <w:rPr>
                <w:sz w:val="1"/>
                <w:szCs w:val="1"/>
                <w:color w:val="auto"/>
              </w:rPr>
            </w:pPr>
          </w:p>
        </w:tc>
      </w:tr>
      <w:tr>
        <w:trPr>
          <w:trHeight w:val="226"/>
        </w:trPr>
        <w:tc>
          <w:tcPr>
            <w:tcW w:w="188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497F"/>
              </w:rPr>
              <w:t>Aurora Swithenbank</w:t>
            </w:r>
          </w:p>
        </w:tc>
        <w:tc>
          <w:tcPr>
            <w:tcW w:w="640" w:type="dxa"/>
            <w:vAlign w:val="bottom"/>
            <w:vMerge w:val="restart"/>
            <w:shd w:val="clear" w:color="auto" w:fill="F5F5F5"/>
          </w:tcPr>
          <w:p>
            <w:pPr>
              <w:jc w:val="center"/>
              <w:spacing w:after="0"/>
              <w:rPr>
                <w:sz w:val="20"/>
                <w:szCs w:val="20"/>
                <w:color w:val="auto"/>
              </w:rPr>
            </w:pPr>
            <w:r>
              <w:rPr>
                <w:rFonts w:ascii="Arial" w:cs="Arial" w:eastAsia="Arial" w:hAnsi="Arial"/>
                <w:sz w:val="14"/>
                <w:szCs w:val="14"/>
                <w:color w:val="auto"/>
              </w:rPr>
              <w:t>2024</w:t>
            </w: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336,667</w:t>
            </w:r>
          </w:p>
        </w:tc>
        <w:tc>
          <w:tcPr>
            <w:tcW w:w="1220" w:type="dxa"/>
            <w:vAlign w:val="bottom"/>
            <w:shd w:val="clear" w:color="auto" w:fill="F5F5F5"/>
          </w:tcPr>
          <w:p>
            <w:pPr>
              <w:spacing w:after="0"/>
              <w:rPr>
                <w:sz w:val="19"/>
                <w:szCs w:val="19"/>
                <w:color w:val="auto"/>
              </w:rPr>
            </w:pPr>
          </w:p>
        </w:tc>
        <w:tc>
          <w:tcPr>
            <w:tcW w:w="1180" w:type="dxa"/>
            <w:vAlign w:val="bottom"/>
            <w:vMerge w:val="restart"/>
            <w:shd w:val="clear" w:color="auto" w:fill="F5F5F5"/>
          </w:tcPr>
          <w:p>
            <w:pPr>
              <w:jc w:val="right"/>
              <w:ind w:right="190"/>
              <w:spacing w:after="0"/>
              <w:rPr>
                <w:sz w:val="20"/>
                <w:szCs w:val="20"/>
                <w:color w:val="auto"/>
              </w:rPr>
            </w:pPr>
            <w:r>
              <w:rPr>
                <w:rFonts w:ascii="Arial" w:cs="Arial" w:eastAsia="Arial" w:hAnsi="Arial"/>
                <w:sz w:val="14"/>
                <w:szCs w:val="14"/>
                <w:color w:val="auto"/>
              </w:rPr>
              <w:t>2,459,478</w:t>
            </w:r>
          </w:p>
        </w:tc>
        <w:tc>
          <w:tcPr>
            <w:tcW w:w="1720" w:type="dxa"/>
            <w:vAlign w:val="bottom"/>
            <w:vMerge w:val="restart"/>
            <w:shd w:val="clear" w:color="auto" w:fill="F5F5F5"/>
          </w:tcPr>
          <w:p>
            <w:pPr>
              <w:jc w:val="right"/>
              <w:ind w:right="210"/>
              <w:spacing w:after="0"/>
              <w:rPr>
                <w:sz w:val="20"/>
                <w:szCs w:val="20"/>
                <w:color w:val="auto"/>
              </w:rPr>
            </w:pPr>
            <w:r>
              <w:rPr>
                <w:rFonts w:ascii="Arial" w:cs="Arial" w:eastAsia="Arial" w:hAnsi="Arial"/>
                <w:sz w:val="14"/>
                <w:szCs w:val="14"/>
                <w:color w:val="auto"/>
              </w:rPr>
              <w:t>909,000</w:t>
            </w:r>
          </w:p>
        </w:tc>
        <w:tc>
          <w:tcPr>
            <w:tcW w:w="2120" w:type="dxa"/>
            <w:vAlign w:val="bottom"/>
            <w:vMerge w:val="restart"/>
            <w:shd w:val="clear" w:color="auto" w:fill="F5F5F5"/>
          </w:tcPr>
          <w:p>
            <w:pPr>
              <w:jc w:val="right"/>
              <w:ind w:right="628"/>
              <w:spacing w:after="0"/>
              <w:rPr>
                <w:sz w:val="20"/>
                <w:szCs w:val="20"/>
                <w:color w:val="auto"/>
              </w:rPr>
            </w:pPr>
            <w:r>
              <w:rPr>
                <w:rFonts w:ascii="Arial" w:cs="Arial" w:eastAsia="Arial" w:hAnsi="Arial"/>
                <w:sz w:val="14"/>
                <w:szCs w:val="14"/>
                <w:color w:val="auto"/>
              </w:rPr>
              <w:t>94,138</w:t>
            </w:r>
          </w:p>
        </w:tc>
        <w:tc>
          <w:tcPr>
            <w:tcW w:w="14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3,799,283</w:t>
            </w:r>
          </w:p>
        </w:tc>
        <w:tc>
          <w:tcPr>
            <w:tcW w:w="0" w:type="dxa"/>
            <w:vAlign w:val="bottom"/>
          </w:tcPr>
          <w:p>
            <w:pPr>
              <w:spacing w:after="0"/>
              <w:rPr>
                <w:sz w:val="1"/>
                <w:szCs w:val="1"/>
                <w:color w:val="auto"/>
              </w:rPr>
            </w:pPr>
          </w:p>
        </w:tc>
      </w:tr>
      <w:tr>
        <w:trPr>
          <w:trHeight w:val="85"/>
        </w:trPr>
        <w:tc>
          <w:tcPr>
            <w:tcW w:w="1880" w:type="dxa"/>
            <w:vAlign w:val="bottom"/>
            <w:vMerge w:val="restart"/>
            <w:shd w:val="clear" w:color="auto" w:fill="F5F5F5"/>
          </w:tcPr>
          <w:p>
            <w:pPr>
              <w:ind w:left="140"/>
              <w:spacing w:after="0" w:line="174" w:lineRule="exact"/>
              <w:rPr>
                <w:sz w:val="20"/>
                <w:szCs w:val="20"/>
                <w:color w:val="auto"/>
              </w:rPr>
            </w:pPr>
            <w:r>
              <w:rPr>
                <w:rFonts w:ascii="Arial" w:cs="Arial" w:eastAsia="Arial" w:hAnsi="Arial"/>
                <w:sz w:val="14"/>
                <w:szCs w:val="14"/>
                <w:color w:val="auto"/>
              </w:rPr>
              <w:t>Chief Financial Officer</w:t>
            </w:r>
            <w:r>
              <w:rPr>
                <w:rFonts w:ascii="Arial" w:cs="Arial" w:eastAsia="Arial" w:hAnsi="Arial"/>
                <w:sz w:val="18"/>
                <w:szCs w:val="18"/>
                <w:color w:val="auto"/>
                <w:vertAlign w:val="superscript"/>
              </w:rPr>
              <w:t>(4)</w:t>
            </w:r>
          </w:p>
        </w:tc>
        <w:tc>
          <w:tcPr>
            <w:tcW w:w="640" w:type="dxa"/>
            <w:vAlign w:val="bottom"/>
            <w:vMerge w:val="continue"/>
            <w:shd w:val="clear" w:color="auto" w:fill="F5F5F5"/>
          </w:tcPr>
          <w:p>
            <w:pPr>
              <w:spacing w:after="0"/>
              <w:rPr>
                <w:sz w:val="7"/>
                <w:szCs w:val="7"/>
                <w:color w:val="auto"/>
              </w:rPr>
            </w:pPr>
          </w:p>
        </w:tc>
        <w:tc>
          <w:tcPr>
            <w:tcW w:w="860" w:type="dxa"/>
            <w:vAlign w:val="bottom"/>
            <w:vMerge w:val="continue"/>
            <w:shd w:val="clear" w:color="auto" w:fill="F5F5F5"/>
          </w:tcPr>
          <w:p>
            <w:pPr>
              <w:spacing w:after="0"/>
              <w:rPr>
                <w:sz w:val="7"/>
                <w:szCs w:val="7"/>
                <w:color w:val="auto"/>
              </w:rPr>
            </w:pPr>
          </w:p>
        </w:tc>
        <w:tc>
          <w:tcPr>
            <w:tcW w:w="1220" w:type="dxa"/>
            <w:vAlign w:val="bottom"/>
            <w:shd w:val="clear" w:color="auto" w:fill="F5F5F5"/>
          </w:tcPr>
          <w:p>
            <w:pPr>
              <w:spacing w:after="0"/>
              <w:rPr>
                <w:sz w:val="7"/>
                <w:szCs w:val="7"/>
                <w:color w:val="auto"/>
              </w:rPr>
            </w:pPr>
          </w:p>
        </w:tc>
        <w:tc>
          <w:tcPr>
            <w:tcW w:w="1180" w:type="dxa"/>
            <w:vAlign w:val="bottom"/>
            <w:vMerge w:val="continue"/>
            <w:shd w:val="clear" w:color="auto" w:fill="F5F5F5"/>
          </w:tcPr>
          <w:p>
            <w:pPr>
              <w:spacing w:after="0"/>
              <w:rPr>
                <w:sz w:val="7"/>
                <w:szCs w:val="7"/>
                <w:color w:val="auto"/>
              </w:rPr>
            </w:pPr>
          </w:p>
        </w:tc>
        <w:tc>
          <w:tcPr>
            <w:tcW w:w="1720" w:type="dxa"/>
            <w:vAlign w:val="bottom"/>
            <w:vMerge w:val="continue"/>
            <w:shd w:val="clear" w:color="auto" w:fill="F5F5F5"/>
          </w:tcPr>
          <w:p>
            <w:pPr>
              <w:spacing w:after="0"/>
              <w:rPr>
                <w:sz w:val="7"/>
                <w:szCs w:val="7"/>
                <w:color w:val="auto"/>
              </w:rPr>
            </w:pPr>
          </w:p>
        </w:tc>
        <w:tc>
          <w:tcPr>
            <w:tcW w:w="2120" w:type="dxa"/>
            <w:vAlign w:val="bottom"/>
            <w:vMerge w:val="continue"/>
            <w:shd w:val="clear" w:color="auto" w:fill="F5F5F5"/>
          </w:tcPr>
          <w:p>
            <w:pPr>
              <w:spacing w:after="0"/>
              <w:rPr>
                <w:sz w:val="7"/>
                <w:szCs w:val="7"/>
                <w:color w:val="auto"/>
              </w:rPr>
            </w:pPr>
          </w:p>
        </w:tc>
        <w:tc>
          <w:tcPr>
            <w:tcW w:w="14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80" w:type="dxa"/>
            <w:vAlign w:val="bottom"/>
            <w:vMerge w:val="continue"/>
            <w:shd w:val="clear" w:color="auto" w:fill="F5F5F5"/>
          </w:tcPr>
          <w:p>
            <w:pPr>
              <w:spacing w:after="0"/>
              <w:rPr>
                <w:sz w:val="7"/>
                <w:szCs w:val="7"/>
                <w:color w:val="auto"/>
              </w:rPr>
            </w:pPr>
          </w:p>
        </w:tc>
        <w:tc>
          <w:tcPr>
            <w:tcW w:w="640" w:type="dxa"/>
            <w:vAlign w:val="bottom"/>
            <w:shd w:val="clear" w:color="auto" w:fill="F5F5F5"/>
          </w:tcPr>
          <w:p>
            <w:pPr>
              <w:spacing w:after="0"/>
              <w:rPr>
                <w:sz w:val="7"/>
                <w:szCs w:val="7"/>
                <w:color w:val="auto"/>
              </w:rPr>
            </w:pPr>
          </w:p>
        </w:tc>
        <w:tc>
          <w:tcPr>
            <w:tcW w:w="860" w:type="dxa"/>
            <w:vAlign w:val="bottom"/>
            <w:shd w:val="clear" w:color="auto" w:fill="F5F5F5"/>
          </w:tcPr>
          <w:p>
            <w:pPr>
              <w:spacing w:after="0"/>
              <w:rPr>
                <w:sz w:val="7"/>
                <w:szCs w:val="7"/>
                <w:color w:val="auto"/>
              </w:rPr>
            </w:pPr>
          </w:p>
        </w:tc>
        <w:tc>
          <w:tcPr>
            <w:tcW w:w="1220" w:type="dxa"/>
            <w:vAlign w:val="bottom"/>
            <w:shd w:val="clear" w:color="auto" w:fill="F5F5F5"/>
          </w:tcPr>
          <w:p>
            <w:pPr>
              <w:spacing w:after="0"/>
              <w:rPr>
                <w:sz w:val="7"/>
                <w:szCs w:val="7"/>
                <w:color w:val="auto"/>
              </w:rPr>
            </w:pPr>
          </w:p>
        </w:tc>
        <w:tc>
          <w:tcPr>
            <w:tcW w:w="1180" w:type="dxa"/>
            <w:vAlign w:val="bottom"/>
            <w:shd w:val="clear" w:color="auto" w:fill="F5F5F5"/>
          </w:tcPr>
          <w:p>
            <w:pPr>
              <w:spacing w:after="0"/>
              <w:rPr>
                <w:sz w:val="7"/>
                <w:szCs w:val="7"/>
                <w:color w:val="auto"/>
              </w:rPr>
            </w:pPr>
          </w:p>
        </w:tc>
        <w:tc>
          <w:tcPr>
            <w:tcW w:w="1720" w:type="dxa"/>
            <w:vAlign w:val="bottom"/>
            <w:shd w:val="clear" w:color="auto" w:fill="F5F5F5"/>
          </w:tcPr>
          <w:p>
            <w:pPr>
              <w:spacing w:after="0"/>
              <w:rPr>
                <w:sz w:val="7"/>
                <w:szCs w:val="7"/>
                <w:color w:val="auto"/>
              </w:rPr>
            </w:pPr>
          </w:p>
        </w:tc>
        <w:tc>
          <w:tcPr>
            <w:tcW w:w="2120" w:type="dxa"/>
            <w:vAlign w:val="bottom"/>
            <w:shd w:val="clear" w:color="auto" w:fill="F5F5F5"/>
          </w:tcPr>
          <w:p>
            <w:pPr>
              <w:spacing w:after="0"/>
              <w:rPr>
                <w:sz w:val="7"/>
                <w:szCs w:val="7"/>
                <w:color w:val="auto"/>
              </w:rPr>
            </w:pPr>
          </w:p>
        </w:tc>
        <w:tc>
          <w:tcPr>
            <w:tcW w:w="146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311"/>
        </w:trPr>
        <w:tc>
          <w:tcPr>
            <w:tcW w:w="1880" w:type="dxa"/>
            <w:vAlign w:val="bottom"/>
            <w:shd w:val="clear" w:color="auto" w:fill="F5F5F5"/>
          </w:tcPr>
          <w:p>
            <w:pPr>
              <w:spacing w:after="0"/>
              <w:rPr>
                <w:sz w:val="24"/>
                <w:szCs w:val="24"/>
                <w:color w:val="auto"/>
              </w:rPr>
            </w:pPr>
          </w:p>
        </w:tc>
        <w:tc>
          <w:tcPr>
            <w:tcW w:w="640" w:type="dxa"/>
            <w:vAlign w:val="bottom"/>
            <w:shd w:val="clear" w:color="auto" w:fill="F5F5F5"/>
          </w:tcPr>
          <w:p>
            <w:pPr>
              <w:spacing w:after="0"/>
              <w:rPr>
                <w:sz w:val="24"/>
                <w:szCs w:val="24"/>
                <w:color w:val="auto"/>
              </w:rPr>
            </w:pPr>
          </w:p>
        </w:tc>
        <w:tc>
          <w:tcPr>
            <w:tcW w:w="860" w:type="dxa"/>
            <w:vAlign w:val="bottom"/>
            <w:shd w:val="clear" w:color="auto" w:fill="F5F5F5"/>
          </w:tcPr>
          <w:p>
            <w:pPr>
              <w:spacing w:after="0"/>
              <w:rPr>
                <w:sz w:val="24"/>
                <w:szCs w:val="24"/>
                <w:color w:val="auto"/>
              </w:rPr>
            </w:pPr>
          </w:p>
        </w:tc>
        <w:tc>
          <w:tcPr>
            <w:tcW w:w="1220" w:type="dxa"/>
            <w:vAlign w:val="bottom"/>
            <w:shd w:val="clear" w:color="auto" w:fill="F5F5F5"/>
          </w:tcPr>
          <w:p>
            <w:pPr>
              <w:spacing w:after="0"/>
              <w:rPr>
                <w:sz w:val="24"/>
                <w:szCs w:val="24"/>
                <w:color w:val="auto"/>
              </w:rPr>
            </w:pPr>
          </w:p>
        </w:tc>
        <w:tc>
          <w:tcPr>
            <w:tcW w:w="1180" w:type="dxa"/>
            <w:vAlign w:val="bottom"/>
            <w:shd w:val="clear" w:color="auto" w:fill="F5F5F5"/>
          </w:tcPr>
          <w:p>
            <w:pPr>
              <w:spacing w:after="0"/>
              <w:rPr>
                <w:sz w:val="24"/>
                <w:szCs w:val="24"/>
                <w:color w:val="auto"/>
              </w:rPr>
            </w:pPr>
          </w:p>
        </w:tc>
        <w:tc>
          <w:tcPr>
            <w:tcW w:w="1720" w:type="dxa"/>
            <w:vAlign w:val="bottom"/>
            <w:shd w:val="clear" w:color="auto" w:fill="F5F5F5"/>
          </w:tcPr>
          <w:p>
            <w:pPr>
              <w:spacing w:after="0"/>
              <w:rPr>
                <w:sz w:val="24"/>
                <w:szCs w:val="24"/>
                <w:color w:val="auto"/>
              </w:rPr>
            </w:pPr>
          </w:p>
        </w:tc>
        <w:tc>
          <w:tcPr>
            <w:tcW w:w="2120" w:type="dxa"/>
            <w:vAlign w:val="bottom"/>
            <w:shd w:val="clear" w:color="auto" w:fill="F5F5F5"/>
          </w:tcPr>
          <w:p>
            <w:pPr>
              <w:spacing w:after="0"/>
              <w:rPr>
                <w:sz w:val="24"/>
                <w:szCs w:val="24"/>
                <w:color w:val="auto"/>
              </w:rPr>
            </w:pPr>
          </w:p>
        </w:tc>
        <w:tc>
          <w:tcPr>
            <w:tcW w:w="146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880" w:type="dxa"/>
            <w:vAlign w:val="bottom"/>
            <w:vMerge w:val="restart"/>
          </w:tcPr>
          <w:p>
            <w:pPr>
              <w:ind w:left="140"/>
              <w:spacing w:after="0"/>
              <w:rPr>
                <w:sz w:val="20"/>
                <w:szCs w:val="20"/>
                <w:color w:val="auto"/>
              </w:rPr>
            </w:pPr>
            <w:r>
              <w:rPr>
                <w:rFonts w:ascii="Arial" w:cs="Arial" w:eastAsia="Arial" w:hAnsi="Arial"/>
                <w:sz w:val="14"/>
                <w:szCs w:val="14"/>
                <w:b w:val="1"/>
                <w:bCs w:val="1"/>
                <w:color w:val="005388"/>
              </w:rPr>
              <w:t>William J. Leatherberry</w:t>
            </w:r>
          </w:p>
        </w:tc>
        <w:tc>
          <w:tcPr>
            <w:tcW w:w="640" w:type="dxa"/>
            <w:vAlign w:val="bottom"/>
          </w:tcPr>
          <w:p>
            <w:pPr>
              <w:jc w:val="center"/>
              <w:spacing w:after="0"/>
              <w:rPr>
                <w:sz w:val="20"/>
                <w:szCs w:val="20"/>
                <w:color w:val="auto"/>
              </w:rPr>
            </w:pPr>
            <w:r>
              <w:rPr>
                <w:rFonts w:ascii="Arial" w:cs="Arial" w:eastAsia="Arial" w:hAnsi="Arial"/>
                <w:sz w:val="14"/>
                <w:szCs w:val="14"/>
                <w:color w:val="auto"/>
              </w:rPr>
              <w:t>2025</w:t>
            </w:r>
          </w:p>
        </w:tc>
        <w:tc>
          <w:tcPr>
            <w:tcW w:w="860" w:type="dxa"/>
            <w:vAlign w:val="bottom"/>
          </w:tcPr>
          <w:p>
            <w:pPr>
              <w:jc w:val="right"/>
              <w:spacing w:after="0"/>
              <w:rPr>
                <w:sz w:val="20"/>
                <w:szCs w:val="20"/>
                <w:color w:val="auto"/>
              </w:rPr>
            </w:pPr>
            <w:r>
              <w:rPr>
                <w:rFonts w:ascii="Arial" w:cs="Arial" w:eastAsia="Arial" w:hAnsi="Arial"/>
                <w:sz w:val="14"/>
                <w:szCs w:val="14"/>
                <w:color w:val="auto"/>
              </w:rPr>
              <w:t>615,000</w:t>
            </w:r>
          </w:p>
        </w:tc>
        <w:tc>
          <w:tcPr>
            <w:tcW w:w="1220" w:type="dxa"/>
            <w:vAlign w:val="bottom"/>
          </w:tcPr>
          <w:p>
            <w:pPr>
              <w:spacing w:after="0"/>
              <w:rPr>
                <w:sz w:val="19"/>
                <w:szCs w:val="19"/>
                <w:color w:val="auto"/>
              </w:rPr>
            </w:pP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1,383,686</w:t>
            </w: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1,023,360</w:t>
            </w:r>
          </w:p>
        </w:tc>
        <w:tc>
          <w:tcPr>
            <w:tcW w:w="2120" w:type="dxa"/>
            <w:vAlign w:val="bottom"/>
          </w:tcPr>
          <w:p>
            <w:pPr>
              <w:jc w:val="right"/>
              <w:ind w:right="628"/>
              <w:spacing w:after="0"/>
              <w:rPr>
                <w:sz w:val="20"/>
                <w:szCs w:val="20"/>
                <w:color w:val="auto"/>
              </w:rPr>
            </w:pPr>
            <w:r>
              <w:rPr>
                <w:rFonts w:ascii="Arial" w:cs="Arial" w:eastAsia="Arial" w:hAnsi="Arial"/>
                <w:sz w:val="14"/>
                <w:szCs w:val="14"/>
                <w:color w:val="auto"/>
              </w:rPr>
              <w:t>49,565</w:t>
            </w:r>
          </w:p>
        </w:tc>
        <w:tc>
          <w:tcPr>
            <w:tcW w:w="1460" w:type="dxa"/>
            <w:vAlign w:val="bottom"/>
          </w:tcPr>
          <w:p>
            <w:pPr>
              <w:jc w:val="right"/>
              <w:spacing w:after="0"/>
              <w:rPr>
                <w:sz w:val="20"/>
                <w:szCs w:val="20"/>
                <w:color w:val="auto"/>
              </w:rPr>
            </w:pPr>
            <w:r>
              <w:rPr>
                <w:rFonts w:ascii="Arial" w:cs="Arial" w:eastAsia="Arial" w:hAnsi="Arial"/>
                <w:sz w:val="14"/>
                <w:szCs w:val="14"/>
                <w:color w:val="auto"/>
              </w:rPr>
              <w:t>3,071,611</w:t>
            </w:r>
          </w:p>
        </w:tc>
        <w:tc>
          <w:tcPr>
            <w:tcW w:w="0" w:type="dxa"/>
            <w:vAlign w:val="bottom"/>
          </w:tcPr>
          <w:p>
            <w:pPr>
              <w:spacing w:after="0"/>
              <w:rPr>
                <w:sz w:val="1"/>
                <w:szCs w:val="1"/>
                <w:color w:val="auto"/>
              </w:rPr>
            </w:pPr>
          </w:p>
        </w:tc>
      </w:tr>
      <w:tr>
        <w:trPr>
          <w:trHeight w:val="120"/>
        </w:trPr>
        <w:tc>
          <w:tcPr>
            <w:tcW w:w="188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140"/>
              <w:spacing w:after="0"/>
              <w:rPr>
                <w:sz w:val="20"/>
                <w:szCs w:val="20"/>
                <w:color w:val="auto"/>
              </w:rPr>
            </w:pPr>
            <w:r>
              <w:rPr>
                <w:rFonts w:ascii="Arial" w:cs="Arial" w:eastAsia="Arial" w:hAnsi="Arial"/>
                <w:sz w:val="14"/>
                <w:szCs w:val="14"/>
                <w:color w:val="auto"/>
              </w:rPr>
              <w:t>Chief Administrative</w:t>
            </w:r>
          </w:p>
        </w:tc>
        <w:tc>
          <w:tcPr>
            <w:tcW w:w="640" w:type="dxa"/>
            <w:vAlign w:val="bottom"/>
          </w:tcPr>
          <w:p>
            <w:pPr>
              <w:jc w:val="center"/>
              <w:spacing w:after="0"/>
              <w:rPr>
                <w:sz w:val="20"/>
                <w:szCs w:val="20"/>
                <w:color w:val="auto"/>
              </w:rPr>
            </w:pPr>
            <w:r>
              <w:rPr>
                <w:rFonts w:ascii="Arial" w:cs="Arial" w:eastAsia="Arial" w:hAnsi="Arial"/>
                <w:sz w:val="14"/>
                <w:szCs w:val="14"/>
                <w:color w:val="auto"/>
              </w:rPr>
              <w:t>2024</w:t>
            </w:r>
          </w:p>
        </w:tc>
        <w:tc>
          <w:tcPr>
            <w:tcW w:w="860" w:type="dxa"/>
            <w:vAlign w:val="bottom"/>
          </w:tcPr>
          <w:p>
            <w:pPr>
              <w:jc w:val="right"/>
              <w:spacing w:after="0"/>
              <w:rPr>
                <w:sz w:val="20"/>
                <w:szCs w:val="20"/>
                <w:color w:val="auto"/>
              </w:rPr>
            </w:pPr>
            <w:r>
              <w:rPr>
                <w:rFonts w:ascii="Arial" w:cs="Arial" w:eastAsia="Arial" w:hAnsi="Arial"/>
                <w:sz w:val="14"/>
                <w:szCs w:val="14"/>
                <w:color w:val="auto"/>
              </w:rPr>
              <w:t>585,000</w:t>
            </w:r>
          </w:p>
        </w:tc>
        <w:tc>
          <w:tcPr>
            <w:tcW w:w="1220" w:type="dxa"/>
            <w:vAlign w:val="bottom"/>
          </w:tcPr>
          <w:p>
            <w:pPr>
              <w:spacing w:after="0"/>
              <w:rPr>
                <w:sz w:val="14"/>
                <w:szCs w:val="14"/>
                <w:color w:val="auto"/>
              </w:rPr>
            </w:pPr>
          </w:p>
        </w:tc>
        <w:tc>
          <w:tcPr>
            <w:tcW w:w="1180" w:type="dxa"/>
            <w:vAlign w:val="bottom"/>
          </w:tcPr>
          <w:p>
            <w:pPr>
              <w:jc w:val="right"/>
              <w:ind w:right="190"/>
              <w:spacing w:after="0"/>
              <w:rPr>
                <w:sz w:val="20"/>
                <w:szCs w:val="20"/>
                <w:color w:val="auto"/>
              </w:rPr>
            </w:pPr>
            <w:r>
              <w:rPr>
                <w:rFonts w:ascii="Arial" w:cs="Arial" w:eastAsia="Arial" w:hAnsi="Arial"/>
                <w:sz w:val="14"/>
                <w:szCs w:val="14"/>
                <w:color w:val="auto"/>
              </w:rPr>
              <w:t>1,316,981</w:t>
            </w:r>
          </w:p>
        </w:tc>
        <w:tc>
          <w:tcPr>
            <w:tcW w:w="1720" w:type="dxa"/>
            <w:vAlign w:val="bottom"/>
          </w:tcPr>
          <w:p>
            <w:pPr>
              <w:jc w:val="right"/>
              <w:ind w:right="210"/>
              <w:spacing w:after="0"/>
              <w:rPr>
                <w:sz w:val="20"/>
                <w:szCs w:val="20"/>
                <w:color w:val="auto"/>
              </w:rPr>
            </w:pPr>
            <w:r>
              <w:rPr>
                <w:rFonts w:ascii="Arial" w:cs="Arial" w:eastAsia="Arial" w:hAnsi="Arial"/>
                <w:sz w:val="14"/>
                <w:szCs w:val="14"/>
                <w:color w:val="auto"/>
              </w:rPr>
              <w:t>1,053,000</w:t>
            </w:r>
          </w:p>
        </w:tc>
        <w:tc>
          <w:tcPr>
            <w:tcW w:w="2120" w:type="dxa"/>
            <w:vAlign w:val="bottom"/>
          </w:tcPr>
          <w:p>
            <w:pPr>
              <w:jc w:val="right"/>
              <w:ind w:right="628"/>
              <w:spacing w:after="0"/>
              <w:rPr>
                <w:sz w:val="20"/>
                <w:szCs w:val="20"/>
                <w:color w:val="auto"/>
              </w:rPr>
            </w:pPr>
            <w:r>
              <w:rPr>
                <w:rFonts w:ascii="Arial" w:cs="Arial" w:eastAsia="Arial" w:hAnsi="Arial"/>
                <w:sz w:val="14"/>
                <w:szCs w:val="14"/>
                <w:color w:val="auto"/>
              </w:rPr>
              <w:t>49,315</w:t>
            </w:r>
          </w:p>
        </w:tc>
        <w:tc>
          <w:tcPr>
            <w:tcW w:w="1460" w:type="dxa"/>
            <w:vAlign w:val="bottom"/>
          </w:tcPr>
          <w:p>
            <w:pPr>
              <w:jc w:val="right"/>
              <w:spacing w:after="0"/>
              <w:rPr>
                <w:sz w:val="20"/>
                <w:szCs w:val="20"/>
                <w:color w:val="auto"/>
              </w:rPr>
            </w:pPr>
            <w:r>
              <w:rPr>
                <w:rFonts w:ascii="Arial" w:cs="Arial" w:eastAsia="Arial" w:hAnsi="Arial"/>
                <w:sz w:val="14"/>
                <w:szCs w:val="14"/>
                <w:color w:val="auto"/>
              </w:rPr>
              <w:t>3,004,296</w:t>
            </w:r>
          </w:p>
        </w:tc>
        <w:tc>
          <w:tcPr>
            <w:tcW w:w="0" w:type="dxa"/>
            <w:vAlign w:val="bottom"/>
          </w:tcPr>
          <w:p>
            <w:pPr>
              <w:spacing w:after="0"/>
              <w:rPr>
                <w:sz w:val="1"/>
                <w:szCs w:val="1"/>
                <w:color w:val="auto"/>
              </w:rPr>
            </w:pPr>
          </w:p>
        </w:tc>
      </w:tr>
      <w:tr>
        <w:trPr>
          <w:trHeight w:val="190"/>
        </w:trPr>
        <w:tc>
          <w:tcPr>
            <w:tcW w:w="1880" w:type="dxa"/>
            <w:vAlign w:val="bottom"/>
          </w:tcPr>
          <w:p>
            <w:pPr>
              <w:ind w:left="140"/>
              <w:spacing w:after="0"/>
              <w:rPr>
                <w:sz w:val="20"/>
                <w:szCs w:val="20"/>
                <w:color w:val="auto"/>
              </w:rPr>
            </w:pPr>
            <w:r>
              <w:rPr>
                <w:rFonts w:ascii="Arial" w:cs="Arial" w:eastAsia="Arial" w:hAnsi="Arial"/>
                <w:sz w:val="14"/>
                <w:szCs w:val="14"/>
                <w:color w:val="auto"/>
              </w:rPr>
              <w:t>Officer, General Counsel</w:t>
            </w:r>
          </w:p>
        </w:tc>
        <w:tc>
          <w:tcPr>
            <w:tcW w:w="640" w:type="dxa"/>
            <w:vAlign w:val="bottom"/>
            <w:vMerge w:val="restart"/>
          </w:tcPr>
          <w:p>
            <w:pPr>
              <w:jc w:val="center"/>
              <w:spacing w:after="0"/>
              <w:rPr>
                <w:sz w:val="20"/>
                <w:szCs w:val="20"/>
                <w:color w:val="auto"/>
              </w:rPr>
            </w:pPr>
            <w:r>
              <w:rPr>
                <w:rFonts w:ascii="Arial" w:cs="Arial" w:eastAsia="Arial" w:hAnsi="Arial"/>
                <w:sz w:val="14"/>
                <w:szCs w:val="14"/>
                <w:color w:val="auto"/>
              </w:rPr>
              <w:t>2023</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570,000</w:t>
            </w:r>
          </w:p>
        </w:tc>
        <w:tc>
          <w:tcPr>
            <w:tcW w:w="1220" w:type="dxa"/>
            <w:vAlign w:val="bottom"/>
          </w:tcPr>
          <w:p>
            <w:pPr>
              <w:spacing w:after="0"/>
              <w:rPr>
                <w:sz w:val="16"/>
                <w:szCs w:val="16"/>
                <w:color w:val="auto"/>
              </w:rPr>
            </w:pPr>
          </w:p>
        </w:tc>
        <w:tc>
          <w:tcPr>
            <w:tcW w:w="1180" w:type="dxa"/>
            <w:vAlign w:val="bottom"/>
            <w:vMerge w:val="restart"/>
          </w:tcPr>
          <w:p>
            <w:pPr>
              <w:jc w:val="right"/>
              <w:ind w:right="190"/>
              <w:spacing w:after="0"/>
              <w:rPr>
                <w:sz w:val="20"/>
                <w:szCs w:val="20"/>
                <w:color w:val="auto"/>
              </w:rPr>
            </w:pPr>
            <w:r>
              <w:rPr>
                <w:rFonts w:ascii="Arial" w:cs="Arial" w:eastAsia="Arial" w:hAnsi="Arial"/>
                <w:sz w:val="14"/>
                <w:szCs w:val="14"/>
                <w:color w:val="auto"/>
              </w:rPr>
              <w:t>1,168,982</w:t>
            </w:r>
          </w:p>
        </w:tc>
        <w:tc>
          <w:tcPr>
            <w:tcW w:w="1720" w:type="dxa"/>
            <w:vAlign w:val="bottom"/>
            <w:vMerge w:val="restart"/>
          </w:tcPr>
          <w:p>
            <w:pPr>
              <w:jc w:val="right"/>
              <w:ind w:right="210"/>
              <w:spacing w:after="0"/>
              <w:rPr>
                <w:sz w:val="20"/>
                <w:szCs w:val="20"/>
                <w:color w:val="auto"/>
              </w:rPr>
            </w:pPr>
            <w:r>
              <w:rPr>
                <w:rFonts w:ascii="Arial" w:cs="Arial" w:eastAsia="Arial" w:hAnsi="Arial"/>
                <w:sz w:val="14"/>
                <w:szCs w:val="14"/>
                <w:color w:val="auto"/>
              </w:rPr>
              <w:t>976,980</w:t>
            </w:r>
          </w:p>
        </w:tc>
        <w:tc>
          <w:tcPr>
            <w:tcW w:w="2120" w:type="dxa"/>
            <w:vAlign w:val="bottom"/>
            <w:vMerge w:val="restart"/>
          </w:tcPr>
          <w:p>
            <w:pPr>
              <w:jc w:val="right"/>
              <w:ind w:right="628"/>
              <w:spacing w:after="0"/>
              <w:rPr>
                <w:sz w:val="20"/>
                <w:szCs w:val="20"/>
                <w:color w:val="auto"/>
              </w:rPr>
            </w:pPr>
            <w:r>
              <w:rPr>
                <w:rFonts w:ascii="Arial" w:cs="Arial" w:eastAsia="Arial" w:hAnsi="Arial"/>
                <w:sz w:val="14"/>
                <w:szCs w:val="14"/>
                <w:color w:val="auto"/>
              </w:rPr>
              <w:t>48,565</w:t>
            </w: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2,764,527</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1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72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880" w:type="dxa"/>
            <w:vAlign w:val="bottom"/>
            <w:shd w:val="clear" w:color="auto" w:fill="F5F5F5"/>
          </w:tcPr>
          <w:p>
            <w:pPr>
              <w:spacing w:after="0"/>
              <w:rPr>
                <w:sz w:val="19"/>
                <w:szCs w:val="19"/>
                <w:color w:val="auto"/>
              </w:rPr>
            </w:pPr>
          </w:p>
        </w:tc>
        <w:tc>
          <w:tcPr>
            <w:tcW w:w="64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2025</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515,000</w:t>
            </w:r>
          </w:p>
        </w:tc>
        <w:tc>
          <w:tcPr>
            <w:tcW w:w="1220" w:type="dxa"/>
            <w:vAlign w:val="bottom"/>
            <w:shd w:val="clear" w:color="auto" w:fill="F5F5F5"/>
          </w:tcPr>
          <w:p>
            <w:pPr>
              <w:spacing w:after="0"/>
              <w:rPr>
                <w:sz w:val="19"/>
                <w:szCs w:val="19"/>
                <w:color w:val="auto"/>
              </w:rPr>
            </w:pPr>
          </w:p>
        </w:tc>
        <w:tc>
          <w:tcPr>
            <w:tcW w:w="1180" w:type="dxa"/>
            <w:vAlign w:val="bottom"/>
            <w:shd w:val="clear" w:color="auto" w:fill="F5F5F5"/>
          </w:tcPr>
          <w:p>
            <w:pPr>
              <w:jc w:val="right"/>
              <w:ind w:right="190"/>
              <w:spacing w:after="0"/>
              <w:rPr>
                <w:sz w:val="20"/>
                <w:szCs w:val="20"/>
                <w:color w:val="auto"/>
              </w:rPr>
            </w:pPr>
            <w:r>
              <w:rPr>
                <w:rFonts w:ascii="Arial" w:cs="Arial" w:eastAsia="Arial" w:hAnsi="Arial"/>
                <w:sz w:val="14"/>
                <w:szCs w:val="14"/>
                <w:color w:val="auto"/>
              </w:rPr>
              <w:t>1,029,978</w:t>
            </w:r>
          </w:p>
        </w:tc>
        <w:tc>
          <w:tcPr>
            <w:tcW w:w="1720" w:type="dxa"/>
            <w:vAlign w:val="bottom"/>
            <w:shd w:val="clear" w:color="auto" w:fill="F5F5F5"/>
          </w:tcPr>
          <w:p>
            <w:pPr>
              <w:jc w:val="right"/>
              <w:ind w:right="210"/>
              <w:spacing w:after="0"/>
              <w:rPr>
                <w:sz w:val="20"/>
                <w:szCs w:val="20"/>
                <w:color w:val="auto"/>
              </w:rPr>
            </w:pPr>
            <w:r>
              <w:rPr>
                <w:rFonts w:ascii="Arial" w:cs="Arial" w:eastAsia="Arial" w:hAnsi="Arial"/>
                <w:sz w:val="14"/>
                <w:szCs w:val="14"/>
                <w:color w:val="auto"/>
              </w:rPr>
              <w:t>856,960</w:t>
            </w:r>
          </w:p>
        </w:tc>
        <w:tc>
          <w:tcPr>
            <w:tcW w:w="2120" w:type="dxa"/>
            <w:vAlign w:val="bottom"/>
            <w:shd w:val="clear" w:color="auto" w:fill="F5F5F5"/>
          </w:tcPr>
          <w:p>
            <w:pPr>
              <w:jc w:val="right"/>
              <w:ind w:right="628"/>
              <w:spacing w:after="0"/>
              <w:rPr>
                <w:sz w:val="20"/>
                <w:szCs w:val="20"/>
                <w:color w:val="auto"/>
              </w:rPr>
            </w:pPr>
            <w:r>
              <w:rPr>
                <w:rFonts w:ascii="Arial" w:cs="Arial" w:eastAsia="Arial" w:hAnsi="Arial"/>
                <w:sz w:val="14"/>
                <w:szCs w:val="14"/>
                <w:color w:val="auto"/>
              </w:rPr>
              <w:t>49,565</w:t>
            </w:r>
          </w:p>
        </w:tc>
        <w:tc>
          <w:tcPr>
            <w:tcW w:w="14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2,451,503</w:t>
            </w:r>
          </w:p>
        </w:tc>
        <w:tc>
          <w:tcPr>
            <w:tcW w:w="0" w:type="dxa"/>
            <w:vAlign w:val="bottom"/>
          </w:tcPr>
          <w:p>
            <w:pPr>
              <w:spacing w:after="0"/>
              <w:rPr>
                <w:sz w:val="1"/>
                <w:szCs w:val="1"/>
                <w:color w:val="auto"/>
              </w:rPr>
            </w:pPr>
          </w:p>
        </w:tc>
      </w:tr>
      <w:tr>
        <w:trPr>
          <w:trHeight w:val="228"/>
        </w:trPr>
        <w:tc>
          <w:tcPr>
            <w:tcW w:w="1880" w:type="dxa"/>
            <w:vAlign w:val="bottom"/>
            <w:shd w:val="clear" w:color="auto" w:fill="F5F5F5"/>
          </w:tcPr>
          <w:p>
            <w:pPr>
              <w:ind w:left="140"/>
              <w:spacing w:after="0"/>
              <w:rPr>
                <w:sz w:val="20"/>
                <w:szCs w:val="20"/>
                <w:color w:val="auto"/>
              </w:rPr>
            </w:pPr>
            <w:r>
              <w:rPr>
                <w:rFonts w:ascii="Arial" w:cs="Arial" w:eastAsia="Arial" w:hAnsi="Arial"/>
                <w:sz w:val="14"/>
                <w:szCs w:val="14"/>
                <w:b w:val="1"/>
                <w:bCs w:val="1"/>
                <w:color w:val="00497F"/>
              </w:rPr>
              <w:t>Robert Smith</w:t>
            </w:r>
          </w:p>
        </w:tc>
        <w:tc>
          <w:tcPr>
            <w:tcW w:w="640" w:type="dxa"/>
            <w:vAlign w:val="bottom"/>
            <w:vMerge w:val="restart"/>
            <w:shd w:val="clear" w:color="auto" w:fill="F5F5F5"/>
          </w:tcPr>
          <w:p>
            <w:pPr>
              <w:jc w:val="center"/>
              <w:spacing w:after="0"/>
              <w:rPr>
                <w:sz w:val="20"/>
                <w:szCs w:val="20"/>
                <w:color w:val="auto"/>
              </w:rPr>
            </w:pPr>
            <w:r>
              <w:rPr>
                <w:rFonts w:ascii="Arial" w:cs="Arial" w:eastAsia="Arial" w:hAnsi="Arial"/>
                <w:sz w:val="14"/>
                <w:szCs w:val="14"/>
                <w:color w:val="auto"/>
              </w:rPr>
              <w:t>2024</w:t>
            </w:r>
          </w:p>
        </w:tc>
        <w:tc>
          <w:tcPr>
            <w:tcW w:w="8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485,000</w:t>
            </w:r>
          </w:p>
        </w:tc>
        <w:tc>
          <w:tcPr>
            <w:tcW w:w="1220" w:type="dxa"/>
            <w:vAlign w:val="bottom"/>
            <w:shd w:val="clear" w:color="auto" w:fill="F5F5F5"/>
          </w:tcPr>
          <w:p>
            <w:pPr>
              <w:spacing w:after="0"/>
              <w:rPr>
                <w:sz w:val="19"/>
                <w:szCs w:val="19"/>
                <w:color w:val="auto"/>
              </w:rPr>
            </w:pPr>
          </w:p>
        </w:tc>
        <w:tc>
          <w:tcPr>
            <w:tcW w:w="1180" w:type="dxa"/>
            <w:vAlign w:val="bottom"/>
            <w:vMerge w:val="restart"/>
            <w:shd w:val="clear" w:color="auto" w:fill="F5F5F5"/>
          </w:tcPr>
          <w:p>
            <w:pPr>
              <w:jc w:val="right"/>
              <w:ind w:right="190"/>
              <w:spacing w:after="0"/>
              <w:rPr>
                <w:sz w:val="20"/>
                <w:szCs w:val="20"/>
                <w:color w:val="auto"/>
              </w:rPr>
            </w:pPr>
            <w:r>
              <w:rPr>
                <w:rFonts w:ascii="Arial" w:cs="Arial" w:eastAsia="Arial" w:hAnsi="Arial"/>
                <w:sz w:val="14"/>
                <w:szCs w:val="14"/>
                <w:color w:val="auto"/>
              </w:rPr>
              <w:t>945,705</w:t>
            </w:r>
          </w:p>
        </w:tc>
        <w:tc>
          <w:tcPr>
            <w:tcW w:w="1720" w:type="dxa"/>
            <w:vAlign w:val="bottom"/>
            <w:vMerge w:val="restart"/>
            <w:shd w:val="clear" w:color="auto" w:fill="F5F5F5"/>
          </w:tcPr>
          <w:p>
            <w:pPr>
              <w:jc w:val="right"/>
              <w:ind w:right="210"/>
              <w:spacing w:after="0"/>
              <w:rPr>
                <w:sz w:val="20"/>
                <w:szCs w:val="20"/>
                <w:color w:val="auto"/>
              </w:rPr>
            </w:pPr>
            <w:r>
              <w:rPr>
                <w:rFonts w:ascii="Arial" w:cs="Arial" w:eastAsia="Arial" w:hAnsi="Arial"/>
                <w:sz w:val="14"/>
                <w:szCs w:val="14"/>
                <w:color w:val="auto"/>
              </w:rPr>
              <w:t>873,000</w:t>
            </w:r>
          </w:p>
        </w:tc>
        <w:tc>
          <w:tcPr>
            <w:tcW w:w="2120" w:type="dxa"/>
            <w:vAlign w:val="bottom"/>
            <w:vMerge w:val="restart"/>
            <w:shd w:val="clear" w:color="auto" w:fill="F5F5F5"/>
          </w:tcPr>
          <w:p>
            <w:pPr>
              <w:jc w:val="right"/>
              <w:ind w:right="628"/>
              <w:spacing w:after="0"/>
              <w:rPr>
                <w:sz w:val="20"/>
                <w:szCs w:val="20"/>
                <w:color w:val="auto"/>
              </w:rPr>
            </w:pPr>
            <w:r>
              <w:rPr>
                <w:rFonts w:ascii="Arial" w:cs="Arial" w:eastAsia="Arial" w:hAnsi="Arial"/>
                <w:sz w:val="14"/>
                <w:szCs w:val="14"/>
                <w:color w:val="auto"/>
              </w:rPr>
              <w:t>49,315</w:t>
            </w:r>
          </w:p>
        </w:tc>
        <w:tc>
          <w:tcPr>
            <w:tcW w:w="1460" w:type="dxa"/>
            <w:vAlign w:val="bottom"/>
            <w:vMerge w:val="restart"/>
            <w:shd w:val="clear" w:color="auto" w:fill="F5F5F5"/>
          </w:tcPr>
          <w:p>
            <w:pPr>
              <w:jc w:val="right"/>
              <w:spacing w:after="0"/>
              <w:rPr>
                <w:sz w:val="20"/>
                <w:szCs w:val="20"/>
                <w:color w:val="auto"/>
              </w:rPr>
            </w:pPr>
            <w:r>
              <w:rPr>
                <w:rFonts w:ascii="Arial" w:cs="Arial" w:eastAsia="Arial" w:hAnsi="Arial"/>
                <w:sz w:val="14"/>
                <w:szCs w:val="14"/>
                <w:color w:val="auto"/>
              </w:rPr>
              <w:t>2,353,020</w:t>
            </w:r>
          </w:p>
        </w:tc>
        <w:tc>
          <w:tcPr>
            <w:tcW w:w="0" w:type="dxa"/>
            <w:vAlign w:val="bottom"/>
          </w:tcPr>
          <w:p>
            <w:pPr>
              <w:spacing w:after="0"/>
              <w:rPr>
                <w:sz w:val="1"/>
                <w:szCs w:val="1"/>
                <w:color w:val="auto"/>
              </w:rPr>
            </w:pPr>
          </w:p>
        </w:tc>
      </w:tr>
      <w:tr>
        <w:trPr>
          <w:trHeight w:val="82"/>
        </w:trPr>
        <w:tc>
          <w:tcPr>
            <w:tcW w:w="1880" w:type="dxa"/>
            <w:vAlign w:val="bottom"/>
            <w:vMerge w:val="restart"/>
            <w:shd w:val="clear" w:color="auto" w:fill="F5F5F5"/>
          </w:tcPr>
          <w:p>
            <w:pPr>
              <w:ind w:left="140"/>
              <w:spacing w:after="0"/>
              <w:rPr>
                <w:sz w:val="20"/>
                <w:szCs w:val="20"/>
                <w:color w:val="auto"/>
              </w:rPr>
            </w:pPr>
            <w:r>
              <w:rPr>
                <w:rFonts w:ascii="Arial" w:cs="Arial" w:eastAsia="Arial" w:hAnsi="Arial"/>
                <w:sz w:val="14"/>
                <w:szCs w:val="14"/>
                <w:color w:val="auto"/>
              </w:rPr>
              <w:t>Chief Risk Officer</w:t>
            </w:r>
          </w:p>
        </w:tc>
        <w:tc>
          <w:tcPr>
            <w:tcW w:w="640" w:type="dxa"/>
            <w:vAlign w:val="bottom"/>
            <w:vMerge w:val="continue"/>
            <w:shd w:val="clear" w:color="auto" w:fill="F5F5F5"/>
          </w:tcPr>
          <w:p>
            <w:pPr>
              <w:spacing w:after="0"/>
              <w:rPr>
                <w:sz w:val="7"/>
                <w:szCs w:val="7"/>
                <w:color w:val="auto"/>
              </w:rPr>
            </w:pPr>
          </w:p>
        </w:tc>
        <w:tc>
          <w:tcPr>
            <w:tcW w:w="860" w:type="dxa"/>
            <w:vAlign w:val="bottom"/>
            <w:vMerge w:val="continue"/>
            <w:shd w:val="clear" w:color="auto" w:fill="F5F5F5"/>
          </w:tcPr>
          <w:p>
            <w:pPr>
              <w:spacing w:after="0"/>
              <w:rPr>
                <w:sz w:val="7"/>
                <w:szCs w:val="7"/>
                <w:color w:val="auto"/>
              </w:rPr>
            </w:pPr>
          </w:p>
        </w:tc>
        <w:tc>
          <w:tcPr>
            <w:tcW w:w="1220" w:type="dxa"/>
            <w:vAlign w:val="bottom"/>
            <w:shd w:val="clear" w:color="auto" w:fill="F5F5F5"/>
          </w:tcPr>
          <w:p>
            <w:pPr>
              <w:spacing w:after="0"/>
              <w:rPr>
                <w:sz w:val="7"/>
                <w:szCs w:val="7"/>
                <w:color w:val="auto"/>
              </w:rPr>
            </w:pPr>
          </w:p>
        </w:tc>
        <w:tc>
          <w:tcPr>
            <w:tcW w:w="1180" w:type="dxa"/>
            <w:vAlign w:val="bottom"/>
            <w:vMerge w:val="continue"/>
            <w:shd w:val="clear" w:color="auto" w:fill="F5F5F5"/>
          </w:tcPr>
          <w:p>
            <w:pPr>
              <w:spacing w:after="0"/>
              <w:rPr>
                <w:sz w:val="7"/>
                <w:szCs w:val="7"/>
                <w:color w:val="auto"/>
              </w:rPr>
            </w:pPr>
          </w:p>
        </w:tc>
        <w:tc>
          <w:tcPr>
            <w:tcW w:w="1720" w:type="dxa"/>
            <w:vAlign w:val="bottom"/>
            <w:vMerge w:val="continue"/>
            <w:shd w:val="clear" w:color="auto" w:fill="F5F5F5"/>
          </w:tcPr>
          <w:p>
            <w:pPr>
              <w:spacing w:after="0"/>
              <w:rPr>
                <w:sz w:val="7"/>
                <w:szCs w:val="7"/>
                <w:color w:val="auto"/>
              </w:rPr>
            </w:pPr>
          </w:p>
        </w:tc>
        <w:tc>
          <w:tcPr>
            <w:tcW w:w="2120" w:type="dxa"/>
            <w:vAlign w:val="bottom"/>
            <w:vMerge w:val="continue"/>
            <w:shd w:val="clear" w:color="auto" w:fill="F5F5F5"/>
          </w:tcPr>
          <w:p>
            <w:pPr>
              <w:spacing w:after="0"/>
              <w:rPr>
                <w:sz w:val="7"/>
                <w:szCs w:val="7"/>
                <w:color w:val="auto"/>
              </w:rPr>
            </w:pPr>
          </w:p>
        </w:tc>
        <w:tc>
          <w:tcPr>
            <w:tcW w:w="1460" w:type="dxa"/>
            <w:vAlign w:val="bottom"/>
            <w:vMerge w:val="continue"/>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880" w:type="dxa"/>
            <w:vAlign w:val="bottom"/>
            <w:vMerge w:val="continue"/>
            <w:shd w:val="clear" w:color="auto" w:fill="F5F5F5"/>
          </w:tcPr>
          <w:p>
            <w:pPr>
              <w:spacing w:after="0"/>
              <w:rPr>
                <w:sz w:val="7"/>
                <w:szCs w:val="7"/>
                <w:color w:val="auto"/>
              </w:rPr>
            </w:pPr>
          </w:p>
        </w:tc>
        <w:tc>
          <w:tcPr>
            <w:tcW w:w="640" w:type="dxa"/>
            <w:vAlign w:val="bottom"/>
            <w:shd w:val="clear" w:color="auto" w:fill="F5F5F5"/>
          </w:tcPr>
          <w:p>
            <w:pPr>
              <w:spacing w:after="0"/>
              <w:rPr>
                <w:sz w:val="7"/>
                <w:szCs w:val="7"/>
                <w:color w:val="auto"/>
              </w:rPr>
            </w:pPr>
          </w:p>
        </w:tc>
        <w:tc>
          <w:tcPr>
            <w:tcW w:w="860" w:type="dxa"/>
            <w:vAlign w:val="bottom"/>
            <w:shd w:val="clear" w:color="auto" w:fill="F5F5F5"/>
          </w:tcPr>
          <w:p>
            <w:pPr>
              <w:spacing w:after="0"/>
              <w:rPr>
                <w:sz w:val="7"/>
                <w:szCs w:val="7"/>
                <w:color w:val="auto"/>
              </w:rPr>
            </w:pPr>
          </w:p>
        </w:tc>
        <w:tc>
          <w:tcPr>
            <w:tcW w:w="1220" w:type="dxa"/>
            <w:vAlign w:val="bottom"/>
            <w:shd w:val="clear" w:color="auto" w:fill="F5F5F5"/>
          </w:tcPr>
          <w:p>
            <w:pPr>
              <w:spacing w:after="0"/>
              <w:rPr>
                <w:sz w:val="7"/>
                <w:szCs w:val="7"/>
                <w:color w:val="auto"/>
              </w:rPr>
            </w:pPr>
          </w:p>
        </w:tc>
        <w:tc>
          <w:tcPr>
            <w:tcW w:w="1180" w:type="dxa"/>
            <w:vAlign w:val="bottom"/>
            <w:shd w:val="clear" w:color="auto" w:fill="F5F5F5"/>
          </w:tcPr>
          <w:p>
            <w:pPr>
              <w:spacing w:after="0"/>
              <w:rPr>
                <w:sz w:val="7"/>
                <w:szCs w:val="7"/>
                <w:color w:val="auto"/>
              </w:rPr>
            </w:pPr>
          </w:p>
        </w:tc>
        <w:tc>
          <w:tcPr>
            <w:tcW w:w="1720" w:type="dxa"/>
            <w:vAlign w:val="bottom"/>
            <w:shd w:val="clear" w:color="auto" w:fill="F5F5F5"/>
          </w:tcPr>
          <w:p>
            <w:pPr>
              <w:spacing w:after="0"/>
              <w:rPr>
                <w:sz w:val="7"/>
                <w:szCs w:val="7"/>
                <w:color w:val="auto"/>
              </w:rPr>
            </w:pPr>
          </w:p>
        </w:tc>
        <w:tc>
          <w:tcPr>
            <w:tcW w:w="2120" w:type="dxa"/>
            <w:vAlign w:val="bottom"/>
            <w:shd w:val="clear" w:color="auto" w:fill="F5F5F5"/>
          </w:tcPr>
          <w:p>
            <w:pPr>
              <w:spacing w:after="0"/>
              <w:rPr>
                <w:sz w:val="7"/>
                <w:szCs w:val="7"/>
                <w:color w:val="auto"/>
              </w:rPr>
            </w:pPr>
          </w:p>
        </w:tc>
        <w:tc>
          <w:tcPr>
            <w:tcW w:w="146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880" w:type="dxa"/>
            <w:vAlign w:val="bottom"/>
            <w:shd w:val="clear" w:color="auto" w:fill="F5F5F5"/>
          </w:tcPr>
          <w:p>
            <w:pPr>
              <w:spacing w:after="0"/>
              <w:rPr>
                <w:sz w:val="19"/>
                <w:szCs w:val="19"/>
                <w:color w:val="auto"/>
              </w:rPr>
            </w:pPr>
          </w:p>
        </w:tc>
        <w:tc>
          <w:tcPr>
            <w:tcW w:w="64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2023</w:t>
            </w:r>
          </w:p>
        </w:tc>
        <w:tc>
          <w:tcPr>
            <w:tcW w:w="8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470,000</w:t>
            </w:r>
          </w:p>
        </w:tc>
        <w:tc>
          <w:tcPr>
            <w:tcW w:w="1220" w:type="dxa"/>
            <w:vAlign w:val="bottom"/>
            <w:shd w:val="clear" w:color="auto" w:fill="F5F5F5"/>
          </w:tcPr>
          <w:p>
            <w:pPr>
              <w:spacing w:after="0"/>
              <w:rPr>
                <w:sz w:val="19"/>
                <w:szCs w:val="19"/>
                <w:color w:val="auto"/>
              </w:rPr>
            </w:pPr>
          </w:p>
        </w:tc>
        <w:tc>
          <w:tcPr>
            <w:tcW w:w="1180" w:type="dxa"/>
            <w:vAlign w:val="bottom"/>
            <w:shd w:val="clear" w:color="auto" w:fill="F5F5F5"/>
          </w:tcPr>
          <w:p>
            <w:pPr>
              <w:jc w:val="right"/>
              <w:ind w:right="190"/>
              <w:spacing w:after="0"/>
              <w:rPr>
                <w:sz w:val="20"/>
                <w:szCs w:val="20"/>
                <w:color w:val="auto"/>
              </w:rPr>
            </w:pPr>
            <w:r>
              <w:rPr>
                <w:rFonts w:ascii="Arial" w:cs="Arial" w:eastAsia="Arial" w:hAnsi="Arial"/>
                <w:sz w:val="14"/>
                <w:szCs w:val="14"/>
                <w:color w:val="auto"/>
              </w:rPr>
              <w:t>892,988</w:t>
            </w:r>
          </w:p>
        </w:tc>
        <w:tc>
          <w:tcPr>
            <w:tcW w:w="1720" w:type="dxa"/>
            <w:vAlign w:val="bottom"/>
            <w:shd w:val="clear" w:color="auto" w:fill="F5F5F5"/>
          </w:tcPr>
          <w:p>
            <w:pPr>
              <w:jc w:val="right"/>
              <w:ind w:right="210"/>
              <w:spacing w:after="0"/>
              <w:rPr>
                <w:sz w:val="20"/>
                <w:szCs w:val="20"/>
                <w:color w:val="auto"/>
              </w:rPr>
            </w:pPr>
            <w:r>
              <w:rPr>
                <w:rFonts w:ascii="Arial" w:cs="Arial" w:eastAsia="Arial" w:hAnsi="Arial"/>
                <w:sz w:val="14"/>
                <w:szCs w:val="14"/>
                <w:color w:val="auto"/>
              </w:rPr>
              <w:t>805,580</w:t>
            </w:r>
          </w:p>
        </w:tc>
        <w:tc>
          <w:tcPr>
            <w:tcW w:w="2120" w:type="dxa"/>
            <w:vAlign w:val="bottom"/>
            <w:shd w:val="clear" w:color="auto" w:fill="F5F5F5"/>
          </w:tcPr>
          <w:p>
            <w:pPr>
              <w:jc w:val="right"/>
              <w:ind w:right="628"/>
              <w:spacing w:after="0"/>
              <w:rPr>
                <w:sz w:val="20"/>
                <w:szCs w:val="20"/>
                <w:color w:val="auto"/>
              </w:rPr>
            </w:pPr>
            <w:r>
              <w:rPr>
                <w:rFonts w:ascii="Arial" w:cs="Arial" w:eastAsia="Arial" w:hAnsi="Arial"/>
                <w:sz w:val="14"/>
                <w:szCs w:val="14"/>
                <w:color w:val="auto"/>
              </w:rPr>
              <w:t>48,565</w:t>
            </w:r>
          </w:p>
        </w:tc>
        <w:tc>
          <w:tcPr>
            <w:tcW w:w="14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2,217,133</w:t>
            </w:r>
          </w:p>
        </w:tc>
        <w:tc>
          <w:tcPr>
            <w:tcW w:w="0" w:type="dxa"/>
            <w:vAlign w:val="bottom"/>
          </w:tcPr>
          <w:p>
            <w:pPr>
              <w:spacing w:after="0"/>
              <w:rPr>
                <w:sz w:val="1"/>
                <w:szCs w:val="1"/>
                <w:color w:val="auto"/>
              </w:rPr>
            </w:pPr>
          </w:p>
        </w:tc>
      </w:tr>
      <w:tr>
        <w:trPr>
          <w:trHeight w:val="89"/>
        </w:trPr>
        <w:tc>
          <w:tcPr>
            <w:tcW w:w="1880" w:type="dxa"/>
            <w:vAlign w:val="bottom"/>
            <w:tcBorders>
              <w:bottom w:val="single" w:sz="8" w:color="DE762B"/>
            </w:tcBorders>
            <w:shd w:val="clear" w:color="auto" w:fill="F5F5F5"/>
          </w:tcPr>
          <w:p>
            <w:pPr>
              <w:spacing w:after="0"/>
              <w:rPr>
                <w:sz w:val="7"/>
                <w:szCs w:val="7"/>
                <w:color w:val="auto"/>
              </w:rPr>
            </w:pPr>
          </w:p>
        </w:tc>
        <w:tc>
          <w:tcPr>
            <w:tcW w:w="640" w:type="dxa"/>
            <w:vAlign w:val="bottom"/>
            <w:tcBorders>
              <w:bottom w:val="single" w:sz="8" w:color="DE762B"/>
            </w:tcBorders>
            <w:shd w:val="clear" w:color="auto" w:fill="F5F5F5"/>
          </w:tcPr>
          <w:p>
            <w:pPr>
              <w:spacing w:after="0"/>
              <w:rPr>
                <w:sz w:val="7"/>
                <w:szCs w:val="7"/>
                <w:color w:val="auto"/>
              </w:rPr>
            </w:pPr>
          </w:p>
        </w:tc>
        <w:tc>
          <w:tcPr>
            <w:tcW w:w="860" w:type="dxa"/>
            <w:vAlign w:val="bottom"/>
            <w:tcBorders>
              <w:bottom w:val="single" w:sz="8" w:color="DE762B"/>
            </w:tcBorders>
            <w:shd w:val="clear" w:color="auto" w:fill="F5F5F5"/>
          </w:tcPr>
          <w:p>
            <w:pPr>
              <w:spacing w:after="0"/>
              <w:rPr>
                <w:sz w:val="7"/>
                <w:szCs w:val="7"/>
                <w:color w:val="auto"/>
              </w:rPr>
            </w:pPr>
          </w:p>
        </w:tc>
        <w:tc>
          <w:tcPr>
            <w:tcW w:w="1220" w:type="dxa"/>
            <w:vAlign w:val="bottom"/>
            <w:tcBorders>
              <w:bottom w:val="single" w:sz="8" w:color="DE762B"/>
            </w:tcBorders>
            <w:shd w:val="clear" w:color="auto" w:fill="F5F5F5"/>
          </w:tcPr>
          <w:p>
            <w:pPr>
              <w:spacing w:after="0"/>
              <w:rPr>
                <w:sz w:val="7"/>
                <w:szCs w:val="7"/>
                <w:color w:val="auto"/>
              </w:rPr>
            </w:pPr>
          </w:p>
        </w:tc>
        <w:tc>
          <w:tcPr>
            <w:tcW w:w="1180" w:type="dxa"/>
            <w:vAlign w:val="bottom"/>
            <w:tcBorders>
              <w:bottom w:val="single" w:sz="8" w:color="DE762B"/>
            </w:tcBorders>
            <w:shd w:val="clear" w:color="auto" w:fill="F5F5F5"/>
          </w:tcPr>
          <w:p>
            <w:pPr>
              <w:spacing w:after="0"/>
              <w:rPr>
                <w:sz w:val="7"/>
                <w:szCs w:val="7"/>
                <w:color w:val="auto"/>
              </w:rPr>
            </w:pPr>
          </w:p>
        </w:tc>
        <w:tc>
          <w:tcPr>
            <w:tcW w:w="1720" w:type="dxa"/>
            <w:vAlign w:val="bottom"/>
            <w:tcBorders>
              <w:bottom w:val="single" w:sz="8" w:color="DE762B"/>
            </w:tcBorders>
            <w:shd w:val="clear" w:color="auto" w:fill="F5F5F5"/>
          </w:tcPr>
          <w:p>
            <w:pPr>
              <w:spacing w:after="0"/>
              <w:rPr>
                <w:sz w:val="7"/>
                <w:szCs w:val="7"/>
                <w:color w:val="auto"/>
              </w:rPr>
            </w:pPr>
          </w:p>
        </w:tc>
        <w:tc>
          <w:tcPr>
            <w:tcW w:w="2120" w:type="dxa"/>
            <w:vAlign w:val="bottom"/>
            <w:tcBorders>
              <w:bottom w:val="single" w:sz="8" w:color="DE762B"/>
            </w:tcBorders>
            <w:shd w:val="clear" w:color="auto" w:fill="F5F5F5"/>
          </w:tcPr>
          <w:p>
            <w:pPr>
              <w:spacing w:after="0"/>
              <w:rPr>
                <w:sz w:val="7"/>
                <w:szCs w:val="7"/>
                <w:color w:val="auto"/>
              </w:rPr>
            </w:pPr>
          </w:p>
        </w:tc>
        <w:tc>
          <w:tcPr>
            <w:tcW w:w="1460" w:type="dxa"/>
            <w:vAlign w:val="bottom"/>
            <w:tcBorders>
              <w:bottom w:val="single" w:sz="8" w:color="DE762B"/>
            </w:tcBorders>
            <w:shd w:val="clear" w:color="auto" w:fill="F5F5F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5658485</wp:posOffset>
            </wp:positionH>
            <wp:positionV relativeFrom="paragraph">
              <wp:posOffset>-2978150</wp:posOffset>
            </wp:positionV>
            <wp:extent cx="33655" cy="2982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2982595"/>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-2978150</wp:posOffset>
            </wp:positionV>
            <wp:extent cx="34290" cy="29825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298259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-2978150</wp:posOffset>
            </wp:positionV>
            <wp:extent cx="34290" cy="2982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2982595"/>
                    </a:xfrm>
                    <a:prstGeom prst="rect">
                      <a:avLst/>
                    </a:prstGeom>
                    <a:noFill/>
                  </pic:spPr>
                </pic:pic>
              </a:graphicData>
            </a:graphic>
          </wp:anchor>
        </w:drawing>
        <w:drawing>
          <wp:anchor simplePos="0" relativeHeight="251657728" behindDoc="1" locked="0" layoutInCell="0" allowOverlap="1">
            <wp:simplePos x="0" y="0"/>
            <wp:positionH relativeFrom="column">
              <wp:posOffset>2735580</wp:posOffset>
            </wp:positionH>
            <wp:positionV relativeFrom="paragraph">
              <wp:posOffset>-2978150</wp:posOffset>
            </wp:positionV>
            <wp:extent cx="34290" cy="2982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2982595"/>
                    </a:xfrm>
                    <a:prstGeom prst="rect">
                      <a:avLst/>
                    </a:prstGeom>
                    <a:noFill/>
                  </pic:spPr>
                </pic:pic>
              </a:graphicData>
            </a:graphic>
          </wp:anchor>
        </w:drawing>
        <w:drawing>
          <wp:anchor simplePos="0" relativeHeight="251657728" behindDoc="1" locked="0" layoutInCell="0" allowOverlap="1">
            <wp:simplePos x="0" y="0"/>
            <wp:positionH relativeFrom="column">
              <wp:posOffset>2135505</wp:posOffset>
            </wp:positionH>
            <wp:positionV relativeFrom="paragraph">
              <wp:posOffset>-2978150</wp:posOffset>
            </wp:positionV>
            <wp:extent cx="34290" cy="29825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2982595"/>
                    </a:xfrm>
                    <a:prstGeom prst="rect">
                      <a:avLst/>
                    </a:prstGeom>
                    <a:noFill/>
                  </pic:spPr>
                </pic:pic>
              </a:graphicData>
            </a:graphic>
          </wp:anchor>
        </w:drawing>
        <w:drawing>
          <wp:anchor simplePos="0" relativeHeight="251657728" behindDoc="1" locked="0" layoutInCell="0" allowOverlap="1">
            <wp:simplePos x="0" y="0"/>
            <wp:positionH relativeFrom="column">
              <wp:posOffset>1586865</wp:posOffset>
            </wp:positionH>
            <wp:positionV relativeFrom="paragraph">
              <wp:posOffset>-2978150</wp:posOffset>
            </wp:positionV>
            <wp:extent cx="34290" cy="2982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2982595"/>
                    </a:xfrm>
                    <a:prstGeom prst="rect">
                      <a:avLst/>
                    </a:prstGeom>
                    <a:noFill/>
                  </pic:spPr>
                </pic:pic>
              </a:graphicData>
            </a:graphic>
          </wp:anchor>
        </w:drawing>
        <w:drawing>
          <wp:anchor simplePos="0" relativeHeight="251657728" behindDoc="1" locked="0" layoutInCell="0" allowOverlap="1">
            <wp:simplePos x="0" y="0"/>
            <wp:positionH relativeFrom="column">
              <wp:posOffset>1175385</wp:posOffset>
            </wp:positionH>
            <wp:positionV relativeFrom="paragraph">
              <wp:posOffset>-2978150</wp:posOffset>
            </wp:positionV>
            <wp:extent cx="34290" cy="2982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2982595"/>
                    </a:xfrm>
                    <a:prstGeom prst="rect">
                      <a:avLst/>
                    </a:prstGeom>
                    <a:noFill/>
                  </pic:spPr>
                </pic:pic>
              </a:graphicData>
            </a:graphic>
          </wp:anchor>
        </w:drawing>
      </w:r>
    </w:p>
    <w:p>
      <w:pPr>
        <w:spacing w:after="0" w:line="205" w:lineRule="exact"/>
        <w:rPr>
          <w:sz w:val="20"/>
          <w:szCs w:val="20"/>
          <w:color w:val="auto"/>
        </w:rPr>
      </w:pPr>
    </w:p>
    <w:p>
      <w:pPr>
        <w:jc w:val="both"/>
        <w:ind w:left="260" w:hanging="252"/>
        <w:spacing w:after="0" w:line="248" w:lineRule="auto"/>
        <w:tabs>
          <w:tab w:leader="none" w:pos="257" w:val="left"/>
        </w:tabs>
        <w:numPr>
          <w:ilvl w:val="0"/>
          <w:numId w:val="59"/>
        </w:numPr>
        <w:rPr>
          <w:rFonts w:ascii="Arial" w:cs="Arial" w:eastAsia="Arial" w:hAnsi="Arial"/>
          <w:sz w:val="13"/>
          <w:szCs w:val="13"/>
          <w:color w:val="6D6D6D"/>
        </w:rPr>
      </w:pPr>
      <w:r>
        <w:rPr>
          <w:rFonts w:ascii="Arial" w:cs="Arial" w:eastAsia="Arial" w:hAnsi="Arial"/>
          <w:sz w:val="13"/>
          <w:szCs w:val="13"/>
          <w:color w:val="6D6D6D"/>
        </w:rPr>
        <w:t>Represents the grant date fair value of the RSUs and PRSUs, as applicable, granted to our NEOs in the respective fiscal year, calculated in accordance with ASC Topic 718. The amount in this column includes the grant date fair value of 2025 PRSU awards assuming achievement at the target level of performance of $3,802,484, $849,993, $691,843, $514,989 and $556,477 for each of Messrs. Pollitzer, Shuster, Leatherberry and Smith and Ms. Swithenbank, respectively. Assuming achievement at the maximum level of performance, the value of each NEO's 2025 PRSU award on the grant date would have been $7,604,967, $1,699,986, $1,383,687, $1,029,977 and $1,112,955 for each of Messrs. Pollitzer, Shuster, Leatherberry and Smith and Ms. Swithenbank, respectively. See Note 10, "</w:t>
      </w:r>
      <w:r>
        <w:rPr>
          <w:rFonts w:ascii="Arial" w:cs="Arial" w:eastAsia="Arial" w:hAnsi="Arial"/>
          <w:sz w:val="13"/>
          <w:szCs w:val="13"/>
          <w:i w:val="1"/>
          <w:iCs w:val="1"/>
          <w:color w:val="6D6D6D"/>
        </w:rPr>
        <w:t>Share-Based Compensation</w:t>
      </w:r>
      <w:r>
        <w:rPr>
          <w:rFonts w:ascii="Arial" w:cs="Arial" w:eastAsia="Arial" w:hAnsi="Arial"/>
          <w:sz w:val="13"/>
          <w:szCs w:val="13"/>
          <w:color w:val="6D6D6D"/>
        </w:rPr>
        <w:t>" of our consolidated financial statements filed with the SEC on Form 10-K for the fiscal year ended December 31, 2025 for an explanation of the assumptions made in valuing these awards.</w:t>
      </w:r>
    </w:p>
    <w:p>
      <w:pPr>
        <w:spacing w:after="0" w:line="45" w:lineRule="exact"/>
        <w:rPr>
          <w:rFonts w:ascii="Arial" w:cs="Arial" w:eastAsia="Arial" w:hAnsi="Arial"/>
          <w:sz w:val="13"/>
          <w:szCs w:val="13"/>
          <w:color w:val="6D6D6D"/>
        </w:rPr>
      </w:pPr>
    </w:p>
    <w:p>
      <w:pPr>
        <w:jc w:val="both"/>
        <w:ind w:left="260" w:hanging="252"/>
        <w:spacing w:after="0" w:line="251" w:lineRule="auto"/>
        <w:tabs>
          <w:tab w:leader="none" w:pos="257" w:val="left"/>
        </w:tabs>
        <w:numPr>
          <w:ilvl w:val="0"/>
          <w:numId w:val="59"/>
        </w:numPr>
        <w:rPr>
          <w:rFonts w:ascii="Arial" w:cs="Arial" w:eastAsia="Arial" w:hAnsi="Arial"/>
          <w:sz w:val="13"/>
          <w:szCs w:val="13"/>
          <w:color w:val="6D6D6D"/>
        </w:rPr>
      </w:pPr>
      <w:r>
        <w:rPr>
          <w:rFonts w:ascii="Arial" w:cs="Arial" w:eastAsia="Arial" w:hAnsi="Arial"/>
          <w:sz w:val="13"/>
          <w:szCs w:val="13"/>
          <w:color w:val="6D6D6D"/>
        </w:rPr>
        <w:t>The amounts reported in this column for each fiscal year represent each NEO's annual incentive bonus that was earned in such year, awarded by the Compensation Committee, and paid in the subsequent fiscal year. See "</w:t>
      </w:r>
      <w:r>
        <w:rPr>
          <w:rFonts w:ascii="Arial" w:cs="Arial" w:eastAsia="Arial" w:hAnsi="Arial"/>
          <w:sz w:val="13"/>
          <w:szCs w:val="13"/>
          <w:i w:val="1"/>
          <w:iCs w:val="1"/>
          <w:color w:val="6D6D6D"/>
        </w:rPr>
        <w:t>Compensation Discussion and Analysis — Elements of Executive Compensation Program — Compensation Program Details — Short-Term Incentive Program &amp;</w:t>
      </w:r>
      <w:r>
        <w:rPr>
          <w:rFonts w:ascii="Arial" w:cs="Arial" w:eastAsia="Arial" w:hAnsi="Arial"/>
          <w:sz w:val="13"/>
          <w:szCs w:val="13"/>
          <w:color w:val="6D6D6D"/>
        </w:rPr>
        <w:t xml:space="preserve"> </w:t>
      </w:r>
      <w:r>
        <w:rPr>
          <w:rFonts w:ascii="Arial" w:cs="Arial" w:eastAsia="Arial" w:hAnsi="Arial"/>
          <w:sz w:val="13"/>
          <w:szCs w:val="13"/>
          <w:i w:val="1"/>
          <w:iCs w:val="1"/>
          <w:color w:val="6D6D6D"/>
        </w:rPr>
        <w:t>Corporate Performance Objectives,</w:t>
      </w:r>
      <w:r>
        <w:rPr>
          <w:rFonts w:ascii="Arial" w:cs="Arial" w:eastAsia="Arial" w:hAnsi="Arial"/>
          <w:sz w:val="13"/>
          <w:szCs w:val="13"/>
          <w:color w:val="6D6D6D"/>
        </w:rPr>
        <w:t>" above for additional information regarding our NEOs' 2025 bonus awards.</w:t>
      </w:r>
    </w:p>
    <w:p>
      <w:pPr>
        <w:spacing w:after="0" w:line="30" w:lineRule="exact"/>
        <w:rPr>
          <w:rFonts w:ascii="Arial" w:cs="Arial" w:eastAsia="Arial" w:hAnsi="Arial"/>
          <w:sz w:val="13"/>
          <w:szCs w:val="13"/>
          <w:color w:val="6D6D6D"/>
        </w:rPr>
      </w:pPr>
    </w:p>
    <w:p>
      <w:pPr>
        <w:jc w:val="both"/>
        <w:ind w:left="260" w:hanging="252"/>
        <w:spacing w:after="0" w:line="282" w:lineRule="auto"/>
        <w:tabs>
          <w:tab w:leader="none" w:pos="257" w:val="left"/>
        </w:tabs>
        <w:numPr>
          <w:ilvl w:val="0"/>
          <w:numId w:val="59"/>
        </w:numPr>
        <w:rPr>
          <w:rFonts w:ascii="Arial" w:cs="Arial" w:eastAsia="Arial" w:hAnsi="Arial"/>
          <w:sz w:val="12"/>
          <w:szCs w:val="12"/>
          <w:color w:val="6D6D6D"/>
        </w:rPr>
      </w:pPr>
      <w:r>
        <w:rPr>
          <w:rFonts w:ascii="Arial" w:cs="Arial" w:eastAsia="Arial" w:hAnsi="Arial"/>
          <w:sz w:val="12"/>
          <w:szCs w:val="12"/>
          <w:color w:val="6D6D6D"/>
        </w:rPr>
        <w:t>The amounts reported in this column for 2025 include: (a) executive cash allowances of approximately $38,400 for each of Messrs. Pollitzer and Shuster, and approximately $30,000 for each of Messrs. Leatherberry and Smith and Ms. Swithenbank, respectively; (b) matching 401(k) Plan contributions of $17,500 on behalf of each of Messrs. Pollitzer, Shuster, Leatherberry and Smith and Ms. Swithenbank; (c) reserved parking fees for each NEO; and (d) reimbursement for the travel costs of Mr. Shuster's spouse to accompany him on certain business-related travel itineraries.</w:t>
      </w:r>
    </w:p>
    <w:p>
      <w:pPr>
        <w:spacing w:after="0" w:line="26" w:lineRule="exact"/>
        <w:rPr>
          <w:rFonts w:ascii="Arial" w:cs="Arial" w:eastAsia="Arial" w:hAnsi="Arial"/>
          <w:sz w:val="12"/>
          <w:szCs w:val="12"/>
          <w:color w:val="6D6D6D"/>
        </w:rPr>
      </w:pPr>
    </w:p>
    <w:p>
      <w:pPr>
        <w:ind w:left="260" w:hanging="252"/>
        <w:spacing w:after="0" w:line="264" w:lineRule="auto"/>
        <w:tabs>
          <w:tab w:leader="none" w:pos="257" w:val="left"/>
        </w:tabs>
        <w:numPr>
          <w:ilvl w:val="0"/>
          <w:numId w:val="59"/>
        </w:numPr>
        <w:rPr>
          <w:rFonts w:ascii="Arial" w:cs="Arial" w:eastAsia="Arial" w:hAnsi="Arial"/>
          <w:sz w:val="13"/>
          <w:szCs w:val="13"/>
          <w:color w:val="6D6D6D"/>
        </w:rPr>
      </w:pPr>
      <w:r>
        <w:rPr>
          <w:rFonts w:ascii="Arial" w:cs="Arial" w:eastAsia="Arial" w:hAnsi="Arial"/>
          <w:sz w:val="13"/>
          <w:szCs w:val="13"/>
          <w:color w:val="6D6D6D"/>
        </w:rPr>
        <w:t>In connection with Ms. Swithenbank's appointment as our CFO, effective May 1, 2024, and as previously disclosed in our Current Report on Form 8-K filed with the SEC on March 4, 2024, during fiscal year 2024, Ms. Swithenbank received an inducement RSU award with a grant date fair value of $1,500,000, relocation benefits of $25,000 and a housing allowance of $30,000.</w:t>
      </w:r>
    </w:p>
    <w:p>
      <w:pPr>
        <w:spacing w:after="0" w:line="279"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49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EMPLOYMENT ARRANGEMENTS WITH OUR NEOs</w:t>
      </w:r>
    </w:p>
    <w:p>
      <w:pPr>
        <w:spacing w:after="0" w:line="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NEOs are employed by the Company on an "at-will" basis and are party to certain offer, employment and/or promotion letters with the Company (collectively, the Offer Letters). Among other things, each of the Offer Letters provides that the relevant executive shall (i) receive an annual base salary; (ii) participate in the Company's benefit plans; (iii) be eligible for a discretionary annual cash bonus under the Company's annual bonus plan; and (iv) be eligible for equity grants under the Company's equity plans. The material components of our NEOs' 2025 employment arrangements are summarized below.</w:t>
      </w:r>
    </w:p>
    <w:p>
      <w:pPr>
        <w:spacing w:after="0" w:line="127"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005388"/>
        </w:rPr>
        <w:t xml:space="preserve">Salary. </w:t>
      </w:r>
      <w:r>
        <w:rPr>
          <w:rFonts w:ascii="Arial" w:cs="Arial" w:eastAsia="Arial" w:hAnsi="Arial"/>
          <w:sz w:val="16"/>
          <w:szCs w:val="16"/>
          <w:color w:val="000000"/>
        </w:rPr>
        <w:t>Each NEO is entitled to an annual base salary as determined annually by the Compensation Committee. Each NEO's 2025 base salary is quantified</w:t>
      </w:r>
      <w:r>
        <w:rPr>
          <w:rFonts w:ascii="Arial" w:cs="Arial" w:eastAsia="Arial" w:hAnsi="Arial"/>
          <w:sz w:val="16"/>
          <w:szCs w:val="16"/>
          <w:color w:val="005388"/>
        </w:rPr>
        <w:t xml:space="preserve"> </w:t>
      </w:r>
      <w:r>
        <w:rPr>
          <w:rFonts w:ascii="Arial" w:cs="Arial" w:eastAsia="Arial" w:hAnsi="Arial"/>
          <w:sz w:val="16"/>
          <w:szCs w:val="16"/>
          <w:color w:val="000000"/>
        </w:rPr>
        <w:t>above, in "</w:t>
      </w:r>
      <w:r>
        <w:rPr>
          <w:rFonts w:ascii="Arial" w:cs="Arial" w:eastAsia="Arial" w:hAnsi="Arial"/>
          <w:sz w:val="16"/>
          <w:szCs w:val="16"/>
          <w:i w:val="1"/>
          <w:iCs w:val="1"/>
          <w:color w:val="000000"/>
        </w:rPr>
        <w:t>Compensation Discussion and Analysis — Elements of Executive Compensation Program — Compensation Program Details — Base Salary.</w:t>
      </w:r>
      <w:r>
        <w:rPr>
          <w:rFonts w:ascii="Arial" w:cs="Arial" w:eastAsia="Arial" w:hAnsi="Arial"/>
          <w:sz w:val="16"/>
          <w:szCs w:val="16"/>
          <w:color w:val="000000"/>
        </w:rPr>
        <w:t>"</w:t>
      </w:r>
    </w:p>
    <w:p>
      <w:pPr>
        <w:spacing w:after="0" w:line="10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005388"/>
        </w:rPr>
        <w:t xml:space="preserve">Annual Bonus. </w:t>
      </w:r>
      <w:r>
        <w:rPr>
          <w:rFonts w:ascii="Arial" w:cs="Arial" w:eastAsia="Arial" w:hAnsi="Arial"/>
          <w:sz w:val="16"/>
          <w:szCs w:val="16"/>
          <w:color w:val="000000"/>
        </w:rPr>
        <w:t>Each NEO is eligible for a discretionary annual cash bonus, with a target annual bonus opportunity in 2025 of 100% (175% in the case of our</w:t>
      </w:r>
      <w:r>
        <w:rPr>
          <w:rFonts w:ascii="Arial" w:cs="Arial" w:eastAsia="Arial" w:hAnsi="Arial"/>
          <w:sz w:val="16"/>
          <w:szCs w:val="16"/>
          <w:color w:val="005388"/>
        </w:rPr>
        <w:t xml:space="preserve"> </w:t>
      </w:r>
      <w:r>
        <w:rPr>
          <w:rFonts w:ascii="Arial" w:cs="Arial" w:eastAsia="Arial" w:hAnsi="Arial"/>
          <w:sz w:val="16"/>
          <w:szCs w:val="16"/>
          <w:color w:val="000000"/>
        </w:rPr>
        <w:t>CEO) of the executive's annual base salary. See "</w:t>
      </w:r>
      <w:r>
        <w:rPr>
          <w:rFonts w:ascii="Arial" w:cs="Arial" w:eastAsia="Arial" w:hAnsi="Arial"/>
          <w:sz w:val="16"/>
          <w:szCs w:val="16"/>
          <w:i w:val="1"/>
          <w:iCs w:val="1"/>
          <w:color w:val="000000"/>
        </w:rPr>
        <w:t>Compensation Discussion and Analysis — Elements of Executive Compensation Program —</w:t>
      </w:r>
      <w:r>
        <w:rPr>
          <w:rFonts w:ascii="Arial" w:cs="Arial" w:eastAsia="Arial" w:hAnsi="Arial"/>
          <w:sz w:val="16"/>
          <w:szCs w:val="16"/>
          <w:color w:val="000000"/>
        </w:rPr>
        <w:t xml:space="preserve"> </w:t>
      </w:r>
      <w:r>
        <w:rPr>
          <w:rFonts w:ascii="Arial" w:cs="Arial" w:eastAsia="Arial" w:hAnsi="Arial"/>
          <w:sz w:val="16"/>
          <w:szCs w:val="16"/>
          <w:i w:val="1"/>
          <w:iCs w:val="1"/>
          <w:color w:val="000000"/>
        </w:rPr>
        <w:t>Compensation Program Details — Short-Term Incentive Program &amp; Corporate Performance Objectives,</w:t>
      </w:r>
      <w:r>
        <w:rPr>
          <w:rFonts w:ascii="Arial" w:cs="Arial" w:eastAsia="Arial" w:hAnsi="Arial"/>
          <w:sz w:val="16"/>
          <w:szCs w:val="16"/>
          <w:color w:val="000000"/>
        </w:rPr>
        <w:t>" above for a discussion of payment of bonuses to</w:t>
      </w:r>
      <w:r>
        <w:rPr>
          <w:rFonts w:ascii="Arial" w:cs="Arial" w:eastAsia="Arial" w:hAnsi="Arial"/>
          <w:sz w:val="16"/>
          <w:szCs w:val="16"/>
          <w:i w:val="1"/>
          <w:iCs w:val="1"/>
          <w:color w:val="000000"/>
        </w:rPr>
        <w:t xml:space="preserve"> </w:t>
      </w:r>
      <w:r>
        <w:rPr>
          <w:rFonts w:ascii="Arial" w:cs="Arial" w:eastAsia="Arial" w:hAnsi="Arial"/>
          <w:sz w:val="16"/>
          <w:szCs w:val="16"/>
          <w:color w:val="000000"/>
        </w:rPr>
        <w:t>our NEOs under the 2025 Bonus Plan.</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005388"/>
        </w:rPr>
        <w:t xml:space="preserve">Equity Awards. </w:t>
      </w:r>
      <w:r>
        <w:rPr>
          <w:rFonts w:ascii="Arial" w:cs="Arial" w:eastAsia="Arial" w:hAnsi="Arial"/>
          <w:sz w:val="16"/>
          <w:szCs w:val="16"/>
          <w:color w:val="000000"/>
        </w:rPr>
        <w:t>Each NEO received equity awards in 2025 under our 2014 Plan. Our NEOs' 2025 equity award grants and outstanding equity awards as of</w:t>
      </w:r>
      <w:r>
        <w:rPr>
          <w:rFonts w:ascii="Arial" w:cs="Arial" w:eastAsia="Arial" w:hAnsi="Arial"/>
          <w:sz w:val="16"/>
          <w:szCs w:val="16"/>
          <w:color w:val="005388"/>
        </w:rPr>
        <w:t xml:space="preserve"> </w:t>
      </w:r>
      <w:r>
        <w:rPr>
          <w:rFonts w:ascii="Arial" w:cs="Arial" w:eastAsia="Arial" w:hAnsi="Arial"/>
          <w:sz w:val="16"/>
          <w:szCs w:val="16"/>
          <w:color w:val="000000"/>
        </w:rPr>
        <w:t>December 31, 2025 are described and quantified below under "</w:t>
      </w:r>
      <w:r>
        <w:rPr>
          <w:rFonts w:ascii="Arial" w:cs="Arial" w:eastAsia="Arial" w:hAnsi="Arial"/>
          <w:sz w:val="16"/>
          <w:szCs w:val="16"/>
          <w:i w:val="1"/>
          <w:iCs w:val="1"/>
          <w:color w:val="000000"/>
        </w:rPr>
        <w:t>— Grants of Plan-Based Awards for 2025</w:t>
      </w:r>
      <w:r>
        <w:rPr>
          <w:rFonts w:ascii="Arial" w:cs="Arial" w:eastAsia="Arial" w:hAnsi="Arial"/>
          <w:sz w:val="16"/>
          <w:szCs w:val="16"/>
          <w:color w:val="000000"/>
        </w:rPr>
        <w:t xml:space="preserve">" and "— </w:t>
      </w:r>
      <w:r>
        <w:rPr>
          <w:rFonts w:ascii="Arial" w:cs="Arial" w:eastAsia="Arial" w:hAnsi="Arial"/>
          <w:sz w:val="16"/>
          <w:szCs w:val="16"/>
          <w:i w:val="1"/>
          <w:iCs w:val="1"/>
          <w:color w:val="000000"/>
        </w:rPr>
        <w:t>Outstanding Equity Awards at 2025 Fiscal</w:t>
      </w:r>
      <w:r>
        <w:rPr>
          <w:rFonts w:ascii="Arial" w:cs="Arial" w:eastAsia="Arial" w:hAnsi="Arial"/>
          <w:sz w:val="16"/>
          <w:szCs w:val="16"/>
          <w:color w:val="000000"/>
        </w:rPr>
        <w:t xml:space="preserve"> </w:t>
      </w:r>
      <w:r>
        <w:rPr>
          <w:rFonts w:ascii="Arial" w:cs="Arial" w:eastAsia="Arial" w:hAnsi="Arial"/>
          <w:sz w:val="16"/>
          <w:szCs w:val="16"/>
          <w:i w:val="1"/>
          <w:iCs w:val="1"/>
          <w:color w:val="000000"/>
        </w:rPr>
        <w:t>Year-End,</w:t>
      </w:r>
      <w:r>
        <w:rPr>
          <w:rFonts w:ascii="Arial" w:cs="Arial" w:eastAsia="Arial" w:hAnsi="Arial"/>
          <w:sz w:val="16"/>
          <w:szCs w:val="16"/>
          <w:color w:val="000000"/>
        </w:rPr>
        <w:t>" respectively.</w:t>
      </w:r>
    </w:p>
    <w:p>
      <w:pPr>
        <w:spacing w:after="0" w:line="13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005388"/>
        </w:rPr>
        <w:t xml:space="preserve">Benefit Plans. </w:t>
      </w:r>
      <w:r>
        <w:rPr>
          <w:rFonts w:ascii="Arial" w:cs="Arial" w:eastAsia="Arial" w:hAnsi="Arial"/>
          <w:sz w:val="16"/>
          <w:szCs w:val="16"/>
          <w:color w:val="000000"/>
        </w:rPr>
        <w:t>Each NEO is eligible to participate in the Company's benefit plans, including the Company's 401(k) retirement plan and the executive cash</w:t>
      </w:r>
      <w:r>
        <w:rPr>
          <w:rFonts w:ascii="Arial" w:cs="Arial" w:eastAsia="Arial" w:hAnsi="Arial"/>
          <w:sz w:val="16"/>
          <w:szCs w:val="16"/>
          <w:color w:val="005388"/>
        </w:rPr>
        <w:t xml:space="preserve"> </w:t>
      </w:r>
      <w:r>
        <w:rPr>
          <w:rFonts w:ascii="Arial" w:cs="Arial" w:eastAsia="Arial" w:hAnsi="Arial"/>
          <w:sz w:val="16"/>
          <w:szCs w:val="16"/>
          <w:color w:val="000000"/>
        </w:rPr>
        <w:t>allowance program, as discussed above in "</w:t>
      </w:r>
      <w:r>
        <w:rPr>
          <w:rFonts w:ascii="Arial" w:cs="Arial" w:eastAsia="Arial" w:hAnsi="Arial"/>
          <w:sz w:val="16"/>
          <w:szCs w:val="16"/>
          <w:i w:val="1"/>
          <w:iCs w:val="1"/>
          <w:color w:val="000000"/>
        </w:rPr>
        <w:t>Compensation Discussion and Analysis — Elements of Executive Compensation Program — Compensation</w:t>
      </w:r>
      <w:r>
        <w:rPr>
          <w:rFonts w:ascii="Arial" w:cs="Arial" w:eastAsia="Arial" w:hAnsi="Arial"/>
          <w:sz w:val="16"/>
          <w:szCs w:val="16"/>
          <w:color w:val="000000"/>
        </w:rPr>
        <w:t xml:space="preserve"> </w:t>
      </w:r>
      <w:r>
        <w:rPr>
          <w:rFonts w:ascii="Arial" w:cs="Arial" w:eastAsia="Arial" w:hAnsi="Arial"/>
          <w:sz w:val="16"/>
          <w:szCs w:val="16"/>
          <w:i w:val="1"/>
          <w:iCs w:val="1"/>
          <w:color w:val="000000"/>
        </w:rPr>
        <w:t>Program Details.</w:t>
      </w:r>
      <w:r>
        <w:rPr>
          <w:rFonts w:ascii="Arial" w:cs="Arial" w:eastAsia="Arial" w:hAnsi="Arial"/>
          <w:sz w:val="16"/>
          <w:szCs w:val="16"/>
          <w:color w:val="000000"/>
        </w:rPr>
        <w:t>"</w:t>
      </w:r>
    </w:p>
    <w:p>
      <w:pPr>
        <w:spacing w:after="0" w:line="118"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005388"/>
        </w:rPr>
        <w:t xml:space="preserve">Severance Benefits. </w:t>
      </w:r>
      <w:r>
        <w:rPr>
          <w:rFonts w:ascii="Arial" w:cs="Arial" w:eastAsia="Arial" w:hAnsi="Arial"/>
          <w:sz w:val="16"/>
          <w:szCs w:val="16"/>
          <w:color w:val="000000"/>
        </w:rPr>
        <w:t>In 2025, each NEO was eligible to participate in the Company's Severance Plan. See "</w:t>
      </w:r>
      <w:r>
        <w:rPr>
          <w:rFonts w:ascii="Arial" w:cs="Arial" w:eastAsia="Arial" w:hAnsi="Arial"/>
          <w:sz w:val="16"/>
          <w:szCs w:val="16"/>
          <w:i w:val="1"/>
          <w:iCs w:val="1"/>
          <w:color w:val="000000"/>
        </w:rPr>
        <w:t>Compensation Discussion and Analysis —</w:t>
      </w:r>
      <w:r>
        <w:rPr>
          <w:rFonts w:ascii="Arial" w:cs="Arial" w:eastAsia="Arial" w:hAnsi="Arial"/>
          <w:sz w:val="16"/>
          <w:szCs w:val="16"/>
          <w:color w:val="005388"/>
        </w:rPr>
        <w:t xml:space="preserve"> </w:t>
      </w:r>
      <w:r>
        <w:rPr>
          <w:rFonts w:ascii="Arial" w:cs="Arial" w:eastAsia="Arial" w:hAnsi="Arial"/>
          <w:sz w:val="16"/>
          <w:szCs w:val="16"/>
          <w:i w:val="1"/>
          <w:iCs w:val="1"/>
          <w:color w:val="000000"/>
        </w:rPr>
        <w:t>Elements of Executive Compensation Program — Other Important Governance and Executive Compensation Policies — Severance Plan.</w:t>
      </w:r>
      <w:r>
        <w:rPr>
          <w:rFonts w:ascii="Arial" w:cs="Arial" w:eastAsia="Arial" w:hAnsi="Arial"/>
          <w:sz w:val="16"/>
          <w:szCs w:val="16"/>
          <w:color w:val="000000"/>
        </w:rPr>
        <w:t>"</w:t>
      </w:r>
    </w:p>
    <w:p>
      <w:pPr>
        <w:spacing w:after="0" w:line="11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005388"/>
        </w:rPr>
        <w:t xml:space="preserve">CIC Severance Plan Benefits. </w:t>
      </w:r>
      <w:r>
        <w:rPr>
          <w:rFonts w:ascii="Arial" w:cs="Arial" w:eastAsia="Arial" w:hAnsi="Arial"/>
          <w:sz w:val="16"/>
          <w:szCs w:val="16"/>
          <w:color w:val="000000"/>
        </w:rPr>
        <w:t>Each of our NEOs was a participant in the Company's CIC Severance Plan in 2025. See "</w:t>
      </w:r>
      <w:r>
        <w:rPr>
          <w:rFonts w:ascii="Arial" w:cs="Arial" w:eastAsia="Arial" w:hAnsi="Arial"/>
          <w:sz w:val="16"/>
          <w:szCs w:val="16"/>
          <w:i w:val="1"/>
          <w:iCs w:val="1"/>
          <w:color w:val="000000"/>
        </w:rPr>
        <w:t>Compensation Discussion and</w:t>
      </w:r>
      <w:r>
        <w:rPr>
          <w:rFonts w:ascii="Arial" w:cs="Arial" w:eastAsia="Arial" w:hAnsi="Arial"/>
          <w:sz w:val="16"/>
          <w:szCs w:val="16"/>
          <w:color w:val="005388"/>
        </w:rPr>
        <w:t xml:space="preserve"> </w:t>
      </w:r>
      <w:r>
        <w:rPr>
          <w:rFonts w:ascii="Arial" w:cs="Arial" w:eastAsia="Arial" w:hAnsi="Arial"/>
          <w:sz w:val="16"/>
          <w:szCs w:val="16"/>
          <w:i w:val="1"/>
          <w:iCs w:val="1"/>
          <w:color w:val="000000"/>
        </w:rPr>
        <w:t>Analysis — Elements of Executive Compensation Program — Other Important Governance and Executive Compensation Policies — Change In Control Severance Plan (CIC Severance Plan)</w:t>
      </w:r>
      <w:r>
        <w:rPr>
          <w:rFonts w:ascii="Arial" w:cs="Arial" w:eastAsia="Arial" w:hAnsi="Arial"/>
          <w:sz w:val="16"/>
          <w:szCs w:val="16"/>
          <w:color w:val="000000"/>
        </w:rPr>
        <w:t>" above. See below under "</w:t>
      </w:r>
      <w:r>
        <w:rPr>
          <w:rFonts w:ascii="Arial" w:cs="Arial" w:eastAsia="Arial" w:hAnsi="Arial"/>
          <w:sz w:val="16"/>
          <w:szCs w:val="16"/>
          <w:i w:val="1"/>
          <w:iCs w:val="1"/>
          <w:color w:val="000000"/>
        </w:rPr>
        <w:t>— Potential Payments Upon Termination of Employment or Change in Control as of December 31, 2025</w:t>
      </w:r>
      <w:r>
        <w:rPr>
          <w:rFonts w:ascii="Arial" w:cs="Arial" w:eastAsia="Arial" w:hAnsi="Arial"/>
          <w:sz w:val="16"/>
          <w:szCs w:val="16"/>
          <w:color w:val="000000"/>
        </w:rPr>
        <w:t>" for a description of the change-in-control severance benefits that our NEOs would have been eligible to receive as of December 31,</w:t>
      </w:r>
      <w:r>
        <w:rPr>
          <w:rFonts w:ascii="Arial" w:cs="Arial" w:eastAsia="Arial" w:hAnsi="Arial"/>
          <w:sz w:val="16"/>
          <w:szCs w:val="16"/>
          <w:i w:val="1"/>
          <w:iCs w:val="1"/>
          <w:color w:val="000000"/>
        </w:rPr>
        <w:t xml:space="preserve"> </w:t>
      </w:r>
      <w:r>
        <w:rPr>
          <w:rFonts w:ascii="Arial" w:cs="Arial" w:eastAsia="Arial" w:hAnsi="Arial"/>
          <w:sz w:val="16"/>
          <w:szCs w:val="16"/>
          <w:color w:val="000000"/>
        </w:rPr>
        <w:t>2025.</w:t>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50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GRANTS OF PLAN-BASED AWARDS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06285" cy="3689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06285" cy="368998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40"/>
        <w:spacing w:after="0"/>
        <w:rPr>
          <w:sz w:val="20"/>
          <w:szCs w:val="20"/>
          <w:color w:val="auto"/>
        </w:rPr>
      </w:pPr>
      <w:r>
        <w:rPr>
          <w:rFonts w:ascii="Arial" w:cs="Arial" w:eastAsia="Arial" w:hAnsi="Arial"/>
          <w:sz w:val="14"/>
          <w:szCs w:val="14"/>
          <w:color w:val="FFFFFF"/>
        </w:rPr>
        <w:t>NAME</w:t>
      </w:r>
    </w:p>
    <w:p>
      <w:pPr>
        <w:spacing w:after="0" w:line="379"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005388"/>
        </w:rPr>
        <w:t>Adam S. Pollitzer</w:t>
      </w:r>
    </w:p>
    <w:p>
      <w:pPr>
        <w:spacing w:after="0" w:line="200" w:lineRule="exact"/>
        <w:rPr>
          <w:sz w:val="20"/>
          <w:szCs w:val="20"/>
          <w:color w:val="auto"/>
        </w:rPr>
      </w:pPr>
    </w:p>
    <w:p>
      <w:pPr>
        <w:spacing w:after="0" w:line="39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Bradley M.</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Shuster</w:t>
      </w:r>
    </w:p>
    <w:p>
      <w:pPr>
        <w:spacing w:after="0" w:line="200" w:lineRule="exact"/>
        <w:rPr>
          <w:sz w:val="20"/>
          <w:szCs w:val="20"/>
          <w:color w:val="auto"/>
        </w:rPr>
      </w:pPr>
    </w:p>
    <w:p>
      <w:pPr>
        <w:spacing w:after="0" w:line="300" w:lineRule="exact"/>
        <w:rPr>
          <w:sz w:val="20"/>
          <w:szCs w:val="20"/>
          <w:color w:val="auto"/>
        </w:rPr>
      </w:pPr>
    </w:p>
    <w:p>
      <w:pPr>
        <w:ind w:left="140" w:right="280"/>
        <w:spacing w:after="0" w:line="314" w:lineRule="auto"/>
        <w:rPr>
          <w:sz w:val="20"/>
          <w:szCs w:val="20"/>
          <w:color w:val="auto"/>
        </w:rPr>
      </w:pPr>
      <w:r>
        <w:rPr>
          <w:rFonts w:ascii="Arial" w:cs="Arial" w:eastAsia="Arial" w:hAnsi="Arial"/>
          <w:sz w:val="14"/>
          <w:szCs w:val="14"/>
          <w:b w:val="1"/>
          <w:bCs w:val="1"/>
          <w:color w:val="005388"/>
        </w:rPr>
        <w:t>Aurora Swithenbank</w:t>
      </w:r>
    </w:p>
    <w:p>
      <w:pPr>
        <w:spacing w:after="0" w:line="200" w:lineRule="exact"/>
        <w:rPr>
          <w:sz w:val="20"/>
          <w:szCs w:val="20"/>
          <w:color w:val="auto"/>
        </w:rPr>
      </w:pPr>
    </w:p>
    <w:p>
      <w:pPr>
        <w:spacing w:after="0" w:line="229" w:lineRule="exact"/>
        <w:rPr>
          <w:sz w:val="20"/>
          <w:szCs w:val="20"/>
          <w:color w:val="auto"/>
        </w:rPr>
      </w:pPr>
    </w:p>
    <w:p>
      <w:pPr>
        <w:ind w:left="140" w:right="300"/>
        <w:spacing w:after="0" w:line="314" w:lineRule="auto"/>
        <w:rPr>
          <w:sz w:val="20"/>
          <w:szCs w:val="20"/>
          <w:color w:val="auto"/>
        </w:rPr>
      </w:pPr>
      <w:r>
        <w:rPr>
          <w:rFonts w:ascii="Arial" w:cs="Arial" w:eastAsia="Arial" w:hAnsi="Arial"/>
          <w:sz w:val="14"/>
          <w:szCs w:val="14"/>
          <w:b w:val="1"/>
          <w:bCs w:val="1"/>
          <w:color w:val="005388"/>
        </w:rPr>
        <w:t>William J. Leatherberry</w:t>
      </w:r>
    </w:p>
    <w:p>
      <w:pPr>
        <w:spacing w:after="0" w:line="200" w:lineRule="exact"/>
        <w:rPr>
          <w:sz w:val="20"/>
          <w:szCs w:val="20"/>
          <w:color w:val="auto"/>
        </w:rPr>
      </w:pPr>
    </w:p>
    <w:p>
      <w:pPr>
        <w:spacing w:after="0" w:line="32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Robert Smith</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6"/>
        </w:trPr>
        <w:tc>
          <w:tcPr>
            <w:tcW w:w="1000" w:type="dxa"/>
            <w:vAlign w:val="bottom"/>
            <w:shd w:val="clear" w:color="auto" w:fill="0C2940"/>
          </w:tcPr>
          <w:p>
            <w:pPr>
              <w:spacing w:after="0"/>
              <w:rPr>
                <w:sz w:val="24"/>
                <w:szCs w:val="24"/>
                <w:color w:val="auto"/>
              </w:rPr>
            </w:pPr>
          </w:p>
        </w:tc>
        <w:tc>
          <w:tcPr>
            <w:tcW w:w="2340" w:type="dxa"/>
            <w:vAlign w:val="bottom"/>
            <w:gridSpan w:val="2"/>
            <w:shd w:val="clear" w:color="auto" w:fill="0C2940"/>
          </w:tcPr>
          <w:p>
            <w:pPr>
              <w:jc w:val="center"/>
              <w:ind w:left="708"/>
              <w:spacing w:after="0"/>
              <w:rPr>
                <w:sz w:val="20"/>
                <w:szCs w:val="20"/>
                <w:color w:val="auto"/>
              </w:rPr>
            </w:pPr>
            <w:r>
              <w:rPr>
                <w:rFonts w:ascii="Arial" w:cs="Arial" w:eastAsia="Arial" w:hAnsi="Arial"/>
                <w:sz w:val="14"/>
                <w:szCs w:val="14"/>
                <w:color w:val="FFFFFF"/>
              </w:rPr>
              <w:t>ESTIMATED FUTURE</w:t>
            </w:r>
          </w:p>
        </w:tc>
        <w:tc>
          <w:tcPr>
            <w:tcW w:w="940" w:type="dxa"/>
            <w:vAlign w:val="bottom"/>
            <w:shd w:val="clear" w:color="auto" w:fill="0C2940"/>
          </w:tcPr>
          <w:p>
            <w:pPr>
              <w:spacing w:after="0"/>
              <w:rPr>
                <w:sz w:val="24"/>
                <w:szCs w:val="24"/>
                <w:color w:val="auto"/>
              </w:rPr>
            </w:pPr>
          </w:p>
        </w:tc>
        <w:tc>
          <w:tcPr>
            <w:tcW w:w="2220" w:type="dxa"/>
            <w:vAlign w:val="bottom"/>
            <w:gridSpan w:val="2"/>
            <w:shd w:val="clear" w:color="auto" w:fill="0C2940"/>
          </w:tcPr>
          <w:p>
            <w:pPr>
              <w:jc w:val="center"/>
              <w:ind w:left="628"/>
              <w:spacing w:after="0"/>
              <w:rPr>
                <w:sz w:val="20"/>
                <w:szCs w:val="20"/>
                <w:color w:val="auto"/>
              </w:rPr>
            </w:pPr>
            <w:r>
              <w:rPr>
                <w:rFonts w:ascii="Arial" w:cs="Arial" w:eastAsia="Arial" w:hAnsi="Arial"/>
                <w:sz w:val="14"/>
                <w:szCs w:val="14"/>
                <w:color w:val="FFFFFF"/>
              </w:rPr>
              <w:t>ESTIMATED FUTURE</w:t>
            </w:r>
          </w:p>
        </w:tc>
        <w:tc>
          <w:tcPr>
            <w:tcW w:w="780" w:type="dxa"/>
            <w:vAlign w:val="bottom"/>
            <w:shd w:val="clear" w:color="auto" w:fill="0C2940"/>
          </w:tcPr>
          <w:p>
            <w:pPr>
              <w:spacing w:after="0"/>
              <w:rPr>
                <w:sz w:val="24"/>
                <w:szCs w:val="24"/>
                <w:color w:val="auto"/>
              </w:rPr>
            </w:pP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ALL OTHER</w:t>
            </w:r>
          </w:p>
        </w:tc>
        <w:tc>
          <w:tcPr>
            <w:tcW w:w="1140" w:type="dxa"/>
            <w:vAlign w:val="bottom"/>
            <w:shd w:val="clear" w:color="auto" w:fill="0C2940"/>
          </w:tcPr>
          <w:p>
            <w:pPr>
              <w:spacing w:after="0"/>
              <w:rPr>
                <w:sz w:val="24"/>
                <w:szCs w:val="24"/>
                <w:color w:val="auto"/>
              </w:rPr>
            </w:pPr>
          </w:p>
        </w:tc>
      </w:tr>
      <w:tr>
        <w:trPr>
          <w:trHeight w:val="173"/>
        </w:trPr>
        <w:tc>
          <w:tcPr>
            <w:tcW w:w="1000" w:type="dxa"/>
            <w:vAlign w:val="bottom"/>
            <w:shd w:val="clear" w:color="auto" w:fill="0C2940"/>
          </w:tcPr>
          <w:p>
            <w:pPr>
              <w:spacing w:after="0"/>
              <w:rPr>
                <w:sz w:val="15"/>
                <w:szCs w:val="15"/>
                <w:color w:val="auto"/>
              </w:rPr>
            </w:pPr>
          </w:p>
        </w:tc>
        <w:tc>
          <w:tcPr>
            <w:tcW w:w="3280" w:type="dxa"/>
            <w:vAlign w:val="bottom"/>
            <w:gridSpan w:val="3"/>
            <w:shd w:val="clear" w:color="auto" w:fill="0C2940"/>
          </w:tcPr>
          <w:p>
            <w:pPr>
              <w:jc w:val="center"/>
              <w:ind w:right="88"/>
              <w:spacing w:after="0"/>
              <w:rPr>
                <w:sz w:val="20"/>
                <w:szCs w:val="20"/>
                <w:color w:val="auto"/>
              </w:rPr>
            </w:pPr>
            <w:r>
              <w:rPr>
                <w:rFonts w:ascii="Arial" w:cs="Arial" w:eastAsia="Arial" w:hAnsi="Arial"/>
                <w:sz w:val="14"/>
                <w:szCs w:val="14"/>
                <w:color w:val="FFFFFF"/>
              </w:rPr>
              <w:t>PAYOUTS UNDER NON-EQUITY INCENTIVE</w:t>
            </w:r>
          </w:p>
        </w:tc>
        <w:tc>
          <w:tcPr>
            <w:tcW w:w="3000" w:type="dxa"/>
            <w:vAlign w:val="bottom"/>
            <w:gridSpan w:val="3"/>
            <w:shd w:val="clear" w:color="auto" w:fill="0C2940"/>
          </w:tcPr>
          <w:p>
            <w:pPr>
              <w:jc w:val="center"/>
              <w:ind w:right="8"/>
              <w:spacing w:after="0"/>
              <w:rPr>
                <w:sz w:val="20"/>
                <w:szCs w:val="20"/>
                <w:color w:val="auto"/>
              </w:rPr>
            </w:pPr>
            <w:r>
              <w:rPr>
                <w:rFonts w:ascii="Arial" w:cs="Arial" w:eastAsia="Arial" w:hAnsi="Arial"/>
                <w:sz w:val="14"/>
                <w:szCs w:val="14"/>
                <w:color w:val="FFFFFF"/>
              </w:rPr>
              <w:t>PAYOUTS UNDER EQUITY INCENTIVE</w:t>
            </w: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STOCK AWARDS:</w:t>
            </w:r>
          </w:p>
        </w:tc>
        <w:tc>
          <w:tcPr>
            <w:tcW w:w="11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GRANT DATE</w:t>
            </w:r>
          </w:p>
        </w:tc>
      </w:tr>
      <w:tr>
        <w:trPr>
          <w:trHeight w:val="191"/>
        </w:trPr>
        <w:tc>
          <w:tcPr>
            <w:tcW w:w="1000" w:type="dxa"/>
            <w:vAlign w:val="bottom"/>
            <w:shd w:val="clear" w:color="auto" w:fill="0C2940"/>
          </w:tcPr>
          <w:p>
            <w:pPr>
              <w:spacing w:after="0"/>
              <w:rPr>
                <w:sz w:val="16"/>
                <w:szCs w:val="16"/>
                <w:color w:val="auto"/>
              </w:rPr>
            </w:pPr>
          </w:p>
        </w:tc>
        <w:tc>
          <w:tcPr>
            <w:tcW w:w="2340" w:type="dxa"/>
            <w:vAlign w:val="bottom"/>
            <w:gridSpan w:val="2"/>
            <w:shd w:val="clear" w:color="auto" w:fill="0C2940"/>
          </w:tcPr>
          <w:p>
            <w:pPr>
              <w:jc w:val="center"/>
              <w:ind w:left="708"/>
              <w:spacing w:after="0" w:line="191" w:lineRule="exact"/>
              <w:rPr>
                <w:sz w:val="20"/>
                <w:szCs w:val="20"/>
                <w:color w:val="auto"/>
              </w:rPr>
            </w:pPr>
            <w:r>
              <w:rPr>
                <w:rFonts w:ascii="Arial" w:cs="Arial" w:eastAsia="Arial" w:hAnsi="Arial"/>
                <w:sz w:val="14"/>
                <w:szCs w:val="14"/>
                <w:color w:val="FFFFFF"/>
                <w:w w:val="99"/>
              </w:rPr>
              <w:t xml:space="preserve">PLAN AWARDS </w:t>
            </w:r>
            <w:r>
              <w:rPr>
                <w:rFonts w:ascii="Arial" w:cs="Arial" w:eastAsia="Arial" w:hAnsi="Arial"/>
                <w:sz w:val="18"/>
                <w:szCs w:val="18"/>
                <w:color w:val="FFFFFF"/>
                <w:w w:val="99"/>
                <w:vertAlign w:val="superscript"/>
              </w:rPr>
              <w:t>(1)</w:t>
            </w:r>
          </w:p>
        </w:tc>
        <w:tc>
          <w:tcPr>
            <w:tcW w:w="940" w:type="dxa"/>
            <w:vAlign w:val="bottom"/>
            <w:shd w:val="clear" w:color="auto" w:fill="0C2940"/>
          </w:tcPr>
          <w:p>
            <w:pPr>
              <w:spacing w:after="0"/>
              <w:rPr>
                <w:sz w:val="16"/>
                <w:szCs w:val="16"/>
                <w:color w:val="auto"/>
              </w:rPr>
            </w:pPr>
          </w:p>
        </w:tc>
        <w:tc>
          <w:tcPr>
            <w:tcW w:w="2220" w:type="dxa"/>
            <w:vAlign w:val="bottom"/>
            <w:gridSpan w:val="2"/>
            <w:shd w:val="clear" w:color="auto" w:fill="0C2940"/>
          </w:tcPr>
          <w:p>
            <w:pPr>
              <w:jc w:val="center"/>
              <w:ind w:left="628"/>
              <w:spacing w:after="0" w:line="191" w:lineRule="exact"/>
              <w:rPr>
                <w:sz w:val="20"/>
                <w:szCs w:val="20"/>
                <w:color w:val="auto"/>
              </w:rPr>
            </w:pPr>
            <w:r>
              <w:rPr>
                <w:rFonts w:ascii="Arial" w:cs="Arial" w:eastAsia="Arial" w:hAnsi="Arial"/>
                <w:sz w:val="14"/>
                <w:szCs w:val="14"/>
                <w:color w:val="FFFFFF"/>
                <w:w w:val="99"/>
              </w:rPr>
              <w:t xml:space="preserve">PLAN AWARDS </w:t>
            </w:r>
            <w:r>
              <w:rPr>
                <w:rFonts w:ascii="Arial" w:cs="Arial" w:eastAsia="Arial" w:hAnsi="Arial"/>
                <w:sz w:val="18"/>
                <w:szCs w:val="18"/>
                <w:color w:val="FFFFFF"/>
                <w:w w:val="99"/>
                <w:vertAlign w:val="superscript"/>
              </w:rPr>
              <w:t>(2)</w:t>
            </w:r>
          </w:p>
        </w:tc>
        <w:tc>
          <w:tcPr>
            <w:tcW w:w="780" w:type="dxa"/>
            <w:vAlign w:val="bottom"/>
            <w:shd w:val="clear" w:color="auto" w:fill="0C2940"/>
          </w:tcPr>
          <w:p>
            <w:pPr>
              <w:spacing w:after="0"/>
              <w:rPr>
                <w:sz w:val="16"/>
                <w:szCs w:val="16"/>
                <w:color w:val="auto"/>
              </w:rPr>
            </w:pPr>
          </w:p>
        </w:tc>
        <w:tc>
          <w:tcPr>
            <w:tcW w:w="2460" w:type="dxa"/>
            <w:vAlign w:val="bottom"/>
            <w:gridSpan w:val="2"/>
            <w:shd w:val="clear" w:color="auto" w:fill="0C2940"/>
          </w:tcPr>
          <w:p>
            <w:pPr>
              <w:jc w:val="right"/>
              <w:ind w:right="48"/>
              <w:spacing w:after="0"/>
              <w:rPr>
                <w:sz w:val="20"/>
                <w:szCs w:val="20"/>
                <w:color w:val="auto"/>
              </w:rPr>
            </w:pPr>
            <w:r>
              <w:rPr>
                <w:rFonts w:ascii="Arial" w:cs="Arial" w:eastAsia="Arial" w:hAnsi="Arial"/>
                <w:sz w:val="14"/>
                <w:szCs w:val="14"/>
                <w:color w:val="FFFFFF"/>
              </w:rPr>
              <w:t>NUMBER OF FAIR VALUE OF</w:t>
            </w:r>
          </w:p>
        </w:tc>
      </w:tr>
      <w:tr>
        <w:trPr>
          <w:trHeight w:val="176"/>
        </w:trPr>
        <w:tc>
          <w:tcPr>
            <w:tcW w:w="1000" w:type="dxa"/>
            <w:vAlign w:val="bottom"/>
            <w:shd w:val="clear" w:color="auto" w:fill="0C2940"/>
          </w:tcPr>
          <w:p>
            <w:pPr>
              <w:spacing w:after="0"/>
              <w:rPr>
                <w:sz w:val="15"/>
                <w:szCs w:val="15"/>
                <w:color w:val="auto"/>
              </w:rPr>
            </w:pPr>
          </w:p>
        </w:tc>
        <w:tc>
          <w:tcPr>
            <w:tcW w:w="1160" w:type="dxa"/>
            <w:vAlign w:val="bottom"/>
            <w:shd w:val="clear" w:color="auto" w:fill="0C2940"/>
          </w:tcPr>
          <w:p>
            <w:pPr>
              <w:spacing w:after="0"/>
              <w:rPr>
                <w:sz w:val="15"/>
                <w:szCs w:val="15"/>
                <w:color w:val="auto"/>
              </w:rPr>
            </w:pPr>
          </w:p>
        </w:tc>
        <w:tc>
          <w:tcPr>
            <w:tcW w:w="1180" w:type="dxa"/>
            <w:vAlign w:val="bottom"/>
            <w:shd w:val="clear" w:color="auto" w:fill="0C2940"/>
          </w:tcPr>
          <w:p>
            <w:pPr>
              <w:spacing w:after="0"/>
              <w:rPr>
                <w:sz w:val="15"/>
                <w:szCs w:val="15"/>
                <w:color w:val="auto"/>
              </w:rPr>
            </w:pPr>
          </w:p>
        </w:tc>
        <w:tc>
          <w:tcPr>
            <w:tcW w:w="940" w:type="dxa"/>
            <w:vAlign w:val="bottom"/>
            <w:shd w:val="clear" w:color="auto" w:fill="0C2940"/>
          </w:tcPr>
          <w:p>
            <w:pPr>
              <w:spacing w:after="0"/>
              <w:rPr>
                <w:sz w:val="15"/>
                <w:szCs w:val="15"/>
                <w:color w:val="auto"/>
              </w:rPr>
            </w:pPr>
          </w:p>
        </w:tc>
        <w:tc>
          <w:tcPr>
            <w:tcW w:w="1220" w:type="dxa"/>
            <w:vAlign w:val="bottom"/>
            <w:shd w:val="clear" w:color="auto" w:fill="0C2940"/>
          </w:tcPr>
          <w:p>
            <w:pPr>
              <w:spacing w:after="0"/>
              <w:rPr>
                <w:sz w:val="15"/>
                <w:szCs w:val="15"/>
                <w:color w:val="auto"/>
              </w:rPr>
            </w:pPr>
          </w:p>
        </w:tc>
        <w:tc>
          <w:tcPr>
            <w:tcW w:w="1000" w:type="dxa"/>
            <w:vAlign w:val="bottom"/>
            <w:shd w:val="clear" w:color="auto" w:fill="0C2940"/>
          </w:tcPr>
          <w:p>
            <w:pPr>
              <w:spacing w:after="0"/>
              <w:rPr>
                <w:sz w:val="15"/>
                <w:szCs w:val="15"/>
                <w:color w:val="auto"/>
              </w:rPr>
            </w:pPr>
          </w:p>
        </w:tc>
        <w:tc>
          <w:tcPr>
            <w:tcW w:w="780" w:type="dxa"/>
            <w:vAlign w:val="bottom"/>
            <w:shd w:val="clear" w:color="auto" w:fill="0C2940"/>
          </w:tcPr>
          <w:p>
            <w:pPr>
              <w:spacing w:after="0"/>
              <w:rPr>
                <w:sz w:val="15"/>
                <w:szCs w:val="15"/>
                <w:color w:val="auto"/>
              </w:rPr>
            </w:pP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SHARES OF</w:t>
            </w:r>
          </w:p>
        </w:tc>
        <w:tc>
          <w:tcPr>
            <w:tcW w:w="11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STOCK AND</w:t>
            </w:r>
          </w:p>
        </w:tc>
      </w:tr>
      <w:tr>
        <w:trPr>
          <w:trHeight w:val="175"/>
        </w:trPr>
        <w:tc>
          <w:tcPr>
            <w:tcW w:w="1000" w:type="dxa"/>
            <w:vAlign w:val="bottom"/>
            <w:shd w:val="clear" w:color="auto" w:fill="0C2940"/>
          </w:tcPr>
          <w:p>
            <w:pPr>
              <w:spacing w:after="0"/>
              <w:rPr>
                <w:sz w:val="15"/>
                <w:szCs w:val="15"/>
                <w:color w:val="auto"/>
              </w:rPr>
            </w:pPr>
          </w:p>
        </w:tc>
        <w:tc>
          <w:tcPr>
            <w:tcW w:w="1160" w:type="dxa"/>
            <w:vAlign w:val="bottom"/>
            <w:shd w:val="clear" w:color="auto" w:fill="0C2940"/>
          </w:tcPr>
          <w:p>
            <w:pPr>
              <w:spacing w:after="0"/>
              <w:rPr>
                <w:sz w:val="15"/>
                <w:szCs w:val="15"/>
                <w:color w:val="auto"/>
              </w:rPr>
            </w:pPr>
          </w:p>
        </w:tc>
        <w:tc>
          <w:tcPr>
            <w:tcW w:w="1180" w:type="dxa"/>
            <w:vAlign w:val="bottom"/>
            <w:shd w:val="clear" w:color="auto" w:fill="0C2940"/>
          </w:tcPr>
          <w:p>
            <w:pPr>
              <w:spacing w:after="0"/>
              <w:rPr>
                <w:sz w:val="15"/>
                <w:szCs w:val="15"/>
                <w:color w:val="auto"/>
              </w:rPr>
            </w:pPr>
          </w:p>
        </w:tc>
        <w:tc>
          <w:tcPr>
            <w:tcW w:w="940" w:type="dxa"/>
            <w:vAlign w:val="bottom"/>
            <w:shd w:val="clear" w:color="auto" w:fill="0C2940"/>
          </w:tcPr>
          <w:p>
            <w:pPr>
              <w:spacing w:after="0"/>
              <w:rPr>
                <w:sz w:val="15"/>
                <w:szCs w:val="15"/>
                <w:color w:val="auto"/>
              </w:rPr>
            </w:pPr>
          </w:p>
        </w:tc>
        <w:tc>
          <w:tcPr>
            <w:tcW w:w="1220" w:type="dxa"/>
            <w:vAlign w:val="bottom"/>
            <w:shd w:val="clear" w:color="auto" w:fill="0C2940"/>
          </w:tcPr>
          <w:p>
            <w:pPr>
              <w:spacing w:after="0"/>
              <w:rPr>
                <w:sz w:val="15"/>
                <w:szCs w:val="15"/>
                <w:color w:val="auto"/>
              </w:rPr>
            </w:pPr>
          </w:p>
        </w:tc>
        <w:tc>
          <w:tcPr>
            <w:tcW w:w="1000" w:type="dxa"/>
            <w:vAlign w:val="bottom"/>
            <w:shd w:val="clear" w:color="auto" w:fill="0C2940"/>
          </w:tcPr>
          <w:p>
            <w:pPr>
              <w:spacing w:after="0"/>
              <w:rPr>
                <w:sz w:val="15"/>
                <w:szCs w:val="15"/>
                <w:color w:val="auto"/>
              </w:rPr>
            </w:pPr>
          </w:p>
        </w:tc>
        <w:tc>
          <w:tcPr>
            <w:tcW w:w="780" w:type="dxa"/>
            <w:vAlign w:val="bottom"/>
            <w:shd w:val="clear" w:color="auto" w:fill="0C2940"/>
          </w:tcPr>
          <w:p>
            <w:pPr>
              <w:spacing w:after="0"/>
              <w:rPr>
                <w:sz w:val="15"/>
                <w:szCs w:val="15"/>
                <w:color w:val="auto"/>
              </w:rPr>
            </w:pP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STOCK OR</w:t>
            </w:r>
          </w:p>
        </w:tc>
        <w:tc>
          <w:tcPr>
            <w:tcW w:w="11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OPTION</w:t>
            </w:r>
          </w:p>
        </w:tc>
      </w:tr>
      <w:tr>
        <w:trPr>
          <w:trHeight w:val="173"/>
        </w:trPr>
        <w:tc>
          <w:tcPr>
            <w:tcW w:w="1000" w:type="dxa"/>
            <w:vAlign w:val="bottom"/>
            <w:shd w:val="clear" w:color="auto" w:fill="0C2940"/>
          </w:tcPr>
          <w:p>
            <w:pPr>
              <w:spacing w:after="0"/>
              <w:rPr>
                <w:sz w:val="15"/>
                <w:szCs w:val="15"/>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THRESHOLD</w:t>
            </w:r>
          </w:p>
        </w:tc>
        <w:tc>
          <w:tcPr>
            <w:tcW w:w="1180" w:type="dxa"/>
            <w:vAlign w:val="bottom"/>
            <w:shd w:val="clear" w:color="auto" w:fill="0C2940"/>
          </w:tcPr>
          <w:p>
            <w:pPr>
              <w:jc w:val="right"/>
              <w:ind w:right="208"/>
              <w:spacing w:after="0"/>
              <w:rPr>
                <w:sz w:val="20"/>
                <w:szCs w:val="20"/>
                <w:color w:val="auto"/>
              </w:rPr>
            </w:pPr>
            <w:r>
              <w:rPr>
                <w:rFonts w:ascii="Arial" w:cs="Arial" w:eastAsia="Arial" w:hAnsi="Arial"/>
                <w:sz w:val="14"/>
                <w:szCs w:val="14"/>
                <w:color w:val="FFFFFF"/>
              </w:rPr>
              <w:t>TARGET</w:t>
            </w:r>
          </w:p>
        </w:tc>
        <w:tc>
          <w:tcPr>
            <w:tcW w:w="940" w:type="dxa"/>
            <w:vAlign w:val="bottom"/>
            <w:shd w:val="clear" w:color="auto" w:fill="0C2940"/>
          </w:tcPr>
          <w:p>
            <w:pPr>
              <w:jc w:val="right"/>
              <w:ind w:right="108"/>
              <w:spacing w:after="0"/>
              <w:rPr>
                <w:sz w:val="20"/>
                <w:szCs w:val="20"/>
                <w:color w:val="auto"/>
              </w:rPr>
            </w:pPr>
            <w:r>
              <w:rPr>
                <w:rFonts w:ascii="Arial" w:cs="Arial" w:eastAsia="Arial" w:hAnsi="Arial"/>
                <w:sz w:val="14"/>
                <w:szCs w:val="14"/>
                <w:color w:val="FFFFFF"/>
              </w:rPr>
              <w:t>MAXIMUM</w:t>
            </w:r>
          </w:p>
        </w:tc>
        <w:tc>
          <w:tcPr>
            <w:tcW w:w="122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THRESHOLD</w:t>
            </w:r>
          </w:p>
        </w:tc>
        <w:tc>
          <w:tcPr>
            <w:tcW w:w="1000" w:type="dxa"/>
            <w:vAlign w:val="bottom"/>
            <w:shd w:val="clear" w:color="auto" w:fill="0C2940"/>
          </w:tcPr>
          <w:p>
            <w:pPr>
              <w:jc w:val="right"/>
              <w:ind w:right="248"/>
              <w:spacing w:after="0"/>
              <w:rPr>
                <w:sz w:val="20"/>
                <w:szCs w:val="20"/>
                <w:color w:val="auto"/>
              </w:rPr>
            </w:pPr>
            <w:r>
              <w:rPr>
                <w:rFonts w:ascii="Arial" w:cs="Arial" w:eastAsia="Arial" w:hAnsi="Arial"/>
                <w:sz w:val="14"/>
                <w:szCs w:val="14"/>
                <w:color w:val="FFFFFF"/>
              </w:rPr>
              <w:t>TARGET</w:t>
            </w:r>
          </w:p>
        </w:tc>
        <w:tc>
          <w:tcPr>
            <w:tcW w:w="7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MAXIMUM</w:t>
            </w: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UNITS</w:t>
            </w:r>
          </w:p>
        </w:tc>
        <w:tc>
          <w:tcPr>
            <w:tcW w:w="11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AWARDS</w:t>
            </w:r>
          </w:p>
        </w:tc>
      </w:tr>
      <w:tr>
        <w:trPr>
          <w:trHeight w:val="214"/>
        </w:trPr>
        <w:tc>
          <w:tcPr>
            <w:tcW w:w="100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GRANT DATE</w:t>
            </w: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180" w:type="dxa"/>
            <w:vAlign w:val="bottom"/>
            <w:shd w:val="clear" w:color="auto" w:fill="0C2940"/>
          </w:tcPr>
          <w:p>
            <w:pPr>
              <w:jc w:val="right"/>
              <w:ind w:right="208"/>
              <w:spacing w:after="0"/>
              <w:rPr>
                <w:sz w:val="20"/>
                <w:szCs w:val="20"/>
                <w:color w:val="auto"/>
              </w:rPr>
            </w:pPr>
            <w:r>
              <w:rPr>
                <w:rFonts w:ascii="Arial" w:cs="Arial" w:eastAsia="Arial" w:hAnsi="Arial"/>
                <w:sz w:val="14"/>
                <w:szCs w:val="14"/>
                <w:color w:val="FFFFFF"/>
              </w:rPr>
              <w:t>($)</w:t>
            </w:r>
          </w:p>
        </w:tc>
        <w:tc>
          <w:tcPr>
            <w:tcW w:w="940" w:type="dxa"/>
            <w:vAlign w:val="bottom"/>
            <w:shd w:val="clear" w:color="auto" w:fill="0C2940"/>
          </w:tcPr>
          <w:p>
            <w:pPr>
              <w:jc w:val="right"/>
              <w:ind w:right="108"/>
              <w:spacing w:after="0"/>
              <w:rPr>
                <w:sz w:val="20"/>
                <w:szCs w:val="20"/>
                <w:color w:val="auto"/>
              </w:rPr>
            </w:pPr>
            <w:r>
              <w:rPr>
                <w:rFonts w:ascii="Arial" w:cs="Arial" w:eastAsia="Arial" w:hAnsi="Arial"/>
                <w:sz w:val="14"/>
                <w:szCs w:val="14"/>
                <w:color w:val="FFFFFF"/>
              </w:rPr>
              <w:t>($)</w:t>
            </w:r>
          </w:p>
        </w:tc>
        <w:tc>
          <w:tcPr>
            <w:tcW w:w="122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c>
          <w:tcPr>
            <w:tcW w:w="1000" w:type="dxa"/>
            <w:vAlign w:val="bottom"/>
            <w:shd w:val="clear" w:color="auto" w:fill="0C2940"/>
          </w:tcPr>
          <w:p>
            <w:pPr>
              <w:jc w:val="right"/>
              <w:ind w:right="248"/>
              <w:spacing w:after="0"/>
              <w:rPr>
                <w:sz w:val="20"/>
                <w:szCs w:val="20"/>
                <w:color w:val="auto"/>
              </w:rPr>
            </w:pPr>
            <w:r>
              <w:rPr>
                <w:rFonts w:ascii="Arial" w:cs="Arial" w:eastAsia="Arial" w:hAnsi="Arial"/>
                <w:sz w:val="14"/>
                <w:szCs w:val="14"/>
                <w:color w:val="FFFFFF"/>
              </w:rPr>
              <w:t>(#)</w:t>
            </w:r>
          </w:p>
        </w:tc>
        <w:tc>
          <w:tcPr>
            <w:tcW w:w="7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320" w:type="dxa"/>
            <w:vAlign w:val="bottom"/>
            <w:shd w:val="clear" w:color="auto" w:fill="0C2940"/>
          </w:tcPr>
          <w:p>
            <w:pPr>
              <w:jc w:val="right"/>
              <w:ind w:right="28"/>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8"/>
                <w:szCs w:val="18"/>
                <w:color w:val="FFFFFF"/>
                <w:vertAlign w:val="superscript"/>
              </w:rPr>
              <w:t>(3)</w:t>
            </w:r>
          </w:p>
        </w:tc>
        <w:tc>
          <w:tcPr>
            <w:tcW w:w="114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8"/>
                <w:szCs w:val="18"/>
                <w:color w:val="FFFFFF"/>
                <w:vertAlign w:val="superscript"/>
              </w:rPr>
              <w:t>(4)</w:t>
            </w:r>
          </w:p>
        </w:tc>
      </w:tr>
      <w:tr>
        <w:trPr>
          <w:trHeight w:val="208"/>
        </w:trPr>
        <w:tc>
          <w:tcPr>
            <w:tcW w:w="1000" w:type="dxa"/>
            <w:vAlign w:val="bottom"/>
            <w:shd w:val="clear" w:color="auto" w:fill="F5F5F5"/>
          </w:tcPr>
          <w:p>
            <w:pPr>
              <w:spacing w:after="0"/>
              <w:rPr>
                <w:sz w:val="18"/>
                <w:szCs w:val="18"/>
                <w:color w:val="auto"/>
              </w:rPr>
            </w:pPr>
          </w:p>
        </w:tc>
        <w:tc>
          <w:tcPr>
            <w:tcW w:w="1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1,279,688</w:t>
            </w:r>
          </w:p>
        </w:tc>
        <w:tc>
          <w:tcPr>
            <w:tcW w:w="11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1,706,250</w:t>
            </w:r>
          </w:p>
        </w:tc>
        <w:tc>
          <w:tcPr>
            <w:tcW w:w="94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3,071,250</w:t>
            </w: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r>
      <w:tr>
        <w:trPr>
          <w:trHeight w:val="75"/>
        </w:trPr>
        <w:tc>
          <w:tcPr>
            <w:tcW w:w="100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18"/>
                <w:szCs w:val="18"/>
                <w:color w:val="auto"/>
              </w:rPr>
            </w:pPr>
          </w:p>
        </w:tc>
        <w:tc>
          <w:tcPr>
            <w:tcW w:w="118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72,098</w:t>
            </w: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2,534,966</w:t>
            </w:r>
          </w:p>
        </w:tc>
      </w:tr>
      <w:tr>
        <w:trPr>
          <w:trHeight w:val="283"/>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24"/>
                <w:szCs w:val="24"/>
                <w:color w:val="auto"/>
              </w:rPr>
            </w:pPr>
          </w:p>
        </w:tc>
        <w:tc>
          <w:tcPr>
            <w:tcW w:w="1180" w:type="dxa"/>
            <w:vAlign w:val="bottom"/>
            <w:shd w:val="clear" w:color="auto" w:fill="F5F5F5"/>
          </w:tcPr>
          <w:p>
            <w:pPr>
              <w:spacing w:after="0"/>
              <w:rPr>
                <w:sz w:val="24"/>
                <w:szCs w:val="24"/>
                <w:color w:val="auto"/>
              </w:rPr>
            </w:pPr>
          </w:p>
        </w:tc>
        <w:tc>
          <w:tcPr>
            <w:tcW w:w="940" w:type="dxa"/>
            <w:vAlign w:val="bottom"/>
            <w:shd w:val="clear" w:color="auto" w:fill="F5F5F5"/>
          </w:tcPr>
          <w:p>
            <w:pPr>
              <w:spacing w:after="0"/>
              <w:rPr>
                <w:sz w:val="24"/>
                <w:szCs w:val="24"/>
                <w:color w:val="auto"/>
              </w:rPr>
            </w:pPr>
          </w:p>
        </w:tc>
        <w:tc>
          <w:tcPr>
            <w:tcW w:w="122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54,074</w:t>
            </w:r>
          </w:p>
        </w:tc>
        <w:tc>
          <w:tcPr>
            <w:tcW w:w="1000" w:type="dxa"/>
            <w:vAlign w:val="bottom"/>
            <w:shd w:val="clear" w:color="auto" w:fill="F5F5F5"/>
          </w:tcPr>
          <w:p>
            <w:pPr>
              <w:jc w:val="right"/>
              <w:ind w:right="288"/>
              <w:spacing w:after="0"/>
              <w:rPr>
                <w:sz w:val="20"/>
                <w:szCs w:val="20"/>
                <w:color w:val="auto"/>
              </w:rPr>
            </w:pPr>
            <w:r>
              <w:rPr>
                <w:rFonts w:ascii="Arial" w:cs="Arial" w:eastAsia="Arial" w:hAnsi="Arial"/>
                <w:sz w:val="14"/>
                <w:szCs w:val="14"/>
                <w:color w:val="auto"/>
              </w:rPr>
              <w:t>108,148</w:t>
            </w:r>
          </w:p>
        </w:tc>
        <w:tc>
          <w:tcPr>
            <w:tcW w:w="7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216,296</w:t>
            </w:r>
          </w:p>
        </w:tc>
        <w:tc>
          <w:tcPr>
            <w:tcW w:w="1320" w:type="dxa"/>
            <w:vAlign w:val="bottom"/>
            <w:shd w:val="clear" w:color="auto" w:fill="F5F5F5"/>
          </w:tcPr>
          <w:p>
            <w:pPr>
              <w:spacing w:after="0"/>
              <w:rPr>
                <w:sz w:val="24"/>
                <w:szCs w:val="24"/>
                <w:color w:val="auto"/>
              </w:rPr>
            </w:pP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3,802,484</w:t>
            </w:r>
          </w:p>
        </w:tc>
      </w:tr>
      <w:tr>
        <w:trPr>
          <w:trHeight w:val="76"/>
        </w:trPr>
        <w:tc>
          <w:tcPr>
            <w:tcW w:w="1000" w:type="dxa"/>
            <w:vAlign w:val="bottom"/>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r>
        <w:trPr>
          <w:trHeight w:val="208"/>
        </w:trPr>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487,500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650,000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1,170,000</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3"/>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24,175</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849,993</w:t>
            </w:r>
          </w:p>
        </w:tc>
      </w:tr>
      <w:tr>
        <w:trPr>
          <w:trHeight w:val="284"/>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12,088</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24,175</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48,350</w:t>
            </w:r>
          </w:p>
        </w:tc>
        <w:tc>
          <w:tcPr>
            <w:tcW w:w="1320" w:type="dxa"/>
            <w:vAlign w:val="bottom"/>
          </w:tcPr>
          <w:p>
            <w:pPr>
              <w:spacing w:after="0"/>
              <w:rPr>
                <w:sz w:val="24"/>
                <w:szCs w:val="2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849,993</w:t>
            </w:r>
          </w:p>
        </w:tc>
      </w:tr>
      <w:tr>
        <w:trPr>
          <w:trHeight w:val="75"/>
        </w:trPr>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08"/>
        </w:trPr>
        <w:tc>
          <w:tcPr>
            <w:tcW w:w="1000" w:type="dxa"/>
            <w:vAlign w:val="bottom"/>
            <w:shd w:val="clear" w:color="auto" w:fill="F5F5F5"/>
          </w:tcPr>
          <w:p>
            <w:pPr>
              <w:spacing w:after="0"/>
              <w:rPr>
                <w:sz w:val="18"/>
                <w:szCs w:val="18"/>
                <w:color w:val="auto"/>
              </w:rPr>
            </w:pPr>
          </w:p>
        </w:tc>
        <w:tc>
          <w:tcPr>
            <w:tcW w:w="1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397,500</w:t>
            </w:r>
          </w:p>
        </w:tc>
        <w:tc>
          <w:tcPr>
            <w:tcW w:w="11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530,000</w:t>
            </w:r>
          </w:p>
        </w:tc>
        <w:tc>
          <w:tcPr>
            <w:tcW w:w="94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954,000</w:t>
            </w: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r>
      <w:tr>
        <w:trPr>
          <w:trHeight w:val="75"/>
        </w:trPr>
        <w:tc>
          <w:tcPr>
            <w:tcW w:w="100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18"/>
                <w:szCs w:val="18"/>
                <w:color w:val="auto"/>
              </w:rPr>
            </w:pPr>
          </w:p>
        </w:tc>
        <w:tc>
          <w:tcPr>
            <w:tcW w:w="118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15,827</w:t>
            </w: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556,477</w:t>
            </w:r>
          </w:p>
        </w:tc>
      </w:tr>
      <w:tr>
        <w:trPr>
          <w:trHeight w:val="283"/>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24"/>
                <w:szCs w:val="24"/>
                <w:color w:val="auto"/>
              </w:rPr>
            </w:pPr>
          </w:p>
        </w:tc>
        <w:tc>
          <w:tcPr>
            <w:tcW w:w="1180" w:type="dxa"/>
            <w:vAlign w:val="bottom"/>
            <w:shd w:val="clear" w:color="auto" w:fill="F5F5F5"/>
          </w:tcPr>
          <w:p>
            <w:pPr>
              <w:spacing w:after="0"/>
              <w:rPr>
                <w:sz w:val="24"/>
                <w:szCs w:val="24"/>
                <w:color w:val="auto"/>
              </w:rPr>
            </w:pPr>
          </w:p>
        </w:tc>
        <w:tc>
          <w:tcPr>
            <w:tcW w:w="940" w:type="dxa"/>
            <w:vAlign w:val="bottom"/>
            <w:shd w:val="clear" w:color="auto" w:fill="F5F5F5"/>
          </w:tcPr>
          <w:p>
            <w:pPr>
              <w:spacing w:after="0"/>
              <w:rPr>
                <w:sz w:val="24"/>
                <w:szCs w:val="24"/>
                <w:color w:val="auto"/>
              </w:rPr>
            </w:pPr>
          </w:p>
        </w:tc>
        <w:tc>
          <w:tcPr>
            <w:tcW w:w="122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7,914</w:t>
            </w:r>
          </w:p>
        </w:tc>
        <w:tc>
          <w:tcPr>
            <w:tcW w:w="1000" w:type="dxa"/>
            <w:vAlign w:val="bottom"/>
            <w:shd w:val="clear" w:color="auto" w:fill="F5F5F5"/>
          </w:tcPr>
          <w:p>
            <w:pPr>
              <w:jc w:val="right"/>
              <w:ind w:right="288"/>
              <w:spacing w:after="0"/>
              <w:rPr>
                <w:sz w:val="20"/>
                <w:szCs w:val="20"/>
                <w:color w:val="auto"/>
              </w:rPr>
            </w:pPr>
            <w:r>
              <w:rPr>
                <w:rFonts w:ascii="Arial" w:cs="Arial" w:eastAsia="Arial" w:hAnsi="Arial"/>
                <w:sz w:val="14"/>
                <w:szCs w:val="14"/>
                <w:color w:val="auto"/>
              </w:rPr>
              <w:t>15,827</w:t>
            </w:r>
          </w:p>
        </w:tc>
        <w:tc>
          <w:tcPr>
            <w:tcW w:w="7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31,654</w:t>
            </w:r>
          </w:p>
        </w:tc>
        <w:tc>
          <w:tcPr>
            <w:tcW w:w="1320" w:type="dxa"/>
            <w:vAlign w:val="bottom"/>
            <w:shd w:val="clear" w:color="auto" w:fill="F5F5F5"/>
          </w:tcPr>
          <w:p>
            <w:pPr>
              <w:spacing w:after="0"/>
              <w:rPr>
                <w:sz w:val="24"/>
                <w:szCs w:val="24"/>
                <w:color w:val="auto"/>
              </w:rPr>
            </w:pP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556,477</w:t>
            </w:r>
          </w:p>
        </w:tc>
      </w:tr>
      <w:tr>
        <w:trPr>
          <w:trHeight w:val="76"/>
        </w:trPr>
        <w:tc>
          <w:tcPr>
            <w:tcW w:w="1000" w:type="dxa"/>
            <w:vAlign w:val="bottom"/>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r>
        <w:trPr>
          <w:trHeight w:val="208"/>
        </w:trPr>
        <w:tc>
          <w:tcPr>
            <w:tcW w:w="10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461,250</w:t>
            </w:r>
          </w:p>
        </w:tc>
        <w:tc>
          <w:tcPr>
            <w:tcW w:w="1180" w:type="dxa"/>
            <w:vAlign w:val="bottom"/>
          </w:tcPr>
          <w:p>
            <w:pPr>
              <w:jc w:val="right"/>
              <w:ind w:right="208"/>
              <w:spacing w:after="0"/>
              <w:rPr>
                <w:sz w:val="20"/>
                <w:szCs w:val="20"/>
                <w:color w:val="auto"/>
              </w:rPr>
            </w:pPr>
            <w:r>
              <w:rPr>
                <w:rFonts w:ascii="Arial" w:cs="Arial" w:eastAsia="Arial" w:hAnsi="Arial"/>
                <w:sz w:val="14"/>
                <w:szCs w:val="14"/>
                <w:color w:val="auto"/>
              </w:rPr>
              <w:t>615,000</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1,107,000</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83"/>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19,677</w:t>
            </w: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691,843</w:t>
            </w:r>
          </w:p>
        </w:tc>
      </w:tr>
      <w:tr>
        <w:trPr>
          <w:trHeight w:val="284"/>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9,839</w:t>
            </w:r>
          </w:p>
        </w:tc>
        <w:tc>
          <w:tcPr>
            <w:tcW w:w="1000" w:type="dxa"/>
            <w:vAlign w:val="bottom"/>
          </w:tcPr>
          <w:p>
            <w:pPr>
              <w:jc w:val="right"/>
              <w:ind w:right="288"/>
              <w:spacing w:after="0"/>
              <w:rPr>
                <w:sz w:val="20"/>
                <w:szCs w:val="20"/>
                <w:color w:val="auto"/>
              </w:rPr>
            </w:pPr>
            <w:r>
              <w:rPr>
                <w:rFonts w:ascii="Arial" w:cs="Arial" w:eastAsia="Arial" w:hAnsi="Arial"/>
                <w:sz w:val="14"/>
                <w:szCs w:val="14"/>
                <w:color w:val="auto"/>
              </w:rPr>
              <w:t>19,677</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39,354</w:t>
            </w:r>
          </w:p>
        </w:tc>
        <w:tc>
          <w:tcPr>
            <w:tcW w:w="1320" w:type="dxa"/>
            <w:vAlign w:val="bottom"/>
          </w:tcPr>
          <w:p>
            <w:pPr>
              <w:spacing w:after="0"/>
              <w:rPr>
                <w:sz w:val="24"/>
                <w:szCs w:val="24"/>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691,843</w:t>
            </w:r>
          </w:p>
        </w:tc>
      </w:tr>
      <w:tr>
        <w:trPr>
          <w:trHeight w:val="75"/>
        </w:trPr>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140" w:type="dxa"/>
            <w:vAlign w:val="bottom"/>
          </w:tcPr>
          <w:p>
            <w:pPr>
              <w:spacing w:after="0"/>
              <w:rPr>
                <w:sz w:val="6"/>
                <w:szCs w:val="6"/>
                <w:color w:val="auto"/>
              </w:rPr>
            </w:pPr>
          </w:p>
        </w:tc>
      </w:tr>
      <w:tr>
        <w:trPr>
          <w:trHeight w:val="208"/>
        </w:trPr>
        <w:tc>
          <w:tcPr>
            <w:tcW w:w="1000" w:type="dxa"/>
            <w:vAlign w:val="bottom"/>
            <w:shd w:val="clear" w:color="auto" w:fill="F5F5F5"/>
          </w:tcPr>
          <w:p>
            <w:pPr>
              <w:spacing w:after="0"/>
              <w:rPr>
                <w:sz w:val="18"/>
                <w:szCs w:val="18"/>
                <w:color w:val="auto"/>
              </w:rPr>
            </w:pPr>
          </w:p>
        </w:tc>
        <w:tc>
          <w:tcPr>
            <w:tcW w:w="11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386,250</w:t>
            </w:r>
          </w:p>
        </w:tc>
        <w:tc>
          <w:tcPr>
            <w:tcW w:w="1180" w:type="dxa"/>
            <w:vAlign w:val="bottom"/>
            <w:shd w:val="clear" w:color="auto" w:fill="F5F5F5"/>
          </w:tcPr>
          <w:p>
            <w:pPr>
              <w:jc w:val="right"/>
              <w:ind w:right="208"/>
              <w:spacing w:after="0"/>
              <w:rPr>
                <w:sz w:val="20"/>
                <w:szCs w:val="20"/>
                <w:color w:val="auto"/>
              </w:rPr>
            </w:pPr>
            <w:r>
              <w:rPr>
                <w:rFonts w:ascii="Arial" w:cs="Arial" w:eastAsia="Arial" w:hAnsi="Arial"/>
                <w:sz w:val="14"/>
                <w:szCs w:val="14"/>
                <w:color w:val="auto"/>
              </w:rPr>
              <w:t>515,000</w:t>
            </w:r>
          </w:p>
        </w:tc>
        <w:tc>
          <w:tcPr>
            <w:tcW w:w="940" w:type="dxa"/>
            <w:vAlign w:val="bottom"/>
            <w:shd w:val="clear" w:color="auto" w:fill="F5F5F5"/>
          </w:tcPr>
          <w:p>
            <w:pPr>
              <w:jc w:val="right"/>
              <w:ind w:right="148"/>
              <w:spacing w:after="0"/>
              <w:rPr>
                <w:sz w:val="20"/>
                <w:szCs w:val="20"/>
                <w:color w:val="auto"/>
              </w:rPr>
            </w:pPr>
            <w:r>
              <w:rPr>
                <w:rFonts w:ascii="Arial" w:cs="Arial" w:eastAsia="Arial" w:hAnsi="Arial"/>
                <w:sz w:val="14"/>
                <w:szCs w:val="14"/>
                <w:color w:val="auto"/>
              </w:rPr>
              <w:t>927,000</w:t>
            </w: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r>
      <w:tr>
        <w:trPr>
          <w:trHeight w:val="75"/>
        </w:trPr>
        <w:tc>
          <w:tcPr>
            <w:tcW w:w="100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r>
        <w:trPr>
          <w:trHeight w:val="208"/>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18"/>
                <w:szCs w:val="18"/>
                <w:color w:val="auto"/>
              </w:rPr>
            </w:pPr>
          </w:p>
        </w:tc>
        <w:tc>
          <w:tcPr>
            <w:tcW w:w="1180" w:type="dxa"/>
            <w:vAlign w:val="bottom"/>
            <w:shd w:val="clear" w:color="auto" w:fill="F5F5F5"/>
          </w:tcPr>
          <w:p>
            <w:pPr>
              <w:spacing w:after="0"/>
              <w:rPr>
                <w:sz w:val="18"/>
                <w:szCs w:val="18"/>
                <w:color w:val="auto"/>
              </w:rPr>
            </w:pPr>
          </w:p>
        </w:tc>
        <w:tc>
          <w:tcPr>
            <w:tcW w:w="940" w:type="dxa"/>
            <w:vAlign w:val="bottom"/>
            <w:shd w:val="clear" w:color="auto" w:fill="F5F5F5"/>
          </w:tcPr>
          <w:p>
            <w:pPr>
              <w:spacing w:after="0"/>
              <w:rPr>
                <w:sz w:val="18"/>
                <w:szCs w:val="18"/>
                <w:color w:val="auto"/>
              </w:rPr>
            </w:pPr>
          </w:p>
        </w:tc>
        <w:tc>
          <w:tcPr>
            <w:tcW w:w="1220" w:type="dxa"/>
            <w:vAlign w:val="bottom"/>
            <w:shd w:val="clear" w:color="auto" w:fill="F5F5F5"/>
          </w:tcPr>
          <w:p>
            <w:pPr>
              <w:spacing w:after="0"/>
              <w:rPr>
                <w:sz w:val="18"/>
                <w:szCs w:val="18"/>
                <w:color w:val="auto"/>
              </w:rPr>
            </w:pPr>
          </w:p>
        </w:tc>
        <w:tc>
          <w:tcPr>
            <w:tcW w:w="1000" w:type="dxa"/>
            <w:vAlign w:val="bottom"/>
            <w:shd w:val="clear" w:color="auto" w:fill="F5F5F5"/>
          </w:tcPr>
          <w:p>
            <w:pPr>
              <w:spacing w:after="0"/>
              <w:rPr>
                <w:sz w:val="18"/>
                <w:szCs w:val="18"/>
                <w:color w:val="auto"/>
              </w:rPr>
            </w:pPr>
          </w:p>
        </w:tc>
        <w:tc>
          <w:tcPr>
            <w:tcW w:w="780" w:type="dxa"/>
            <w:vAlign w:val="bottom"/>
            <w:shd w:val="clear" w:color="auto" w:fill="F5F5F5"/>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14,647</w:t>
            </w: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514,989</w:t>
            </w:r>
          </w:p>
        </w:tc>
      </w:tr>
      <w:tr>
        <w:trPr>
          <w:trHeight w:val="283"/>
        </w:trPr>
        <w:tc>
          <w:tcPr>
            <w:tcW w:w="1000" w:type="dxa"/>
            <w:vAlign w:val="bottom"/>
          </w:tcPr>
          <w:p>
            <w:pPr>
              <w:jc w:val="center"/>
              <w:spacing w:after="0"/>
              <w:rPr>
                <w:sz w:val="20"/>
                <w:szCs w:val="20"/>
                <w:color w:val="auto"/>
              </w:rPr>
            </w:pPr>
            <w:r>
              <w:rPr>
                <w:rFonts w:ascii="Arial" w:cs="Arial" w:eastAsia="Arial" w:hAnsi="Arial"/>
                <w:sz w:val="14"/>
                <w:szCs w:val="14"/>
                <w:color w:val="auto"/>
              </w:rPr>
              <w:t>2/12/2025</w:t>
            </w:r>
          </w:p>
        </w:tc>
        <w:tc>
          <w:tcPr>
            <w:tcW w:w="1160" w:type="dxa"/>
            <w:vAlign w:val="bottom"/>
            <w:shd w:val="clear" w:color="auto" w:fill="F5F5F5"/>
          </w:tcPr>
          <w:p>
            <w:pPr>
              <w:spacing w:after="0"/>
              <w:rPr>
                <w:sz w:val="24"/>
                <w:szCs w:val="24"/>
                <w:color w:val="auto"/>
              </w:rPr>
            </w:pPr>
          </w:p>
        </w:tc>
        <w:tc>
          <w:tcPr>
            <w:tcW w:w="1180" w:type="dxa"/>
            <w:vAlign w:val="bottom"/>
            <w:shd w:val="clear" w:color="auto" w:fill="F5F5F5"/>
          </w:tcPr>
          <w:p>
            <w:pPr>
              <w:spacing w:after="0"/>
              <w:rPr>
                <w:sz w:val="24"/>
                <w:szCs w:val="24"/>
                <w:color w:val="auto"/>
              </w:rPr>
            </w:pPr>
          </w:p>
        </w:tc>
        <w:tc>
          <w:tcPr>
            <w:tcW w:w="940" w:type="dxa"/>
            <w:vAlign w:val="bottom"/>
            <w:shd w:val="clear" w:color="auto" w:fill="F5F5F5"/>
          </w:tcPr>
          <w:p>
            <w:pPr>
              <w:spacing w:after="0"/>
              <w:rPr>
                <w:sz w:val="24"/>
                <w:szCs w:val="24"/>
                <w:color w:val="auto"/>
              </w:rPr>
            </w:pPr>
          </w:p>
        </w:tc>
        <w:tc>
          <w:tcPr>
            <w:tcW w:w="1220" w:type="dxa"/>
            <w:vAlign w:val="bottom"/>
            <w:shd w:val="clear" w:color="auto" w:fill="F5F5F5"/>
          </w:tcPr>
          <w:p>
            <w:pPr>
              <w:jc w:val="right"/>
              <w:ind w:right="108"/>
              <w:spacing w:after="0"/>
              <w:rPr>
                <w:sz w:val="20"/>
                <w:szCs w:val="20"/>
                <w:color w:val="auto"/>
              </w:rPr>
            </w:pPr>
            <w:r>
              <w:rPr>
                <w:rFonts w:ascii="Arial" w:cs="Arial" w:eastAsia="Arial" w:hAnsi="Arial"/>
                <w:sz w:val="14"/>
                <w:szCs w:val="14"/>
                <w:color w:val="auto"/>
              </w:rPr>
              <w:t>7,324</w:t>
            </w:r>
          </w:p>
        </w:tc>
        <w:tc>
          <w:tcPr>
            <w:tcW w:w="1000" w:type="dxa"/>
            <w:vAlign w:val="bottom"/>
            <w:shd w:val="clear" w:color="auto" w:fill="F5F5F5"/>
          </w:tcPr>
          <w:p>
            <w:pPr>
              <w:jc w:val="right"/>
              <w:ind w:right="288"/>
              <w:spacing w:after="0"/>
              <w:rPr>
                <w:sz w:val="20"/>
                <w:szCs w:val="20"/>
                <w:color w:val="auto"/>
              </w:rPr>
            </w:pPr>
            <w:r>
              <w:rPr>
                <w:rFonts w:ascii="Arial" w:cs="Arial" w:eastAsia="Arial" w:hAnsi="Arial"/>
                <w:sz w:val="14"/>
                <w:szCs w:val="14"/>
                <w:color w:val="auto"/>
              </w:rPr>
              <w:t>14,647</w:t>
            </w:r>
          </w:p>
        </w:tc>
        <w:tc>
          <w:tcPr>
            <w:tcW w:w="7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29,294</w:t>
            </w:r>
          </w:p>
        </w:tc>
        <w:tc>
          <w:tcPr>
            <w:tcW w:w="1320" w:type="dxa"/>
            <w:vAlign w:val="bottom"/>
            <w:shd w:val="clear" w:color="auto" w:fill="F5F5F5"/>
          </w:tcPr>
          <w:p>
            <w:pPr>
              <w:spacing w:after="0"/>
              <w:rPr>
                <w:sz w:val="24"/>
                <w:szCs w:val="24"/>
                <w:color w:val="auto"/>
              </w:rPr>
            </w:pPr>
          </w:p>
        </w:tc>
        <w:tc>
          <w:tcPr>
            <w:tcW w:w="114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514,989</w:t>
            </w:r>
          </w:p>
        </w:tc>
      </w:tr>
      <w:tr>
        <w:trPr>
          <w:trHeight w:val="76"/>
        </w:trPr>
        <w:tc>
          <w:tcPr>
            <w:tcW w:w="1000" w:type="dxa"/>
            <w:vAlign w:val="bottom"/>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118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1220" w:type="dxa"/>
            <w:vAlign w:val="bottom"/>
            <w:shd w:val="clear" w:color="auto" w:fill="F5F5F5"/>
          </w:tcPr>
          <w:p>
            <w:pPr>
              <w:spacing w:after="0"/>
              <w:rPr>
                <w:sz w:val="6"/>
                <w:szCs w:val="6"/>
                <w:color w:val="auto"/>
              </w:rPr>
            </w:pPr>
          </w:p>
        </w:tc>
        <w:tc>
          <w:tcPr>
            <w:tcW w:w="1000" w:type="dxa"/>
            <w:vAlign w:val="bottom"/>
            <w:shd w:val="clear" w:color="auto" w:fill="F5F5F5"/>
          </w:tcPr>
          <w:p>
            <w:pPr>
              <w:spacing w:after="0"/>
              <w:rPr>
                <w:sz w:val="6"/>
                <w:szCs w:val="6"/>
                <w:color w:val="auto"/>
              </w:rPr>
            </w:pPr>
          </w:p>
        </w:tc>
        <w:tc>
          <w:tcPr>
            <w:tcW w:w="780" w:type="dxa"/>
            <w:vAlign w:val="bottom"/>
            <w:shd w:val="clear" w:color="auto" w:fill="F5F5F5"/>
          </w:tcPr>
          <w:p>
            <w:pPr>
              <w:spacing w:after="0"/>
              <w:rPr>
                <w:sz w:val="6"/>
                <w:szCs w:val="6"/>
                <w:color w:val="auto"/>
              </w:rPr>
            </w:pPr>
          </w:p>
        </w:tc>
        <w:tc>
          <w:tcPr>
            <w:tcW w:w="1320" w:type="dxa"/>
            <w:vAlign w:val="bottom"/>
            <w:shd w:val="clear" w:color="auto" w:fill="F5F5F5"/>
          </w:tcPr>
          <w:p>
            <w:pPr>
              <w:spacing w:after="0"/>
              <w:rPr>
                <w:sz w:val="6"/>
                <w:szCs w:val="6"/>
                <w:color w:val="auto"/>
              </w:rPr>
            </w:pPr>
          </w:p>
        </w:tc>
        <w:tc>
          <w:tcPr>
            <w:tcW w:w="1140" w:type="dxa"/>
            <w:vAlign w:val="bottom"/>
            <w:shd w:val="clear" w:color="auto" w:fill="F5F5F5"/>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2">
            <w:col w:w="1320" w:space="140"/>
            <w:col w:w="9780"/>
          </w:cols>
          <w:pgMar w:left="320" w:top="130" w:right="339" w:bottom="1440" w:gutter="0" w:footer="0" w:header="0"/>
          <w:type w:val="continuous"/>
        </w:sectPr>
      </w:pPr>
    </w:p>
    <w:p>
      <w:pPr>
        <w:spacing w:after="0" w:line="12" w:lineRule="exact"/>
        <w:rPr>
          <w:sz w:val="20"/>
          <w:szCs w:val="20"/>
          <w:color w:val="auto"/>
        </w:rPr>
      </w:pPr>
    </w:p>
    <w:p>
      <w:pPr>
        <w:jc w:val="both"/>
        <w:ind w:left="260" w:hanging="252"/>
        <w:spacing w:after="0" w:line="248" w:lineRule="auto"/>
        <w:tabs>
          <w:tab w:leader="none" w:pos="257" w:val="left"/>
        </w:tabs>
        <w:numPr>
          <w:ilvl w:val="0"/>
          <w:numId w:val="60"/>
        </w:numPr>
        <w:rPr>
          <w:rFonts w:ascii="Arial" w:cs="Arial" w:eastAsia="Arial" w:hAnsi="Arial"/>
          <w:sz w:val="13"/>
          <w:szCs w:val="13"/>
          <w:color w:val="6D6D6D"/>
        </w:rPr>
      </w:pPr>
      <w:r>
        <w:rPr>
          <w:rFonts w:ascii="Arial" w:cs="Arial" w:eastAsia="Arial" w:hAnsi="Arial"/>
          <w:sz w:val="13"/>
          <w:szCs w:val="13"/>
          <w:color w:val="6D6D6D"/>
        </w:rPr>
        <w:t>In 2025, the Compensation Committee established corporate performance objectives under the 2025 bonus plan to provide for compensation that was intended to serve as an incentive for performance in 2025, based on established performance measures, notwithstanding that the Compensation Committee retained discretion to award payouts of any amount irrespective of the Company's actual performance against such objectives. The amounts earned by our NEOs in 2025 based on actual achievement of the 2025 performance objectives, but awarded and paid in 2026, are shown in the "</w:t>
      </w:r>
      <w:r>
        <w:rPr>
          <w:rFonts w:ascii="Arial" w:cs="Arial" w:eastAsia="Arial" w:hAnsi="Arial"/>
          <w:sz w:val="13"/>
          <w:szCs w:val="13"/>
          <w:i w:val="1"/>
          <w:iCs w:val="1"/>
          <w:color w:val="6D6D6D"/>
        </w:rPr>
        <w:t>Non-Equity Incentive Plan Compensation</w:t>
      </w:r>
      <w:r>
        <w:rPr>
          <w:rFonts w:ascii="Arial" w:cs="Arial" w:eastAsia="Arial" w:hAnsi="Arial"/>
          <w:sz w:val="13"/>
          <w:szCs w:val="13"/>
          <w:color w:val="6D6D6D"/>
        </w:rPr>
        <w:t>" column of the 2025 Summary Compensation Table above. See "</w:t>
      </w:r>
      <w:r>
        <w:rPr>
          <w:rFonts w:ascii="Arial" w:cs="Arial" w:eastAsia="Arial" w:hAnsi="Arial"/>
          <w:sz w:val="13"/>
          <w:szCs w:val="13"/>
          <w:i w:val="1"/>
          <w:iCs w:val="1"/>
          <w:color w:val="6D6D6D"/>
        </w:rPr>
        <w:t>Compensation Discussion and Analysis — Elements of Executive</w:t>
      </w:r>
      <w:r>
        <w:rPr>
          <w:rFonts w:ascii="Arial" w:cs="Arial" w:eastAsia="Arial" w:hAnsi="Arial"/>
          <w:sz w:val="13"/>
          <w:szCs w:val="13"/>
          <w:color w:val="6D6D6D"/>
        </w:rPr>
        <w:t xml:space="preserve"> </w:t>
      </w:r>
      <w:r>
        <w:rPr>
          <w:rFonts w:ascii="Arial" w:cs="Arial" w:eastAsia="Arial" w:hAnsi="Arial"/>
          <w:sz w:val="13"/>
          <w:szCs w:val="13"/>
          <w:i w:val="1"/>
          <w:iCs w:val="1"/>
          <w:color w:val="6D6D6D"/>
        </w:rPr>
        <w:t>Compensation Program — Compensation Program Details — Short-Term Incentive Program &amp; Corporate Performance Objectives</w:t>
      </w:r>
      <w:r>
        <w:rPr>
          <w:rFonts w:ascii="Arial" w:cs="Arial" w:eastAsia="Arial" w:hAnsi="Arial"/>
          <w:sz w:val="13"/>
          <w:szCs w:val="13"/>
          <w:color w:val="6D6D6D"/>
        </w:rPr>
        <w:t>," above for additional information regarding our NEOs' 2025</w:t>
      </w:r>
      <w:r>
        <w:rPr>
          <w:rFonts w:ascii="Arial" w:cs="Arial" w:eastAsia="Arial" w:hAnsi="Arial"/>
          <w:sz w:val="13"/>
          <w:szCs w:val="13"/>
          <w:i w:val="1"/>
          <w:iCs w:val="1"/>
          <w:color w:val="6D6D6D"/>
        </w:rPr>
        <w:t xml:space="preserve"> </w:t>
      </w:r>
      <w:r>
        <w:rPr>
          <w:rFonts w:ascii="Arial" w:cs="Arial" w:eastAsia="Arial" w:hAnsi="Arial"/>
          <w:sz w:val="13"/>
          <w:szCs w:val="13"/>
          <w:color w:val="6D6D6D"/>
        </w:rPr>
        <w:t>bonus awards.</w:t>
      </w:r>
    </w:p>
    <w:p>
      <w:pPr>
        <w:spacing w:after="0" w:line="31" w:lineRule="exact"/>
        <w:rPr>
          <w:rFonts w:ascii="Arial" w:cs="Arial" w:eastAsia="Arial" w:hAnsi="Arial"/>
          <w:sz w:val="13"/>
          <w:szCs w:val="13"/>
          <w:color w:val="6D6D6D"/>
        </w:rPr>
      </w:pPr>
    </w:p>
    <w:p>
      <w:pPr>
        <w:jc w:val="both"/>
        <w:ind w:left="260" w:hanging="252"/>
        <w:spacing w:after="0" w:line="254" w:lineRule="auto"/>
        <w:tabs>
          <w:tab w:leader="none" w:pos="257" w:val="left"/>
        </w:tabs>
        <w:numPr>
          <w:ilvl w:val="0"/>
          <w:numId w:val="60"/>
        </w:numPr>
        <w:rPr>
          <w:rFonts w:ascii="Arial" w:cs="Arial" w:eastAsia="Arial" w:hAnsi="Arial"/>
          <w:sz w:val="13"/>
          <w:szCs w:val="13"/>
          <w:color w:val="6D6D6D"/>
        </w:rPr>
      </w:pPr>
      <w:r>
        <w:rPr>
          <w:rFonts w:ascii="Arial" w:cs="Arial" w:eastAsia="Arial" w:hAnsi="Arial"/>
          <w:sz w:val="13"/>
          <w:szCs w:val="13"/>
          <w:color w:val="6D6D6D"/>
        </w:rPr>
        <w:t>Represents February 12, 2025 PRSU awards, which are eligible to vest after the Performance Period ends on December 31, 2027, generally subject to such NEOs' continued employment with the Company through the vesting date, with the percentage of the PRSUs that are eligible to vest dependent on the Company meeting cumulative BVPS growth targets set forth in the awards. See "</w:t>
      </w:r>
      <w:r>
        <w:rPr>
          <w:rFonts w:ascii="Arial" w:cs="Arial" w:eastAsia="Arial" w:hAnsi="Arial"/>
          <w:sz w:val="13"/>
          <w:szCs w:val="13"/>
          <w:i w:val="1"/>
          <w:iCs w:val="1"/>
          <w:color w:val="6D6D6D"/>
        </w:rPr>
        <w:t>Compensation Discussion and Analysis — Elements of Executive Compensation Program — Compensation Program Details — Long-Term Incentive Program &amp; BVPS Growth Targets,</w:t>
      </w:r>
      <w:r>
        <w:rPr>
          <w:rFonts w:ascii="Arial" w:cs="Arial" w:eastAsia="Arial" w:hAnsi="Arial"/>
          <w:sz w:val="13"/>
          <w:szCs w:val="13"/>
          <w:color w:val="6D6D6D"/>
        </w:rPr>
        <w:t>" above for a description of the 2025 PRSU awards.</w:t>
      </w:r>
    </w:p>
    <w:p>
      <w:pPr>
        <w:spacing w:after="0" w:line="28" w:lineRule="exact"/>
        <w:rPr>
          <w:rFonts w:ascii="Arial" w:cs="Arial" w:eastAsia="Arial" w:hAnsi="Arial"/>
          <w:sz w:val="13"/>
          <w:szCs w:val="13"/>
          <w:color w:val="6D6D6D"/>
        </w:rPr>
      </w:pPr>
    </w:p>
    <w:p>
      <w:pPr>
        <w:ind w:left="260" w:right="20" w:hanging="252"/>
        <w:spacing w:after="0" w:line="264" w:lineRule="auto"/>
        <w:tabs>
          <w:tab w:leader="none" w:pos="257" w:val="left"/>
        </w:tabs>
        <w:numPr>
          <w:ilvl w:val="0"/>
          <w:numId w:val="60"/>
        </w:numPr>
        <w:rPr>
          <w:rFonts w:ascii="Arial" w:cs="Arial" w:eastAsia="Arial" w:hAnsi="Arial"/>
          <w:sz w:val="13"/>
          <w:szCs w:val="13"/>
          <w:color w:val="6D6D6D"/>
        </w:rPr>
      </w:pPr>
      <w:r>
        <w:rPr>
          <w:rFonts w:ascii="Arial" w:cs="Arial" w:eastAsia="Arial" w:hAnsi="Arial"/>
          <w:sz w:val="13"/>
          <w:szCs w:val="13"/>
          <w:color w:val="6D6D6D"/>
        </w:rPr>
        <w:t>Our NEOs' 2025 RSU grants are eligible to vest 40% on each of the first and second anniversaries of the grant date, with the remaining 20% eligible to vest on the third anniversary of the grant date.</w:t>
      </w:r>
    </w:p>
    <w:p>
      <w:pPr>
        <w:spacing w:after="0" w:line="35" w:lineRule="exact"/>
        <w:rPr>
          <w:rFonts w:ascii="Arial" w:cs="Arial" w:eastAsia="Arial" w:hAnsi="Arial"/>
          <w:sz w:val="13"/>
          <w:szCs w:val="13"/>
          <w:color w:val="6D6D6D"/>
        </w:rPr>
      </w:pPr>
    </w:p>
    <w:p>
      <w:pPr>
        <w:ind w:left="260" w:right="80" w:hanging="252"/>
        <w:spacing w:after="0" w:line="251" w:lineRule="auto"/>
        <w:tabs>
          <w:tab w:leader="none" w:pos="257" w:val="left"/>
        </w:tabs>
        <w:numPr>
          <w:ilvl w:val="0"/>
          <w:numId w:val="60"/>
        </w:numPr>
        <w:rPr>
          <w:rFonts w:ascii="Arial" w:cs="Arial" w:eastAsia="Arial" w:hAnsi="Arial"/>
          <w:sz w:val="13"/>
          <w:szCs w:val="13"/>
          <w:color w:val="6D6D6D"/>
        </w:rPr>
      </w:pPr>
      <w:r>
        <w:rPr>
          <w:rFonts w:ascii="Arial" w:cs="Arial" w:eastAsia="Arial" w:hAnsi="Arial"/>
          <w:sz w:val="13"/>
          <w:szCs w:val="13"/>
          <w:color w:val="6D6D6D"/>
        </w:rPr>
        <w:t>The amounts included in this column reflect the grant date fair value of our NEOs' 2025 RSU and PRSU awards at target level of performance. Actual amounts to be paid to our NEOs will depend on our performance against the applicable performance conditions and at maximum performance, would result in an additional $3,802,484, $849,993, $691,843, $514,989 and $556,477 for each of Messrs. Pollitzer, Shuster, Leatherberry, Smith and Ms. Swithenbank, respectively.</w:t>
      </w:r>
    </w:p>
    <w:p>
      <w:pPr>
        <w:spacing w:after="0" w:line="300"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51</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OUTSTANDING EQUITY AWARDS AT 2025 FISCAL YEAR-END</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our NEOs' outstanding equity awards as of December 31, 2025: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shd w:val="clear" w:color="auto" w:fill="0C2940"/>
          </w:tcPr>
          <w:p>
            <w:pPr>
              <w:spacing w:after="0"/>
              <w:rPr>
                <w:sz w:val="14"/>
                <w:szCs w:val="14"/>
                <w:color w:val="auto"/>
              </w:rPr>
            </w:pPr>
          </w:p>
        </w:tc>
        <w:tc>
          <w:tcPr>
            <w:tcW w:w="1100" w:type="dxa"/>
            <w:vAlign w:val="bottom"/>
            <w:shd w:val="clear" w:color="auto" w:fill="0C2940"/>
          </w:tcPr>
          <w:p>
            <w:pPr>
              <w:spacing w:after="0"/>
              <w:rPr>
                <w:sz w:val="14"/>
                <w:szCs w:val="14"/>
                <w:color w:val="auto"/>
              </w:rPr>
            </w:pPr>
          </w:p>
        </w:tc>
        <w:tc>
          <w:tcPr>
            <w:tcW w:w="660" w:type="dxa"/>
            <w:vAlign w:val="bottom"/>
            <w:shd w:val="clear" w:color="auto" w:fill="0C2940"/>
          </w:tcPr>
          <w:p>
            <w:pPr>
              <w:spacing w:after="0"/>
              <w:rPr>
                <w:sz w:val="14"/>
                <w:szCs w:val="14"/>
                <w:color w:val="auto"/>
              </w:rPr>
            </w:pPr>
          </w:p>
        </w:tc>
        <w:tc>
          <w:tcPr>
            <w:tcW w:w="1100" w:type="dxa"/>
            <w:vAlign w:val="bottom"/>
            <w:shd w:val="clear" w:color="auto" w:fill="0C2940"/>
          </w:tcPr>
          <w:p>
            <w:pPr>
              <w:spacing w:after="0"/>
              <w:rPr>
                <w:sz w:val="14"/>
                <w:szCs w:val="14"/>
                <w:color w:val="auto"/>
              </w:rPr>
            </w:pPr>
          </w:p>
        </w:tc>
        <w:tc>
          <w:tcPr>
            <w:tcW w:w="2420" w:type="dxa"/>
            <w:vAlign w:val="bottom"/>
            <w:gridSpan w:val="2"/>
            <w:shd w:val="clear" w:color="auto" w:fill="0C2940"/>
          </w:tcPr>
          <w:p>
            <w:pPr>
              <w:jc w:val="right"/>
              <w:ind w:right="282"/>
              <w:spacing w:after="0"/>
              <w:rPr>
                <w:sz w:val="20"/>
                <w:szCs w:val="20"/>
                <w:color w:val="auto"/>
              </w:rPr>
            </w:pPr>
            <w:r>
              <w:rPr>
                <w:rFonts w:ascii="Arial" w:cs="Arial" w:eastAsia="Arial" w:hAnsi="Arial"/>
                <w:sz w:val="12"/>
                <w:szCs w:val="12"/>
                <w:color w:val="FFFFFF"/>
              </w:rPr>
              <w:t>OPTION AWARDS</w:t>
            </w:r>
          </w:p>
        </w:tc>
        <w:tc>
          <w:tcPr>
            <w:tcW w:w="900" w:type="dxa"/>
            <w:vAlign w:val="bottom"/>
            <w:shd w:val="clear" w:color="auto" w:fill="0C2940"/>
          </w:tcPr>
          <w:p>
            <w:pPr>
              <w:spacing w:after="0"/>
              <w:rPr>
                <w:sz w:val="14"/>
                <w:szCs w:val="14"/>
                <w:color w:val="auto"/>
              </w:rPr>
            </w:pPr>
          </w:p>
        </w:tc>
        <w:tc>
          <w:tcPr>
            <w:tcW w:w="980" w:type="dxa"/>
            <w:vAlign w:val="bottom"/>
            <w:shd w:val="clear" w:color="auto" w:fill="0C2940"/>
          </w:tcPr>
          <w:p>
            <w:pPr>
              <w:spacing w:after="0"/>
              <w:rPr>
                <w:sz w:val="14"/>
                <w:szCs w:val="14"/>
                <w:color w:val="auto"/>
              </w:rPr>
            </w:pPr>
          </w:p>
        </w:tc>
        <w:tc>
          <w:tcPr>
            <w:tcW w:w="780" w:type="dxa"/>
            <w:vAlign w:val="bottom"/>
            <w:shd w:val="clear" w:color="auto" w:fill="0C2940"/>
          </w:tcPr>
          <w:p>
            <w:pPr>
              <w:spacing w:after="0"/>
              <w:rPr>
                <w:sz w:val="14"/>
                <w:szCs w:val="14"/>
                <w:color w:val="auto"/>
              </w:rPr>
            </w:pPr>
          </w:p>
        </w:tc>
        <w:tc>
          <w:tcPr>
            <w:tcW w:w="180" w:type="dxa"/>
            <w:vAlign w:val="bottom"/>
            <w:shd w:val="clear" w:color="auto" w:fill="0C2940"/>
          </w:tcPr>
          <w:p>
            <w:pPr>
              <w:spacing w:after="0"/>
              <w:rPr>
                <w:sz w:val="14"/>
                <w:szCs w:val="14"/>
                <w:color w:val="auto"/>
              </w:rPr>
            </w:pPr>
          </w:p>
        </w:tc>
        <w:tc>
          <w:tcPr>
            <w:tcW w:w="1740" w:type="dxa"/>
            <w:vAlign w:val="bottom"/>
            <w:gridSpan w:val="2"/>
            <w:shd w:val="clear" w:color="auto" w:fill="0C2940"/>
          </w:tcPr>
          <w:p>
            <w:pPr>
              <w:jc w:val="right"/>
              <w:ind w:right="180"/>
              <w:spacing w:after="0"/>
              <w:rPr>
                <w:sz w:val="20"/>
                <w:szCs w:val="20"/>
                <w:color w:val="auto"/>
              </w:rPr>
            </w:pPr>
            <w:r>
              <w:rPr>
                <w:rFonts w:ascii="Arial" w:cs="Arial" w:eastAsia="Arial" w:hAnsi="Arial"/>
                <w:sz w:val="12"/>
                <w:szCs w:val="12"/>
                <w:color w:val="FFFFFF"/>
              </w:rPr>
              <w:t>STOCK AWARDS</w:t>
            </w:r>
          </w:p>
        </w:tc>
        <w:tc>
          <w:tcPr>
            <w:tcW w:w="160" w:type="dxa"/>
            <w:vAlign w:val="bottom"/>
            <w:shd w:val="clear" w:color="auto" w:fill="0C2940"/>
          </w:tcPr>
          <w:p>
            <w:pPr>
              <w:spacing w:after="0"/>
              <w:rPr>
                <w:sz w:val="14"/>
                <w:szCs w:val="14"/>
                <w:color w:val="auto"/>
              </w:rPr>
            </w:pPr>
          </w:p>
        </w:tc>
        <w:tc>
          <w:tcPr>
            <w:tcW w:w="1140" w:type="dxa"/>
            <w:vAlign w:val="bottom"/>
            <w:shd w:val="clear" w:color="auto" w:fill="0C2940"/>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shd w:val="clear" w:color="auto" w:fill="0C2940"/>
          </w:tcPr>
          <w:p>
            <w:pPr>
              <w:spacing w:after="0"/>
              <w:rPr>
                <w:sz w:val="16"/>
                <w:szCs w:val="16"/>
                <w:color w:val="auto"/>
              </w:rPr>
            </w:pPr>
          </w:p>
        </w:tc>
        <w:tc>
          <w:tcPr>
            <w:tcW w:w="1100" w:type="dxa"/>
            <w:vAlign w:val="bottom"/>
            <w:shd w:val="clear" w:color="auto" w:fill="0C2940"/>
          </w:tcPr>
          <w:p>
            <w:pPr>
              <w:spacing w:after="0"/>
              <w:rPr>
                <w:sz w:val="16"/>
                <w:szCs w:val="16"/>
                <w:color w:val="auto"/>
              </w:rPr>
            </w:pPr>
          </w:p>
        </w:tc>
        <w:tc>
          <w:tcPr>
            <w:tcW w:w="660" w:type="dxa"/>
            <w:vAlign w:val="bottom"/>
            <w:shd w:val="clear" w:color="auto" w:fill="0C2940"/>
          </w:tcPr>
          <w:p>
            <w:pPr>
              <w:spacing w:after="0"/>
              <w:rPr>
                <w:sz w:val="16"/>
                <w:szCs w:val="16"/>
                <w:color w:val="auto"/>
              </w:rPr>
            </w:pPr>
          </w:p>
        </w:tc>
        <w:tc>
          <w:tcPr>
            <w:tcW w:w="1100" w:type="dxa"/>
            <w:vAlign w:val="bottom"/>
            <w:shd w:val="clear" w:color="auto" w:fill="0C2940"/>
          </w:tcPr>
          <w:p>
            <w:pPr>
              <w:spacing w:after="0"/>
              <w:rPr>
                <w:sz w:val="16"/>
                <w:szCs w:val="16"/>
                <w:color w:val="auto"/>
              </w:rPr>
            </w:pPr>
          </w:p>
        </w:tc>
        <w:tc>
          <w:tcPr>
            <w:tcW w:w="1300" w:type="dxa"/>
            <w:vAlign w:val="bottom"/>
            <w:shd w:val="clear" w:color="auto" w:fill="0C2940"/>
          </w:tcPr>
          <w:p>
            <w:pPr>
              <w:spacing w:after="0"/>
              <w:rPr>
                <w:sz w:val="16"/>
                <w:szCs w:val="16"/>
                <w:color w:val="auto"/>
              </w:rPr>
            </w:pPr>
          </w:p>
        </w:tc>
        <w:tc>
          <w:tcPr>
            <w:tcW w:w="1120" w:type="dxa"/>
            <w:vAlign w:val="bottom"/>
            <w:shd w:val="clear" w:color="auto" w:fill="0C2940"/>
          </w:tcPr>
          <w:p>
            <w:pPr>
              <w:spacing w:after="0"/>
              <w:rPr>
                <w:sz w:val="16"/>
                <w:szCs w:val="16"/>
                <w:color w:val="auto"/>
              </w:rPr>
            </w:pPr>
          </w:p>
        </w:tc>
        <w:tc>
          <w:tcPr>
            <w:tcW w:w="900" w:type="dxa"/>
            <w:vAlign w:val="bottom"/>
            <w:shd w:val="clear" w:color="auto" w:fill="0C2940"/>
          </w:tcPr>
          <w:p>
            <w:pPr>
              <w:spacing w:after="0"/>
              <w:rPr>
                <w:sz w:val="16"/>
                <w:szCs w:val="16"/>
                <w:color w:val="auto"/>
              </w:rPr>
            </w:pPr>
          </w:p>
        </w:tc>
        <w:tc>
          <w:tcPr>
            <w:tcW w:w="980" w:type="dxa"/>
            <w:vAlign w:val="bottom"/>
            <w:shd w:val="clear" w:color="auto" w:fill="0C2940"/>
          </w:tcPr>
          <w:p>
            <w:pPr>
              <w:spacing w:after="0"/>
              <w:rPr>
                <w:sz w:val="16"/>
                <w:szCs w:val="16"/>
                <w:color w:val="auto"/>
              </w:rPr>
            </w:pPr>
          </w:p>
        </w:tc>
        <w:tc>
          <w:tcPr>
            <w:tcW w:w="780" w:type="dxa"/>
            <w:vAlign w:val="bottom"/>
            <w:shd w:val="clear" w:color="auto" w:fill="0C2940"/>
          </w:tcPr>
          <w:p>
            <w:pPr>
              <w:spacing w:after="0"/>
              <w:rPr>
                <w:sz w:val="16"/>
                <w:szCs w:val="16"/>
                <w:color w:val="auto"/>
              </w:rPr>
            </w:pPr>
          </w:p>
        </w:tc>
        <w:tc>
          <w:tcPr>
            <w:tcW w:w="180" w:type="dxa"/>
            <w:vAlign w:val="bottom"/>
            <w:shd w:val="clear" w:color="auto" w:fill="0C2940"/>
          </w:tcPr>
          <w:p>
            <w:pPr>
              <w:spacing w:after="0"/>
              <w:rPr>
                <w:sz w:val="16"/>
                <w:szCs w:val="16"/>
                <w:color w:val="auto"/>
              </w:rPr>
            </w:pPr>
          </w:p>
        </w:tc>
        <w:tc>
          <w:tcPr>
            <w:tcW w:w="840" w:type="dxa"/>
            <w:vAlign w:val="bottom"/>
            <w:shd w:val="clear" w:color="auto" w:fill="0C2940"/>
          </w:tcPr>
          <w:p>
            <w:pPr>
              <w:spacing w:after="0"/>
              <w:rPr>
                <w:sz w:val="16"/>
                <w:szCs w:val="16"/>
                <w:color w:val="auto"/>
              </w:rPr>
            </w:pPr>
          </w:p>
        </w:tc>
        <w:tc>
          <w:tcPr>
            <w:tcW w:w="900" w:type="dxa"/>
            <w:vAlign w:val="bottom"/>
            <w:shd w:val="clear" w:color="auto" w:fill="0C2940"/>
          </w:tcPr>
          <w:p>
            <w:pPr>
              <w:spacing w:after="0"/>
              <w:rPr>
                <w:sz w:val="16"/>
                <w:szCs w:val="16"/>
                <w:color w:val="auto"/>
              </w:rPr>
            </w:pPr>
          </w:p>
        </w:tc>
        <w:tc>
          <w:tcPr>
            <w:tcW w:w="160" w:type="dxa"/>
            <w:vAlign w:val="bottom"/>
            <w:shd w:val="clear" w:color="auto" w:fill="0C2940"/>
          </w:tcPr>
          <w:p>
            <w:pPr>
              <w:spacing w:after="0"/>
              <w:rPr>
                <w:sz w:val="16"/>
                <w:szCs w:val="16"/>
                <w:color w:val="auto"/>
              </w:rPr>
            </w:pPr>
          </w:p>
        </w:tc>
        <w:tc>
          <w:tcPr>
            <w:tcW w:w="1140" w:type="dxa"/>
            <w:vAlign w:val="bottom"/>
            <w:shd w:val="clear" w:color="auto" w:fill="0C2940"/>
          </w:tcPr>
          <w:p>
            <w:pPr>
              <w:jc w:val="right"/>
              <w:ind w:right="60"/>
              <w:spacing w:after="0"/>
              <w:rPr>
                <w:sz w:val="20"/>
                <w:szCs w:val="20"/>
                <w:color w:val="auto"/>
              </w:rPr>
            </w:pPr>
            <w:r>
              <w:rPr>
                <w:rFonts w:ascii="Arial" w:cs="Arial" w:eastAsia="Arial" w:hAnsi="Arial"/>
                <w:sz w:val="12"/>
                <w:szCs w:val="12"/>
                <w:color w:val="FFFFFF"/>
              </w:rPr>
              <w:t>EQUITY</w:t>
            </w:r>
          </w:p>
        </w:tc>
        <w:tc>
          <w:tcPr>
            <w:tcW w:w="0" w:type="dxa"/>
            <w:vAlign w:val="bottom"/>
          </w:tcPr>
          <w:p>
            <w:pPr>
              <w:spacing w:after="0"/>
              <w:rPr>
                <w:sz w:val="1"/>
                <w:szCs w:val="1"/>
                <w:color w:val="auto"/>
              </w:rPr>
            </w:pPr>
          </w:p>
        </w:tc>
      </w:tr>
      <w:tr>
        <w:trPr>
          <w:trHeight w:val="148"/>
        </w:trPr>
        <w:tc>
          <w:tcPr>
            <w:tcW w:w="8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66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1300" w:type="dxa"/>
            <w:vAlign w:val="bottom"/>
            <w:shd w:val="clear" w:color="auto" w:fill="0C2940"/>
          </w:tcPr>
          <w:p>
            <w:pPr>
              <w:spacing w:after="0"/>
              <w:rPr>
                <w:sz w:val="12"/>
                <w:szCs w:val="12"/>
                <w:color w:val="auto"/>
              </w:rPr>
            </w:pPr>
          </w:p>
        </w:tc>
        <w:tc>
          <w:tcPr>
            <w:tcW w:w="1120" w:type="dxa"/>
            <w:vAlign w:val="bottom"/>
            <w:shd w:val="clear" w:color="auto" w:fill="0C2940"/>
          </w:tcPr>
          <w:p>
            <w:pPr>
              <w:spacing w:after="0"/>
              <w:rPr>
                <w:sz w:val="12"/>
                <w:szCs w:val="12"/>
                <w:color w:val="auto"/>
              </w:rPr>
            </w:pPr>
          </w:p>
        </w:tc>
        <w:tc>
          <w:tcPr>
            <w:tcW w:w="900" w:type="dxa"/>
            <w:vAlign w:val="bottom"/>
            <w:shd w:val="clear" w:color="auto" w:fill="0C2940"/>
          </w:tcPr>
          <w:p>
            <w:pPr>
              <w:spacing w:after="0"/>
              <w:rPr>
                <w:sz w:val="12"/>
                <w:szCs w:val="12"/>
                <w:color w:val="auto"/>
              </w:rPr>
            </w:pPr>
          </w:p>
        </w:tc>
        <w:tc>
          <w:tcPr>
            <w:tcW w:w="980" w:type="dxa"/>
            <w:vAlign w:val="bottom"/>
            <w:shd w:val="clear" w:color="auto" w:fill="0C2940"/>
          </w:tcPr>
          <w:p>
            <w:pPr>
              <w:spacing w:after="0"/>
              <w:rPr>
                <w:sz w:val="12"/>
                <w:szCs w:val="12"/>
                <w:color w:val="auto"/>
              </w:rPr>
            </w:pPr>
          </w:p>
        </w:tc>
        <w:tc>
          <w:tcPr>
            <w:tcW w:w="780" w:type="dxa"/>
            <w:vAlign w:val="bottom"/>
            <w:shd w:val="clear" w:color="auto" w:fill="0C2940"/>
          </w:tcPr>
          <w:p>
            <w:pPr>
              <w:spacing w:after="0"/>
              <w:rPr>
                <w:sz w:val="12"/>
                <w:szCs w:val="12"/>
                <w:color w:val="auto"/>
              </w:rPr>
            </w:pPr>
          </w:p>
        </w:tc>
        <w:tc>
          <w:tcPr>
            <w:tcW w:w="180" w:type="dxa"/>
            <w:vAlign w:val="bottom"/>
            <w:shd w:val="clear" w:color="auto" w:fill="0C2940"/>
          </w:tcPr>
          <w:p>
            <w:pPr>
              <w:spacing w:after="0"/>
              <w:rPr>
                <w:sz w:val="12"/>
                <w:szCs w:val="12"/>
                <w:color w:val="auto"/>
              </w:rPr>
            </w:pPr>
          </w:p>
        </w:tc>
        <w:tc>
          <w:tcPr>
            <w:tcW w:w="840" w:type="dxa"/>
            <w:vAlign w:val="bottom"/>
            <w:shd w:val="clear" w:color="auto" w:fill="0C2940"/>
          </w:tcPr>
          <w:p>
            <w:pPr>
              <w:spacing w:after="0"/>
              <w:rPr>
                <w:sz w:val="12"/>
                <w:szCs w:val="12"/>
                <w:color w:val="auto"/>
              </w:rPr>
            </w:pPr>
          </w:p>
        </w:tc>
        <w:tc>
          <w:tcPr>
            <w:tcW w:w="10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EQUITY</w:t>
            </w:r>
          </w:p>
        </w:tc>
        <w:tc>
          <w:tcPr>
            <w:tcW w:w="1140" w:type="dxa"/>
            <w:vAlign w:val="bottom"/>
            <w:shd w:val="clear" w:color="auto" w:fill="0C2940"/>
          </w:tcPr>
          <w:p>
            <w:pPr>
              <w:jc w:val="right"/>
              <w:ind w:right="60"/>
              <w:spacing w:after="0"/>
              <w:rPr>
                <w:sz w:val="20"/>
                <w:szCs w:val="20"/>
                <w:color w:val="auto"/>
              </w:rPr>
            </w:pPr>
            <w:r>
              <w:rPr>
                <w:rFonts w:ascii="Arial" w:cs="Arial" w:eastAsia="Arial" w:hAnsi="Arial"/>
                <w:sz w:val="12"/>
                <w:szCs w:val="12"/>
                <w:color w:val="FFFFFF"/>
              </w:rPr>
              <w:t>INCENTIVE PLAN</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1300" w:type="dxa"/>
            <w:vAlign w:val="bottom"/>
            <w:shd w:val="clear" w:color="auto" w:fill="0C2940"/>
          </w:tcPr>
          <w:p>
            <w:pPr>
              <w:spacing w:after="0"/>
              <w:rPr>
                <w:sz w:val="11"/>
                <w:szCs w:val="11"/>
                <w:color w:val="auto"/>
              </w:rPr>
            </w:pPr>
          </w:p>
        </w:tc>
        <w:tc>
          <w:tcPr>
            <w:tcW w:w="112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EQUITY</w:t>
            </w:r>
          </w:p>
        </w:tc>
        <w:tc>
          <w:tcPr>
            <w:tcW w:w="900" w:type="dxa"/>
            <w:vAlign w:val="bottom"/>
            <w:shd w:val="clear" w:color="auto" w:fill="0C2940"/>
          </w:tcPr>
          <w:p>
            <w:pPr>
              <w:spacing w:after="0"/>
              <w:rPr>
                <w:sz w:val="11"/>
                <w:szCs w:val="11"/>
                <w:color w:val="auto"/>
              </w:rPr>
            </w:pPr>
          </w:p>
        </w:tc>
        <w:tc>
          <w:tcPr>
            <w:tcW w:w="980" w:type="dxa"/>
            <w:vAlign w:val="bottom"/>
            <w:shd w:val="clear" w:color="auto" w:fill="0C2940"/>
          </w:tcPr>
          <w:p>
            <w:pPr>
              <w:spacing w:after="0"/>
              <w:rPr>
                <w:sz w:val="11"/>
                <w:szCs w:val="11"/>
                <w:color w:val="auto"/>
              </w:rPr>
            </w:pPr>
          </w:p>
        </w:tc>
        <w:tc>
          <w:tcPr>
            <w:tcW w:w="780" w:type="dxa"/>
            <w:vAlign w:val="bottom"/>
            <w:shd w:val="clear" w:color="auto" w:fill="0C2940"/>
          </w:tcPr>
          <w:p>
            <w:pPr>
              <w:spacing w:after="0"/>
              <w:rPr>
                <w:sz w:val="11"/>
                <w:szCs w:val="11"/>
                <w:color w:val="auto"/>
              </w:rPr>
            </w:pPr>
          </w:p>
        </w:tc>
        <w:tc>
          <w:tcPr>
            <w:tcW w:w="180" w:type="dxa"/>
            <w:vAlign w:val="bottom"/>
            <w:shd w:val="clear" w:color="auto" w:fill="0C2940"/>
          </w:tcPr>
          <w:p>
            <w:pPr>
              <w:spacing w:after="0"/>
              <w:rPr>
                <w:sz w:val="11"/>
                <w:szCs w:val="11"/>
                <w:color w:val="auto"/>
              </w:rPr>
            </w:pPr>
          </w:p>
        </w:tc>
        <w:tc>
          <w:tcPr>
            <w:tcW w:w="840" w:type="dxa"/>
            <w:vAlign w:val="bottom"/>
            <w:shd w:val="clear" w:color="auto" w:fill="0C2940"/>
          </w:tcPr>
          <w:p>
            <w:pPr>
              <w:spacing w:after="0"/>
              <w:rPr>
                <w:sz w:val="11"/>
                <w:szCs w:val="11"/>
                <w:color w:val="auto"/>
              </w:rPr>
            </w:pPr>
          </w:p>
        </w:tc>
        <w:tc>
          <w:tcPr>
            <w:tcW w:w="10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w w:val="99"/>
              </w:rPr>
              <w:t>INCENTIVE PLAN</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AWARDS:</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1300" w:type="dxa"/>
            <w:vAlign w:val="bottom"/>
            <w:shd w:val="clear" w:color="auto" w:fill="0C2940"/>
          </w:tcPr>
          <w:p>
            <w:pPr>
              <w:spacing w:after="0"/>
              <w:rPr>
                <w:sz w:val="11"/>
                <w:szCs w:val="11"/>
                <w:color w:val="auto"/>
              </w:rPr>
            </w:pPr>
          </w:p>
        </w:tc>
        <w:tc>
          <w:tcPr>
            <w:tcW w:w="112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INCENTIVE PLAN</w:t>
            </w:r>
          </w:p>
        </w:tc>
        <w:tc>
          <w:tcPr>
            <w:tcW w:w="900" w:type="dxa"/>
            <w:vAlign w:val="bottom"/>
            <w:shd w:val="clear" w:color="auto" w:fill="0C2940"/>
          </w:tcPr>
          <w:p>
            <w:pPr>
              <w:spacing w:after="0"/>
              <w:rPr>
                <w:sz w:val="11"/>
                <w:szCs w:val="11"/>
                <w:color w:val="auto"/>
              </w:rPr>
            </w:pPr>
          </w:p>
        </w:tc>
        <w:tc>
          <w:tcPr>
            <w:tcW w:w="980" w:type="dxa"/>
            <w:vAlign w:val="bottom"/>
            <w:shd w:val="clear" w:color="auto" w:fill="0C2940"/>
          </w:tcPr>
          <w:p>
            <w:pPr>
              <w:spacing w:after="0"/>
              <w:rPr>
                <w:sz w:val="11"/>
                <w:szCs w:val="11"/>
                <w:color w:val="auto"/>
              </w:rPr>
            </w:pPr>
          </w:p>
        </w:tc>
        <w:tc>
          <w:tcPr>
            <w:tcW w:w="780" w:type="dxa"/>
            <w:vAlign w:val="bottom"/>
            <w:shd w:val="clear" w:color="auto" w:fill="0C2940"/>
          </w:tcPr>
          <w:p>
            <w:pPr>
              <w:spacing w:after="0"/>
              <w:rPr>
                <w:sz w:val="11"/>
                <w:szCs w:val="11"/>
                <w:color w:val="auto"/>
              </w:rPr>
            </w:pPr>
          </w:p>
        </w:tc>
        <w:tc>
          <w:tcPr>
            <w:tcW w:w="180" w:type="dxa"/>
            <w:vAlign w:val="bottom"/>
            <w:shd w:val="clear" w:color="auto" w:fill="0C2940"/>
          </w:tcPr>
          <w:p>
            <w:pPr>
              <w:spacing w:after="0"/>
              <w:rPr>
                <w:sz w:val="11"/>
                <w:szCs w:val="11"/>
                <w:color w:val="auto"/>
              </w:rPr>
            </w:pPr>
          </w:p>
        </w:tc>
        <w:tc>
          <w:tcPr>
            <w:tcW w:w="840" w:type="dxa"/>
            <w:vAlign w:val="bottom"/>
            <w:shd w:val="clear" w:color="auto" w:fill="0C2940"/>
          </w:tcPr>
          <w:p>
            <w:pPr>
              <w:spacing w:after="0"/>
              <w:rPr>
                <w:sz w:val="11"/>
                <w:szCs w:val="11"/>
                <w:color w:val="auto"/>
              </w:rPr>
            </w:pPr>
          </w:p>
        </w:tc>
        <w:tc>
          <w:tcPr>
            <w:tcW w:w="10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AWARDS:</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MARKET OR</w:t>
            </w:r>
          </w:p>
        </w:tc>
        <w:tc>
          <w:tcPr>
            <w:tcW w:w="0" w:type="dxa"/>
            <w:vAlign w:val="bottom"/>
          </w:tcPr>
          <w:p>
            <w:pPr>
              <w:spacing w:after="0"/>
              <w:rPr>
                <w:sz w:val="1"/>
                <w:szCs w:val="1"/>
                <w:color w:val="auto"/>
              </w:rPr>
            </w:pPr>
          </w:p>
        </w:tc>
      </w:tr>
      <w:tr>
        <w:trPr>
          <w:trHeight w:val="148"/>
        </w:trPr>
        <w:tc>
          <w:tcPr>
            <w:tcW w:w="8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66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1300" w:type="dxa"/>
            <w:vAlign w:val="bottom"/>
            <w:shd w:val="clear" w:color="auto" w:fill="0C2940"/>
          </w:tcPr>
          <w:p>
            <w:pPr>
              <w:spacing w:after="0"/>
              <w:rPr>
                <w:sz w:val="12"/>
                <w:szCs w:val="12"/>
                <w:color w:val="auto"/>
              </w:rPr>
            </w:pPr>
          </w:p>
        </w:tc>
        <w:tc>
          <w:tcPr>
            <w:tcW w:w="112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AWARDS:</w:t>
            </w:r>
          </w:p>
        </w:tc>
        <w:tc>
          <w:tcPr>
            <w:tcW w:w="900" w:type="dxa"/>
            <w:vAlign w:val="bottom"/>
            <w:shd w:val="clear" w:color="auto" w:fill="0C2940"/>
          </w:tcPr>
          <w:p>
            <w:pPr>
              <w:spacing w:after="0"/>
              <w:rPr>
                <w:sz w:val="12"/>
                <w:szCs w:val="12"/>
                <w:color w:val="auto"/>
              </w:rPr>
            </w:pPr>
          </w:p>
        </w:tc>
        <w:tc>
          <w:tcPr>
            <w:tcW w:w="980" w:type="dxa"/>
            <w:vAlign w:val="bottom"/>
            <w:shd w:val="clear" w:color="auto" w:fill="0C2940"/>
          </w:tcPr>
          <w:p>
            <w:pPr>
              <w:spacing w:after="0"/>
              <w:rPr>
                <w:sz w:val="12"/>
                <w:szCs w:val="12"/>
                <w:color w:val="auto"/>
              </w:rPr>
            </w:pPr>
          </w:p>
        </w:tc>
        <w:tc>
          <w:tcPr>
            <w:tcW w:w="780" w:type="dxa"/>
            <w:vAlign w:val="bottom"/>
            <w:shd w:val="clear" w:color="auto" w:fill="0C2940"/>
          </w:tcPr>
          <w:p>
            <w:pPr>
              <w:spacing w:after="0"/>
              <w:rPr>
                <w:sz w:val="12"/>
                <w:szCs w:val="12"/>
                <w:color w:val="auto"/>
              </w:rPr>
            </w:pPr>
          </w:p>
        </w:tc>
        <w:tc>
          <w:tcPr>
            <w:tcW w:w="180" w:type="dxa"/>
            <w:vAlign w:val="bottom"/>
            <w:shd w:val="clear" w:color="auto" w:fill="0C2940"/>
          </w:tcPr>
          <w:p>
            <w:pPr>
              <w:spacing w:after="0"/>
              <w:rPr>
                <w:sz w:val="12"/>
                <w:szCs w:val="12"/>
                <w:color w:val="auto"/>
              </w:rPr>
            </w:pPr>
          </w:p>
        </w:tc>
        <w:tc>
          <w:tcPr>
            <w:tcW w:w="84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MARKET</w:t>
            </w:r>
          </w:p>
        </w:tc>
        <w:tc>
          <w:tcPr>
            <w:tcW w:w="10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NUMBER OF</w:t>
            </w:r>
          </w:p>
        </w:tc>
        <w:tc>
          <w:tcPr>
            <w:tcW w:w="1140" w:type="dxa"/>
            <w:vAlign w:val="bottom"/>
            <w:shd w:val="clear" w:color="auto" w:fill="0C2940"/>
          </w:tcPr>
          <w:p>
            <w:pPr>
              <w:jc w:val="right"/>
              <w:ind w:right="60"/>
              <w:spacing w:after="0"/>
              <w:rPr>
                <w:sz w:val="20"/>
                <w:szCs w:val="20"/>
                <w:color w:val="auto"/>
              </w:rPr>
            </w:pPr>
            <w:r>
              <w:rPr>
                <w:rFonts w:ascii="Arial" w:cs="Arial" w:eastAsia="Arial" w:hAnsi="Arial"/>
                <w:sz w:val="12"/>
                <w:szCs w:val="12"/>
                <w:color w:val="FFFFFF"/>
              </w:rPr>
              <w:t>PAYOUT VALUE</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spacing w:after="0"/>
              <w:rPr>
                <w:sz w:val="11"/>
                <w:szCs w:val="11"/>
                <w:color w:val="auto"/>
              </w:rPr>
            </w:pPr>
          </w:p>
        </w:tc>
        <w:tc>
          <w:tcPr>
            <w:tcW w:w="11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NUMBER OF</w:t>
            </w:r>
          </w:p>
        </w:tc>
        <w:tc>
          <w:tcPr>
            <w:tcW w:w="13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NUMBER OF</w:t>
            </w:r>
          </w:p>
        </w:tc>
        <w:tc>
          <w:tcPr>
            <w:tcW w:w="112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NUMBER OF</w:t>
            </w:r>
          </w:p>
        </w:tc>
        <w:tc>
          <w:tcPr>
            <w:tcW w:w="900" w:type="dxa"/>
            <w:vAlign w:val="bottom"/>
            <w:shd w:val="clear" w:color="auto" w:fill="0C2940"/>
          </w:tcPr>
          <w:p>
            <w:pPr>
              <w:spacing w:after="0"/>
              <w:rPr>
                <w:sz w:val="11"/>
                <w:szCs w:val="11"/>
                <w:color w:val="auto"/>
              </w:rPr>
            </w:pPr>
          </w:p>
        </w:tc>
        <w:tc>
          <w:tcPr>
            <w:tcW w:w="980" w:type="dxa"/>
            <w:vAlign w:val="bottom"/>
            <w:shd w:val="clear" w:color="auto" w:fill="0C2940"/>
          </w:tcPr>
          <w:p>
            <w:pPr>
              <w:spacing w:after="0"/>
              <w:rPr>
                <w:sz w:val="11"/>
                <w:szCs w:val="11"/>
                <w:color w:val="auto"/>
              </w:rPr>
            </w:pPr>
          </w:p>
        </w:tc>
        <w:tc>
          <w:tcPr>
            <w:tcW w:w="9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NUMBER OF</w:t>
            </w:r>
          </w:p>
        </w:tc>
        <w:tc>
          <w:tcPr>
            <w:tcW w:w="84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VALUE OF</w:t>
            </w:r>
          </w:p>
        </w:tc>
        <w:tc>
          <w:tcPr>
            <w:tcW w:w="10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UNEARNED</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OF UNEARNED</w:t>
            </w:r>
          </w:p>
        </w:tc>
        <w:tc>
          <w:tcPr>
            <w:tcW w:w="0" w:type="dxa"/>
            <w:vAlign w:val="bottom"/>
          </w:tcPr>
          <w:p>
            <w:pPr>
              <w:spacing w:after="0"/>
              <w:rPr>
                <w:sz w:val="1"/>
                <w:szCs w:val="1"/>
                <w:color w:val="auto"/>
              </w:rPr>
            </w:pPr>
          </w:p>
        </w:tc>
      </w:tr>
      <w:tr>
        <w:trPr>
          <w:trHeight w:val="149"/>
        </w:trPr>
        <w:tc>
          <w:tcPr>
            <w:tcW w:w="8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660" w:type="dxa"/>
            <w:vAlign w:val="bottom"/>
            <w:shd w:val="clear" w:color="auto" w:fill="0C2940"/>
          </w:tcPr>
          <w:p>
            <w:pPr>
              <w:spacing w:after="0"/>
              <w:rPr>
                <w:sz w:val="12"/>
                <w:szCs w:val="12"/>
                <w:color w:val="auto"/>
              </w:rPr>
            </w:pPr>
          </w:p>
        </w:tc>
        <w:tc>
          <w:tcPr>
            <w:tcW w:w="110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SECURITIES</w:t>
            </w:r>
          </w:p>
        </w:tc>
        <w:tc>
          <w:tcPr>
            <w:tcW w:w="130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SECURITIES</w:t>
            </w:r>
          </w:p>
        </w:tc>
        <w:tc>
          <w:tcPr>
            <w:tcW w:w="112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SECURITIES</w:t>
            </w:r>
          </w:p>
        </w:tc>
        <w:tc>
          <w:tcPr>
            <w:tcW w:w="900" w:type="dxa"/>
            <w:vAlign w:val="bottom"/>
            <w:shd w:val="clear" w:color="auto" w:fill="0C2940"/>
          </w:tcPr>
          <w:p>
            <w:pPr>
              <w:spacing w:after="0"/>
              <w:rPr>
                <w:sz w:val="12"/>
                <w:szCs w:val="12"/>
                <w:color w:val="auto"/>
              </w:rPr>
            </w:pPr>
          </w:p>
        </w:tc>
        <w:tc>
          <w:tcPr>
            <w:tcW w:w="980" w:type="dxa"/>
            <w:vAlign w:val="bottom"/>
            <w:shd w:val="clear" w:color="auto" w:fill="0C2940"/>
          </w:tcPr>
          <w:p>
            <w:pPr>
              <w:spacing w:after="0"/>
              <w:rPr>
                <w:sz w:val="12"/>
                <w:szCs w:val="12"/>
                <w:color w:val="auto"/>
              </w:rPr>
            </w:pPr>
          </w:p>
        </w:tc>
        <w:tc>
          <w:tcPr>
            <w:tcW w:w="9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SHARES OR</w:t>
            </w:r>
          </w:p>
        </w:tc>
        <w:tc>
          <w:tcPr>
            <w:tcW w:w="84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SHARES OR</w:t>
            </w:r>
          </w:p>
        </w:tc>
        <w:tc>
          <w:tcPr>
            <w:tcW w:w="10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SHARES, UNITS</w:t>
            </w:r>
          </w:p>
        </w:tc>
        <w:tc>
          <w:tcPr>
            <w:tcW w:w="1140" w:type="dxa"/>
            <w:vAlign w:val="bottom"/>
            <w:shd w:val="clear" w:color="auto" w:fill="0C2940"/>
          </w:tcPr>
          <w:p>
            <w:pPr>
              <w:jc w:val="right"/>
              <w:ind w:right="60"/>
              <w:spacing w:after="0"/>
              <w:rPr>
                <w:sz w:val="20"/>
                <w:szCs w:val="20"/>
                <w:color w:val="auto"/>
              </w:rPr>
            </w:pPr>
            <w:r>
              <w:rPr>
                <w:rFonts w:ascii="Arial" w:cs="Arial" w:eastAsia="Arial" w:hAnsi="Arial"/>
                <w:sz w:val="12"/>
                <w:szCs w:val="12"/>
                <w:color w:val="FFFFFF"/>
              </w:rPr>
              <w:t>SHARES, UNITS</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spacing w:after="0"/>
              <w:rPr>
                <w:sz w:val="11"/>
                <w:szCs w:val="11"/>
                <w:color w:val="auto"/>
              </w:rPr>
            </w:pPr>
          </w:p>
        </w:tc>
        <w:tc>
          <w:tcPr>
            <w:tcW w:w="11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UNDERLYING</w:t>
            </w:r>
          </w:p>
        </w:tc>
        <w:tc>
          <w:tcPr>
            <w:tcW w:w="13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UNDERLYING</w:t>
            </w:r>
          </w:p>
        </w:tc>
        <w:tc>
          <w:tcPr>
            <w:tcW w:w="112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UNDERLYING</w:t>
            </w:r>
          </w:p>
        </w:tc>
        <w:tc>
          <w:tcPr>
            <w:tcW w:w="900" w:type="dxa"/>
            <w:vAlign w:val="bottom"/>
            <w:shd w:val="clear" w:color="auto" w:fill="0C2940"/>
          </w:tcPr>
          <w:p>
            <w:pPr>
              <w:spacing w:after="0"/>
              <w:rPr>
                <w:sz w:val="11"/>
                <w:szCs w:val="11"/>
                <w:color w:val="auto"/>
              </w:rPr>
            </w:pPr>
          </w:p>
        </w:tc>
        <w:tc>
          <w:tcPr>
            <w:tcW w:w="980" w:type="dxa"/>
            <w:vAlign w:val="bottom"/>
            <w:shd w:val="clear" w:color="auto" w:fill="0C2940"/>
          </w:tcPr>
          <w:p>
            <w:pPr>
              <w:spacing w:after="0"/>
              <w:rPr>
                <w:sz w:val="11"/>
                <w:szCs w:val="11"/>
                <w:color w:val="auto"/>
              </w:rPr>
            </w:pPr>
          </w:p>
        </w:tc>
        <w:tc>
          <w:tcPr>
            <w:tcW w:w="9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UNITS OF</w:t>
            </w:r>
          </w:p>
        </w:tc>
        <w:tc>
          <w:tcPr>
            <w:tcW w:w="84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UNITS OF</w:t>
            </w:r>
          </w:p>
        </w:tc>
        <w:tc>
          <w:tcPr>
            <w:tcW w:w="10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OR OTHER</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OR OTHER</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spacing w:after="0"/>
              <w:rPr>
                <w:sz w:val="11"/>
                <w:szCs w:val="11"/>
                <w:color w:val="auto"/>
              </w:rPr>
            </w:pPr>
          </w:p>
        </w:tc>
        <w:tc>
          <w:tcPr>
            <w:tcW w:w="11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UNEXERCISED</w:t>
            </w:r>
          </w:p>
        </w:tc>
        <w:tc>
          <w:tcPr>
            <w:tcW w:w="13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UNEXERCISED</w:t>
            </w:r>
          </w:p>
        </w:tc>
        <w:tc>
          <w:tcPr>
            <w:tcW w:w="112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UNEXERCISED</w:t>
            </w:r>
          </w:p>
        </w:tc>
        <w:tc>
          <w:tcPr>
            <w:tcW w:w="900" w:type="dxa"/>
            <w:vAlign w:val="bottom"/>
            <w:shd w:val="clear" w:color="auto" w:fill="0C2940"/>
          </w:tcPr>
          <w:p>
            <w:pPr>
              <w:jc w:val="right"/>
              <w:ind w:right="38"/>
              <w:spacing w:after="0" w:line="135" w:lineRule="exact"/>
              <w:rPr>
                <w:sz w:val="20"/>
                <w:szCs w:val="20"/>
                <w:color w:val="auto"/>
              </w:rPr>
            </w:pPr>
            <w:r>
              <w:rPr>
                <w:rFonts w:ascii="Arial" w:cs="Arial" w:eastAsia="Arial" w:hAnsi="Arial"/>
                <w:sz w:val="12"/>
                <w:szCs w:val="12"/>
                <w:color w:val="FFFFFF"/>
              </w:rPr>
              <w:t>OPTION</w:t>
            </w:r>
          </w:p>
        </w:tc>
        <w:tc>
          <w:tcPr>
            <w:tcW w:w="980" w:type="dxa"/>
            <w:vAlign w:val="bottom"/>
            <w:shd w:val="clear" w:color="auto" w:fill="0C2940"/>
          </w:tcPr>
          <w:p>
            <w:pPr>
              <w:spacing w:after="0"/>
              <w:rPr>
                <w:sz w:val="11"/>
                <w:szCs w:val="11"/>
                <w:color w:val="auto"/>
              </w:rPr>
            </w:pPr>
          </w:p>
        </w:tc>
        <w:tc>
          <w:tcPr>
            <w:tcW w:w="9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STOCK THAT</w:t>
            </w:r>
          </w:p>
        </w:tc>
        <w:tc>
          <w:tcPr>
            <w:tcW w:w="84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STOCK THAT</w:t>
            </w:r>
          </w:p>
        </w:tc>
        <w:tc>
          <w:tcPr>
            <w:tcW w:w="1060" w:type="dxa"/>
            <w:vAlign w:val="bottom"/>
            <w:gridSpan w:val="2"/>
            <w:shd w:val="clear" w:color="auto" w:fill="0C2940"/>
          </w:tcPr>
          <w:p>
            <w:pPr>
              <w:jc w:val="right"/>
              <w:ind w:right="19"/>
              <w:spacing w:after="0" w:line="135" w:lineRule="exact"/>
              <w:rPr>
                <w:sz w:val="20"/>
                <w:szCs w:val="20"/>
                <w:color w:val="auto"/>
              </w:rPr>
            </w:pPr>
            <w:r>
              <w:rPr>
                <w:rFonts w:ascii="Arial" w:cs="Arial" w:eastAsia="Arial" w:hAnsi="Arial"/>
                <w:sz w:val="12"/>
                <w:szCs w:val="12"/>
                <w:color w:val="FFFFFF"/>
              </w:rPr>
              <w:t>RIGHTS THAT</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RIGHTS THAT</w:t>
            </w:r>
          </w:p>
        </w:tc>
        <w:tc>
          <w:tcPr>
            <w:tcW w:w="0" w:type="dxa"/>
            <w:vAlign w:val="bottom"/>
          </w:tcPr>
          <w:p>
            <w:pPr>
              <w:spacing w:after="0"/>
              <w:rPr>
                <w:sz w:val="1"/>
                <w:szCs w:val="1"/>
                <w:color w:val="auto"/>
              </w:rPr>
            </w:pPr>
          </w:p>
        </w:tc>
      </w:tr>
      <w:tr>
        <w:trPr>
          <w:trHeight w:val="148"/>
        </w:trPr>
        <w:tc>
          <w:tcPr>
            <w:tcW w:w="80" w:type="dxa"/>
            <w:vAlign w:val="bottom"/>
            <w:shd w:val="clear" w:color="auto" w:fill="0C2940"/>
          </w:tcPr>
          <w:p>
            <w:pPr>
              <w:spacing w:after="0"/>
              <w:rPr>
                <w:sz w:val="12"/>
                <w:szCs w:val="12"/>
                <w:color w:val="auto"/>
              </w:rPr>
            </w:pPr>
          </w:p>
        </w:tc>
        <w:tc>
          <w:tcPr>
            <w:tcW w:w="1100" w:type="dxa"/>
            <w:vAlign w:val="bottom"/>
            <w:shd w:val="clear" w:color="auto" w:fill="0C2940"/>
          </w:tcPr>
          <w:p>
            <w:pPr>
              <w:spacing w:after="0"/>
              <w:rPr>
                <w:sz w:val="12"/>
                <w:szCs w:val="12"/>
                <w:color w:val="auto"/>
              </w:rPr>
            </w:pPr>
          </w:p>
        </w:tc>
        <w:tc>
          <w:tcPr>
            <w:tcW w:w="660" w:type="dxa"/>
            <w:vAlign w:val="bottom"/>
            <w:shd w:val="clear" w:color="auto" w:fill="0C2940"/>
          </w:tcPr>
          <w:p>
            <w:pPr>
              <w:spacing w:after="0"/>
              <w:rPr>
                <w:sz w:val="12"/>
                <w:szCs w:val="12"/>
                <w:color w:val="auto"/>
              </w:rPr>
            </w:pPr>
          </w:p>
        </w:tc>
        <w:tc>
          <w:tcPr>
            <w:tcW w:w="110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OPTIONS</w:t>
            </w:r>
          </w:p>
        </w:tc>
        <w:tc>
          <w:tcPr>
            <w:tcW w:w="130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OPTIONS</w:t>
            </w:r>
          </w:p>
        </w:tc>
        <w:tc>
          <w:tcPr>
            <w:tcW w:w="112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UNEARNED</w:t>
            </w:r>
          </w:p>
        </w:tc>
        <w:tc>
          <w:tcPr>
            <w:tcW w:w="900" w:type="dxa"/>
            <w:vAlign w:val="bottom"/>
            <w:shd w:val="clear" w:color="auto" w:fill="0C2940"/>
          </w:tcPr>
          <w:p>
            <w:pPr>
              <w:jc w:val="right"/>
              <w:ind w:right="38"/>
              <w:spacing w:after="0"/>
              <w:rPr>
                <w:sz w:val="20"/>
                <w:szCs w:val="20"/>
                <w:color w:val="auto"/>
              </w:rPr>
            </w:pPr>
            <w:r>
              <w:rPr>
                <w:rFonts w:ascii="Arial" w:cs="Arial" w:eastAsia="Arial" w:hAnsi="Arial"/>
                <w:sz w:val="12"/>
                <w:szCs w:val="12"/>
                <w:color w:val="FFFFFF"/>
              </w:rPr>
              <w:t>EXERCISE</w:t>
            </w:r>
          </w:p>
        </w:tc>
        <w:tc>
          <w:tcPr>
            <w:tcW w:w="980" w:type="dxa"/>
            <w:vAlign w:val="bottom"/>
            <w:shd w:val="clear" w:color="auto" w:fill="0C2940"/>
          </w:tcPr>
          <w:p>
            <w:pPr>
              <w:jc w:val="center"/>
              <w:ind w:right="38"/>
              <w:spacing w:after="0"/>
              <w:rPr>
                <w:sz w:val="20"/>
                <w:szCs w:val="20"/>
                <w:color w:val="auto"/>
              </w:rPr>
            </w:pPr>
            <w:r>
              <w:rPr>
                <w:rFonts w:ascii="Arial" w:cs="Arial" w:eastAsia="Arial" w:hAnsi="Arial"/>
                <w:sz w:val="12"/>
                <w:szCs w:val="12"/>
                <w:color w:val="FFFFFF"/>
                <w:w w:val="95"/>
              </w:rPr>
              <w:t>OPTION</w:t>
            </w:r>
          </w:p>
        </w:tc>
        <w:tc>
          <w:tcPr>
            <w:tcW w:w="9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HAVE NOT</w:t>
            </w:r>
          </w:p>
        </w:tc>
        <w:tc>
          <w:tcPr>
            <w:tcW w:w="840" w:type="dxa"/>
            <w:vAlign w:val="bottom"/>
            <w:shd w:val="clear" w:color="auto" w:fill="0C2940"/>
          </w:tcPr>
          <w:p>
            <w:pPr>
              <w:jc w:val="right"/>
              <w:spacing w:after="0"/>
              <w:rPr>
                <w:sz w:val="20"/>
                <w:szCs w:val="20"/>
                <w:color w:val="auto"/>
              </w:rPr>
            </w:pPr>
            <w:r>
              <w:rPr>
                <w:rFonts w:ascii="Arial" w:cs="Arial" w:eastAsia="Arial" w:hAnsi="Arial"/>
                <w:sz w:val="12"/>
                <w:szCs w:val="12"/>
                <w:color w:val="FFFFFF"/>
              </w:rPr>
              <w:t>HAVE NOT</w:t>
            </w:r>
          </w:p>
        </w:tc>
        <w:tc>
          <w:tcPr>
            <w:tcW w:w="1060" w:type="dxa"/>
            <w:vAlign w:val="bottom"/>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HAVE NOT</w:t>
            </w:r>
          </w:p>
        </w:tc>
        <w:tc>
          <w:tcPr>
            <w:tcW w:w="1140" w:type="dxa"/>
            <w:vAlign w:val="bottom"/>
            <w:shd w:val="clear" w:color="auto" w:fill="0C2940"/>
          </w:tcPr>
          <w:p>
            <w:pPr>
              <w:jc w:val="right"/>
              <w:ind w:right="60"/>
              <w:spacing w:after="0"/>
              <w:rPr>
                <w:sz w:val="20"/>
                <w:szCs w:val="20"/>
                <w:color w:val="auto"/>
              </w:rPr>
            </w:pPr>
            <w:r>
              <w:rPr>
                <w:rFonts w:ascii="Arial" w:cs="Arial" w:eastAsia="Arial" w:hAnsi="Arial"/>
                <w:sz w:val="12"/>
                <w:szCs w:val="12"/>
                <w:color w:val="FFFFFF"/>
              </w:rPr>
              <w:t>HAVE NOT</w:t>
            </w:r>
          </w:p>
        </w:tc>
        <w:tc>
          <w:tcPr>
            <w:tcW w:w="0" w:type="dxa"/>
            <w:vAlign w:val="bottom"/>
          </w:tcPr>
          <w:p>
            <w:pPr>
              <w:spacing w:after="0"/>
              <w:rPr>
                <w:sz w:val="1"/>
                <w:szCs w:val="1"/>
                <w:color w:val="auto"/>
              </w:rPr>
            </w:pPr>
          </w:p>
        </w:tc>
      </w:tr>
      <w:tr>
        <w:trPr>
          <w:trHeight w:val="135"/>
        </w:trPr>
        <w:tc>
          <w:tcPr>
            <w:tcW w:w="80" w:type="dxa"/>
            <w:vAlign w:val="bottom"/>
            <w:shd w:val="clear" w:color="auto" w:fill="0C2940"/>
          </w:tcPr>
          <w:p>
            <w:pPr>
              <w:spacing w:after="0"/>
              <w:rPr>
                <w:sz w:val="11"/>
                <w:szCs w:val="11"/>
                <w:color w:val="auto"/>
              </w:rPr>
            </w:pPr>
          </w:p>
        </w:tc>
        <w:tc>
          <w:tcPr>
            <w:tcW w:w="1100" w:type="dxa"/>
            <w:vAlign w:val="bottom"/>
            <w:shd w:val="clear" w:color="auto" w:fill="0C2940"/>
          </w:tcPr>
          <w:p>
            <w:pPr>
              <w:spacing w:after="0"/>
              <w:rPr>
                <w:sz w:val="11"/>
                <w:szCs w:val="11"/>
                <w:color w:val="auto"/>
              </w:rPr>
            </w:pPr>
          </w:p>
        </w:tc>
        <w:tc>
          <w:tcPr>
            <w:tcW w:w="660" w:type="dxa"/>
            <w:vAlign w:val="bottom"/>
            <w:shd w:val="clear" w:color="auto" w:fill="0C2940"/>
          </w:tcPr>
          <w:p>
            <w:pPr>
              <w:jc w:val="center"/>
              <w:spacing w:after="0" w:line="135" w:lineRule="exact"/>
              <w:rPr>
                <w:sz w:val="20"/>
                <w:szCs w:val="20"/>
                <w:color w:val="auto"/>
              </w:rPr>
            </w:pPr>
            <w:r>
              <w:rPr>
                <w:rFonts w:ascii="Arial" w:cs="Arial" w:eastAsia="Arial" w:hAnsi="Arial"/>
                <w:sz w:val="12"/>
                <w:szCs w:val="12"/>
                <w:color w:val="FFFFFF"/>
                <w:w w:val="99"/>
              </w:rPr>
              <w:t>GRANT</w:t>
            </w:r>
          </w:p>
        </w:tc>
        <w:tc>
          <w:tcPr>
            <w:tcW w:w="11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EXERCISABLE</w:t>
            </w:r>
          </w:p>
        </w:tc>
        <w:tc>
          <w:tcPr>
            <w:tcW w:w="130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UNEXERCISABLE</w:t>
            </w:r>
          </w:p>
        </w:tc>
        <w:tc>
          <w:tcPr>
            <w:tcW w:w="1120" w:type="dxa"/>
            <w:vAlign w:val="bottom"/>
            <w:shd w:val="clear" w:color="auto" w:fill="0C2940"/>
          </w:tcPr>
          <w:p>
            <w:pPr>
              <w:jc w:val="right"/>
              <w:ind w:right="2"/>
              <w:spacing w:after="0" w:line="135" w:lineRule="exact"/>
              <w:rPr>
                <w:sz w:val="20"/>
                <w:szCs w:val="20"/>
                <w:color w:val="auto"/>
              </w:rPr>
            </w:pPr>
            <w:r>
              <w:rPr>
                <w:rFonts w:ascii="Arial" w:cs="Arial" w:eastAsia="Arial" w:hAnsi="Arial"/>
                <w:sz w:val="12"/>
                <w:szCs w:val="12"/>
                <w:color w:val="FFFFFF"/>
              </w:rPr>
              <w:t>OPTIONS</w:t>
            </w:r>
          </w:p>
        </w:tc>
        <w:tc>
          <w:tcPr>
            <w:tcW w:w="900" w:type="dxa"/>
            <w:vAlign w:val="bottom"/>
            <w:shd w:val="clear" w:color="auto" w:fill="0C2940"/>
          </w:tcPr>
          <w:p>
            <w:pPr>
              <w:jc w:val="right"/>
              <w:ind w:right="78"/>
              <w:spacing w:after="0" w:line="135" w:lineRule="exact"/>
              <w:rPr>
                <w:sz w:val="20"/>
                <w:szCs w:val="20"/>
                <w:color w:val="auto"/>
              </w:rPr>
            </w:pPr>
            <w:r>
              <w:rPr>
                <w:rFonts w:ascii="Arial" w:cs="Arial" w:eastAsia="Arial" w:hAnsi="Arial"/>
                <w:sz w:val="12"/>
                <w:szCs w:val="12"/>
                <w:color w:val="FFFFFF"/>
              </w:rPr>
              <w:t>PRICE</w:t>
            </w:r>
          </w:p>
        </w:tc>
        <w:tc>
          <w:tcPr>
            <w:tcW w:w="980" w:type="dxa"/>
            <w:vAlign w:val="bottom"/>
            <w:shd w:val="clear" w:color="auto" w:fill="0C2940"/>
          </w:tcPr>
          <w:p>
            <w:pPr>
              <w:jc w:val="center"/>
              <w:ind w:right="58"/>
              <w:spacing w:after="0" w:line="135" w:lineRule="exact"/>
              <w:rPr>
                <w:sz w:val="20"/>
                <w:szCs w:val="20"/>
                <w:color w:val="auto"/>
              </w:rPr>
            </w:pPr>
            <w:r>
              <w:rPr>
                <w:rFonts w:ascii="Arial" w:cs="Arial" w:eastAsia="Arial" w:hAnsi="Arial"/>
                <w:sz w:val="12"/>
                <w:szCs w:val="12"/>
                <w:color w:val="FFFFFF"/>
                <w:w w:val="96"/>
              </w:rPr>
              <w:t>EXPIRATION</w:t>
            </w:r>
          </w:p>
        </w:tc>
        <w:tc>
          <w:tcPr>
            <w:tcW w:w="960" w:type="dxa"/>
            <w:vAlign w:val="bottom"/>
            <w:gridSpan w:val="2"/>
            <w:shd w:val="clear" w:color="auto" w:fill="0C2940"/>
          </w:tcPr>
          <w:p>
            <w:pPr>
              <w:jc w:val="right"/>
              <w:ind w:right="39"/>
              <w:spacing w:after="0" w:line="135" w:lineRule="exact"/>
              <w:rPr>
                <w:sz w:val="20"/>
                <w:szCs w:val="20"/>
                <w:color w:val="auto"/>
              </w:rPr>
            </w:pPr>
            <w:r>
              <w:rPr>
                <w:rFonts w:ascii="Arial" w:cs="Arial" w:eastAsia="Arial" w:hAnsi="Arial"/>
                <w:sz w:val="12"/>
                <w:szCs w:val="12"/>
                <w:color w:val="FFFFFF"/>
              </w:rPr>
              <w:t>VESTED</w:t>
            </w:r>
          </w:p>
        </w:tc>
        <w:tc>
          <w:tcPr>
            <w:tcW w:w="840" w:type="dxa"/>
            <w:vAlign w:val="bottom"/>
            <w:shd w:val="clear" w:color="auto" w:fill="0C2940"/>
          </w:tcPr>
          <w:p>
            <w:pPr>
              <w:jc w:val="right"/>
              <w:spacing w:after="0" w:line="135" w:lineRule="exact"/>
              <w:rPr>
                <w:sz w:val="20"/>
                <w:szCs w:val="20"/>
                <w:color w:val="auto"/>
              </w:rPr>
            </w:pPr>
            <w:r>
              <w:rPr>
                <w:rFonts w:ascii="Arial" w:cs="Arial" w:eastAsia="Arial" w:hAnsi="Arial"/>
                <w:sz w:val="12"/>
                <w:szCs w:val="12"/>
                <w:color w:val="FFFFFF"/>
              </w:rPr>
              <w:t>VESTED</w:t>
            </w:r>
          </w:p>
        </w:tc>
        <w:tc>
          <w:tcPr>
            <w:tcW w:w="1060" w:type="dxa"/>
            <w:vAlign w:val="bottom"/>
            <w:gridSpan w:val="2"/>
            <w:shd w:val="clear" w:color="auto" w:fill="0C2940"/>
          </w:tcPr>
          <w:p>
            <w:pPr>
              <w:jc w:val="right"/>
              <w:ind w:right="39"/>
              <w:spacing w:after="0" w:line="135" w:lineRule="exact"/>
              <w:rPr>
                <w:sz w:val="20"/>
                <w:szCs w:val="20"/>
                <w:color w:val="auto"/>
              </w:rPr>
            </w:pPr>
            <w:r>
              <w:rPr>
                <w:rFonts w:ascii="Arial" w:cs="Arial" w:eastAsia="Arial" w:hAnsi="Arial"/>
                <w:sz w:val="12"/>
                <w:szCs w:val="12"/>
                <w:color w:val="FFFFFF"/>
              </w:rPr>
              <w:t>VESTED</w:t>
            </w:r>
          </w:p>
        </w:tc>
        <w:tc>
          <w:tcPr>
            <w:tcW w:w="1140" w:type="dxa"/>
            <w:vAlign w:val="bottom"/>
            <w:shd w:val="clear" w:color="auto" w:fill="0C2940"/>
          </w:tcPr>
          <w:p>
            <w:pPr>
              <w:jc w:val="right"/>
              <w:ind w:right="60"/>
              <w:spacing w:after="0" w:line="135" w:lineRule="exact"/>
              <w:rPr>
                <w:sz w:val="20"/>
                <w:szCs w:val="20"/>
                <w:color w:val="auto"/>
              </w:rPr>
            </w:pPr>
            <w:r>
              <w:rPr>
                <w:rFonts w:ascii="Arial" w:cs="Arial" w:eastAsia="Arial" w:hAnsi="Arial"/>
                <w:sz w:val="12"/>
                <w:szCs w:val="12"/>
                <w:color w:val="FFFFFF"/>
              </w:rPr>
              <w:t>VESTED</w:t>
            </w:r>
          </w:p>
        </w:tc>
        <w:tc>
          <w:tcPr>
            <w:tcW w:w="0" w:type="dxa"/>
            <w:vAlign w:val="bottom"/>
          </w:tcPr>
          <w:p>
            <w:pPr>
              <w:spacing w:after="0"/>
              <w:rPr>
                <w:sz w:val="1"/>
                <w:szCs w:val="1"/>
                <w:color w:val="auto"/>
              </w:rPr>
            </w:pPr>
          </w:p>
        </w:tc>
      </w:tr>
      <w:tr>
        <w:trPr>
          <w:trHeight w:val="217"/>
        </w:trPr>
        <w:tc>
          <w:tcPr>
            <w:tcW w:w="80" w:type="dxa"/>
            <w:vAlign w:val="bottom"/>
            <w:tcBorders>
              <w:bottom w:val="single" w:sz="8" w:color="0C2940"/>
            </w:tcBorders>
            <w:shd w:val="clear" w:color="auto" w:fill="0C2940"/>
          </w:tcPr>
          <w:p>
            <w:pPr>
              <w:spacing w:after="0"/>
              <w:rPr>
                <w:sz w:val="18"/>
                <w:szCs w:val="18"/>
                <w:color w:val="auto"/>
              </w:rPr>
            </w:pPr>
          </w:p>
        </w:tc>
        <w:tc>
          <w:tcPr>
            <w:tcW w:w="1100" w:type="dxa"/>
            <w:vAlign w:val="bottom"/>
            <w:tcBorders>
              <w:bottom w:val="single" w:sz="8" w:color="0C2940"/>
            </w:tcBorders>
            <w:shd w:val="clear" w:color="auto" w:fill="0C2940"/>
          </w:tcPr>
          <w:p>
            <w:pPr>
              <w:ind w:left="20"/>
              <w:spacing w:after="0"/>
              <w:rPr>
                <w:sz w:val="20"/>
                <w:szCs w:val="20"/>
                <w:color w:val="auto"/>
              </w:rPr>
            </w:pPr>
            <w:r>
              <w:rPr>
                <w:rFonts w:ascii="Arial" w:cs="Arial" w:eastAsia="Arial" w:hAnsi="Arial"/>
                <w:sz w:val="12"/>
                <w:szCs w:val="12"/>
                <w:color w:val="FFFFFF"/>
              </w:rPr>
              <w:t>NAME</w:t>
            </w:r>
          </w:p>
        </w:tc>
        <w:tc>
          <w:tcPr>
            <w:tcW w:w="660" w:type="dxa"/>
            <w:vAlign w:val="bottom"/>
            <w:tcBorders>
              <w:bottom w:val="single" w:sz="8" w:color="0C2940"/>
            </w:tcBorders>
            <w:shd w:val="clear" w:color="auto" w:fill="0C2940"/>
          </w:tcPr>
          <w:p>
            <w:pPr>
              <w:jc w:val="center"/>
              <w:spacing w:after="0"/>
              <w:rPr>
                <w:sz w:val="20"/>
                <w:szCs w:val="20"/>
                <w:color w:val="auto"/>
              </w:rPr>
            </w:pPr>
            <w:r>
              <w:rPr>
                <w:rFonts w:ascii="Arial" w:cs="Arial" w:eastAsia="Arial" w:hAnsi="Arial"/>
                <w:sz w:val="12"/>
                <w:szCs w:val="12"/>
                <w:color w:val="FFFFFF"/>
                <w:w w:val="97"/>
              </w:rPr>
              <w:t>YEAR</w:t>
            </w:r>
          </w:p>
        </w:tc>
        <w:tc>
          <w:tcPr>
            <w:tcW w:w="1100" w:type="dxa"/>
            <w:vAlign w:val="bottom"/>
            <w:tcBorders>
              <w:bottom w:val="single" w:sz="8" w:color="0C2940"/>
            </w:tcBorders>
            <w:shd w:val="clear" w:color="auto" w:fill="0C2940"/>
          </w:tcPr>
          <w:p>
            <w:pPr>
              <w:jc w:val="right"/>
              <w:spacing w:after="0"/>
              <w:rPr>
                <w:sz w:val="20"/>
                <w:szCs w:val="20"/>
                <w:color w:val="auto"/>
              </w:rPr>
            </w:pPr>
            <w:r>
              <w:rPr>
                <w:rFonts w:ascii="Arial" w:cs="Arial" w:eastAsia="Arial" w:hAnsi="Arial"/>
                <w:sz w:val="12"/>
                <w:szCs w:val="12"/>
                <w:color w:val="FFFFFF"/>
              </w:rPr>
              <w:t>(#)</w:t>
            </w:r>
          </w:p>
        </w:tc>
        <w:tc>
          <w:tcPr>
            <w:tcW w:w="1300" w:type="dxa"/>
            <w:vAlign w:val="bottom"/>
            <w:tcBorders>
              <w:bottom w:val="single" w:sz="8" w:color="0C2940"/>
            </w:tcBorders>
            <w:shd w:val="clear" w:color="auto" w:fill="0C2940"/>
          </w:tcPr>
          <w:p>
            <w:pPr>
              <w:jc w:val="right"/>
              <w:spacing w:after="0"/>
              <w:rPr>
                <w:sz w:val="20"/>
                <w:szCs w:val="20"/>
                <w:color w:val="auto"/>
              </w:rPr>
            </w:pPr>
            <w:r>
              <w:rPr>
                <w:rFonts w:ascii="Arial" w:cs="Arial" w:eastAsia="Arial" w:hAnsi="Arial"/>
                <w:sz w:val="12"/>
                <w:szCs w:val="12"/>
                <w:color w:val="FFFFFF"/>
              </w:rPr>
              <w:t>(#)</w:t>
            </w:r>
          </w:p>
        </w:tc>
        <w:tc>
          <w:tcPr>
            <w:tcW w:w="1120" w:type="dxa"/>
            <w:vAlign w:val="bottom"/>
            <w:tcBorders>
              <w:bottom w:val="single" w:sz="8" w:color="0C2940"/>
            </w:tcBorders>
            <w:shd w:val="clear" w:color="auto" w:fill="0C2940"/>
          </w:tcPr>
          <w:p>
            <w:pPr>
              <w:jc w:val="right"/>
              <w:spacing w:after="0"/>
              <w:rPr>
                <w:sz w:val="20"/>
                <w:szCs w:val="20"/>
                <w:color w:val="auto"/>
              </w:rPr>
            </w:pPr>
            <w:r>
              <w:rPr>
                <w:rFonts w:ascii="Arial" w:cs="Arial" w:eastAsia="Arial" w:hAnsi="Arial"/>
                <w:sz w:val="12"/>
                <w:szCs w:val="12"/>
                <w:color w:val="FFFFFF"/>
              </w:rPr>
              <w:t>(#)</w:t>
            </w:r>
          </w:p>
        </w:tc>
        <w:tc>
          <w:tcPr>
            <w:tcW w:w="900" w:type="dxa"/>
            <w:vAlign w:val="bottom"/>
            <w:tcBorders>
              <w:bottom w:val="single" w:sz="8" w:color="0C2940"/>
            </w:tcBorders>
            <w:shd w:val="clear" w:color="auto" w:fill="0C2940"/>
          </w:tcPr>
          <w:p>
            <w:pPr>
              <w:jc w:val="right"/>
              <w:ind w:right="38"/>
              <w:spacing w:after="0"/>
              <w:rPr>
                <w:sz w:val="20"/>
                <w:szCs w:val="20"/>
                <w:color w:val="auto"/>
              </w:rPr>
            </w:pPr>
            <w:r>
              <w:rPr>
                <w:rFonts w:ascii="Arial" w:cs="Arial" w:eastAsia="Arial" w:hAnsi="Arial"/>
                <w:sz w:val="12"/>
                <w:szCs w:val="12"/>
                <w:color w:val="FFFFFF"/>
              </w:rPr>
              <w:t>($)</w:t>
            </w:r>
          </w:p>
        </w:tc>
        <w:tc>
          <w:tcPr>
            <w:tcW w:w="980" w:type="dxa"/>
            <w:vAlign w:val="bottom"/>
            <w:tcBorders>
              <w:bottom w:val="single" w:sz="8" w:color="0C2940"/>
            </w:tcBorders>
            <w:shd w:val="clear" w:color="auto" w:fill="0C2940"/>
          </w:tcPr>
          <w:p>
            <w:pPr>
              <w:jc w:val="center"/>
              <w:ind w:right="58"/>
              <w:spacing w:after="0"/>
              <w:rPr>
                <w:sz w:val="20"/>
                <w:szCs w:val="20"/>
                <w:color w:val="auto"/>
              </w:rPr>
            </w:pPr>
            <w:r>
              <w:rPr>
                <w:rFonts w:ascii="Arial" w:cs="Arial" w:eastAsia="Arial" w:hAnsi="Arial"/>
                <w:sz w:val="12"/>
                <w:szCs w:val="12"/>
                <w:color w:val="FFFFFF"/>
                <w:w w:val="93"/>
              </w:rPr>
              <w:t>DATE</w:t>
            </w:r>
          </w:p>
        </w:tc>
        <w:tc>
          <w:tcPr>
            <w:tcW w:w="960" w:type="dxa"/>
            <w:vAlign w:val="bottom"/>
            <w:tcBorders>
              <w:bottom w:val="single" w:sz="8" w:color="0C2940"/>
            </w:tcBorders>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w:t>
            </w:r>
          </w:p>
        </w:tc>
        <w:tc>
          <w:tcPr>
            <w:tcW w:w="840" w:type="dxa"/>
            <w:vAlign w:val="bottom"/>
            <w:tcBorders>
              <w:bottom w:val="single" w:sz="8" w:color="0C2940"/>
            </w:tcBorders>
            <w:shd w:val="clear" w:color="auto" w:fill="0C2940"/>
          </w:tcPr>
          <w:p>
            <w:pPr>
              <w:jc w:val="right"/>
              <w:spacing w:after="0" w:line="184" w:lineRule="exact"/>
              <w:rPr>
                <w:sz w:val="20"/>
                <w:szCs w:val="20"/>
                <w:color w:val="auto"/>
              </w:rPr>
            </w:pPr>
            <w:r>
              <w:rPr>
                <w:rFonts w:ascii="Arial" w:cs="Arial" w:eastAsia="Arial" w:hAnsi="Arial"/>
                <w:sz w:val="21"/>
                <w:szCs w:val="21"/>
                <w:color w:val="FFFFFF"/>
                <w:vertAlign w:val="subscript"/>
              </w:rPr>
              <w:t>($)</w:t>
            </w:r>
            <w:r>
              <w:rPr>
                <w:rFonts w:ascii="Arial" w:cs="Arial" w:eastAsia="Arial" w:hAnsi="Arial"/>
                <w:sz w:val="7"/>
                <w:szCs w:val="7"/>
                <w:color w:val="FFFFFF"/>
              </w:rPr>
              <w:t xml:space="preserve"> (1)</w:t>
            </w:r>
          </w:p>
        </w:tc>
        <w:tc>
          <w:tcPr>
            <w:tcW w:w="1060" w:type="dxa"/>
            <w:vAlign w:val="bottom"/>
            <w:tcBorders>
              <w:bottom w:val="single" w:sz="8" w:color="0C2940"/>
            </w:tcBorders>
            <w:gridSpan w:val="2"/>
            <w:shd w:val="clear" w:color="auto" w:fill="0C2940"/>
          </w:tcPr>
          <w:p>
            <w:pPr>
              <w:jc w:val="right"/>
              <w:ind w:right="19"/>
              <w:spacing w:after="0"/>
              <w:rPr>
                <w:sz w:val="20"/>
                <w:szCs w:val="20"/>
                <w:color w:val="auto"/>
              </w:rPr>
            </w:pPr>
            <w:r>
              <w:rPr>
                <w:rFonts w:ascii="Arial" w:cs="Arial" w:eastAsia="Arial" w:hAnsi="Arial"/>
                <w:sz w:val="12"/>
                <w:szCs w:val="12"/>
                <w:color w:val="FFFFFF"/>
              </w:rPr>
              <w:t>(#)</w:t>
            </w:r>
          </w:p>
        </w:tc>
        <w:tc>
          <w:tcPr>
            <w:tcW w:w="1140" w:type="dxa"/>
            <w:vAlign w:val="bottom"/>
            <w:tcBorders>
              <w:bottom w:val="single" w:sz="8" w:color="0C2940"/>
            </w:tcBorders>
            <w:shd w:val="clear" w:color="auto" w:fill="0C2940"/>
          </w:tcPr>
          <w:p>
            <w:pPr>
              <w:jc w:val="right"/>
              <w:ind w:right="60"/>
              <w:spacing w:after="0"/>
              <w:rPr>
                <w:sz w:val="20"/>
                <w:szCs w:val="20"/>
                <w:color w:val="auto"/>
              </w:rPr>
            </w:pPr>
            <w:r>
              <w:rPr>
                <w:rFonts w:ascii="Arial" w:cs="Arial" w:eastAsia="Arial" w:hAnsi="Arial"/>
                <w:sz w:val="12"/>
                <w:szCs w:val="12"/>
                <w:color w:val="FFFFFF"/>
              </w:rPr>
              <w:t xml:space="preserve">($) </w:t>
            </w:r>
            <w:r>
              <w:rPr>
                <w:rFonts w:ascii="Arial" w:cs="Arial" w:eastAsia="Arial" w:hAnsi="Arial"/>
                <w:sz w:val="15"/>
                <w:szCs w:val="15"/>
                <w:color w:val="FFFFFF"/>
                <w:vertAlign w:val="superscript"/>
              </w:rPr>
              <w:t>(1)</w:t>
            </w:r>
          </w:p>
        </w:tc>
        <w:tc>
          <w:tcPr>
            <w:tcW w:w="0" w:type="dxa"/>
            <w:vAlign w:val="bottom"/>
          </w:tcPr>
          <w:p>
            <w:pPr>
              <w:spacing w:after="0"/>
              <w:rPr>
                <w:sz w:val="1"/>
                <w:szCs w:val="1"/>
                <w:color w:val="auto"/>
              </w:rPr>
            </w:pPr>
          </w:p>
        </w:tc>
      </w:tr>
      <w:tr>
        <w:trPr>
          <w:trHeight w:val="175"/>
        </w:trPr>
        <w:tc>
          <w:tcPr>
            <w:tcW w:w="80" w:type="dxa"/>
            <w:vAlign w:val="bottom"/>
            <w:shd w:val="clear" w:color="auto" w:fill="F5F5F5"/>
          </w:tcPr>
          <w:p>
            <w:pPr>
              <w:spacing w:after="0"/>
              <w:rPr>
                <w:sz w:val="15"/>
                <w:szCs w:val="15"/>
                <w:color w:val="auto"/>
              </w:rPr>
            </w:pPr>
          </w:p>
        </w:tc>
        <w:tc>
          <w:tcPr>
            <w:tcW w:w="1100" w:type="dxa"/>
            <w:vAlign w:val="bottom"/>
            <w:shd w:val="clear" w:color="auto" w:fill="F5F5F5"/>
          </w:tcPr>
          <w:p>
            <w:pPr>
              <w:spacing w:after="0"/>
              <w:rPr>
                <w:sz w:val="15"/>
                <w:szCs w:val="15"/>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16,264</w:t>
            </w:r>
          </w:p>
        </w:tc>
        <w:tc>
          <w:tcPr>
            <w:tcW w:w="1300" w:type="dxa"/>
            <w:vAlign w:val="bottom"/>
            <w:shd w:val="clear" w:color="auto" w:fill="F5F5F5"/>
          </w:tcPr>
          <w:p>
            <w:pPr>
              <w:spacing w:after="0"/>
              <w:rPr>
                <w:sz w:val="15"/>
                <w:szCs w:val="15"/>
                <w:color w:val="auto"/>
              </w:rPr>
            </w:pPr>
          </w:p>
        </w:tc>
        <w:tc>
          <w:tcPr>
            <w:tcW w:w="1120" w:type="dxa"/>
            <w:vAlign w:val="bottom"/>
            <w:shd w:val="clear" w:color="auto" w:fill="F5F5F5"/>
          </w:tcPr>
          <w:p>
            <w:pPr>
              <w:spacing w:after="0"/>
              <w:rPr>
                <w:sz w:val="15"/>
                <w:szCs w:val="15"/>
                <w:color w:val="auto"/>
              </w:rPr>
            </w:pPr>
          </w:p>
        </w:tc>
        <w:tc>
          <w:tcPr>
            <w:tcW w:w="900" w:type="dxa"/>
            <w:vAlign w:val="bottom"/>
            <w:shd w:val="clear" w:color="auto" w:fill="F5F5F5"/>
          </w:tcPr>
          <w:p>
            <w:pPr>
              <w:jc w:val="right"/>
              <w:ind w:right="78"/>
              <w:spacing w:after="0"/>
              <w:rPr>
                <w:sz w:val="20"/>
                <w:szCs w:val="20"/>
                <w:color w:val="auto"/>
              </w:rPr>
            </w:pPr>
            <w:r>
              <w:rPr>
                <w:rFonts w:ascii="Arial" w:cs="Arial" w:eastAsia="Arial" w:hAnsi="Arial"/>
                <w:sz w:val="13"/>
                <w:szCs w:val="13"/>
                <w:color w:val="auto"/>
              </w:rPr>
              <w:t>18.70</w:t>
            </w:r>
          </w:p>
        </w:tc>
        <w:tc>
          <w:tcPr>
            <w:tcW w:w="980" w:type="dxa"/>
            <w:vAlign w:val="bottom"/>
            <w:shd w:val="clear" w:color="auto" w:fill="F5F5F5"/>
          </w:tcPr>
          <w:p>
            <w:pPr>
              <w:jc w:val="center"/>
              <w:ind w:right="38"/>
              <w:spacing w:after="0"/>
              <w:rPr>
                <w:sz w:val="20"/>
                <w:szCs w:val="20"/>
                <w:color w:val="auto"/>
              </w:rPr>
            </w:pPr>
            <w:r>
              <w:rPr>
                <w:rFonts w:ascii="Arial" w:cs="Arial" w:eastAsia="Arial" w:hAnsi="Arial"/>
                <w:sz w:val="13"/>
                <w:szCs w:val="13"/>
                <w:color w:val="auto"/>
                <w:w w:val="94"/>
              </w:rPr>
              <w:t>2/7/2028</w:t>
            </w:r>
          </w:p>
        </w:tc>
        <w:tc>
          <w:tcPr>
            <w:tcW w:w="780" w:type="dxa"/>
            <w:vAlign w:val="bottom"/>
            <w:shd w:val="clear" w:color="auto" w:fill="F5F5F5"/>
          </w:tcPr>
          <w:p>
            <w:pPr>
              <w:spacing w:after="0"/>
              <w:rPr>
                <w:sz w:val="15"/>
                <w:szCs w:val="15"/>
                <w:color w:val="auto"/>
              </w:rPr>
            </w:pPr>
          </w:p>
        </w:tc>
        <w:tc>
          <w:tcPr>
            <w:tcW w:w="180" w:type="dxa"/>
            <w:vAlign w:val="bottom"/>
            <w:shd w:val="clear" w:color="auto" w:fill="F5F5F5"/>
          </w:tcPr>
          <w:p>
            <w:pPr>
              <w:spacing w:after="0"/>
              <w:rPr>
                <w:sz w:val="15"/>
                <w:szCs w:val="15"/>
                <w:color w:val="auto"/>
              </w:rPr>
            </w:pPr>
          </w:p>
        </w:tc>
        <w:tc>
          <w:tcPr>
            <w:tcW w:w="840" w:type="dxa"/>
            <w:vAlign w:val="bottom"/>
            <w:shd w:val="clear" w:color="auto" w:fill="F5F5F5"/>
          </w:tcPr>
          <w:p>
            <w:pPr>
              <w:spacing w:after="0"/>
              <w:rPr>
                <w:sz w:val="15"/>
                <w:szCs w:val="15"/>
                <w:color w:val="auto"/>
              </w:rPr>
            </w:pPr>
          </w:p>
        </w:tc>
        <w:tc>
          <w:tcPr>
            <w:tcW w:w="900" w:type="dxa"/>
            <w:vAlign w:val="bottom"/>
            <w:shd w:val="clear" w:color="auto" w:fill="F5F5F5"/>
          </w:tcPr>
          <w:p>
            <w:pPr>
              <w:spacing w:after="0"/>
              <w:rPr>
                <w:sz w:val="15"/>
                <w:szCs w:val="15"/>
                <w:color w:val="auto"/>
              </w:rPr>
            </w:pPr>
          </w:p>
        </w:tc>
        <w:tc>
          <w:tcPr>
            <w:tcW w:w="160" w:type="dxa"/>
            <w:vAlign w:val="bottom"/>
            <w:shd w:val="clear" w:color="auto" w:fill="F5F5F5"/>
          </w:tcPr>
          <w:p>
            <w:pPr>
              <w:spacing w:after="0"/>
              <w:rPr>
                <w:sz w:val="15"/>
                <w:szCs w:val="15"/>
                <w:color w:val="auto"/>
              </w:rPr>
            </w:pPr>
          </w:p>
        </w:tc>
        <w:tc>
          <w:tcPr>
            <w:tcW w:w="114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5F5F5"/>
          </w:tcPr>
          <w:p>
            <w:pPr>
              <w:spacing w:after="0"/>
              <w:rPr>
                <w:sz w:val="18"/>
                <w:szCs w:val="18"/>
                <w:color w:val="auto"/>
              </w:rPr>
            </w:pPr>
          </w:p>
        </w:tc>
        <w:tc>
          <w:tcPr>
            <w:tcW w:w="1100" w:type="dxa"/>
            <w:vAlign w:val="bottom"/>
            <w:shd w:val="clear" w:color="auto" w:fill="F5F5F5"/>
          </w:tcPr>
          <w:p>
            <w:pPr>
              <w:spacing w:after="0"/>
              <w:rPr>
                <w:sz w:val="18"/>
                <w:szCs w:val="18"/>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19,435</w:t>
            </w:r>
          </w:p>
        </w:tc>
        <w:tc>
          <w:tcPr>
            <w:tcW w:w="1300" w:type="dxa"/>
            <w:vAlign w:val="bottom"/>
            <w:shd w:val="clear" w:color="auto" w:fill="F5F5F5"/>
          </w:tcPr>
          <w:p>
            <w:pPr>
              <w:spacing w:after="0"/>
              <w:rPr>
                <w:sz w:val="18"/>
                <w:szCs w:val="18"/>
                <w:color w:val="auto"/>
              </w:rPr>
            </w:pPr>
          </w:p>
        </w:tc>
        <w:tc>
          <w:tcPr>
            <w:tcW w:w="1120" w:type="dxa"/>
            <w:vAlign w:val="bottom"/>
            <w:shd w:val="clear" w:color="auto" w:fill="F5F5F5"/>
          </w:tcPr>
          <w:p>
            <w:pPr>
              <w:spacing w:after="0"/>
              <w:rPr>
                <w:sz w:val="18"/>
                <w:szCs w:val="18"/>
                <w:color w:val="auto"/>
              </w:rPr>
            </w:pPr>
          </w:p>
        </w:tc>
        <w:tc>
          <w:tcPr>
            <w:tcW w:w="900" w:type="dxa"/>
            <w:vAlign w:val="bottom"/>
            <w:shd w:val="clear" w:color="auto" w:fill="F5F5F5"/>
          </w:tcPr>
          <w:p>
            <w:pPr>
              <w:jc w:val="right"/>
              <w:ind w:right="78"/>
              <w:spacing w:after="0"/>
              <w:rPr>
                <w:sz w:val="20"/>
                <w:szCs w:val="20"/>
                <w:color w:val="auto"/>
              </w:rPr>
            </w:pPr>
            <w:r>
              <w:rPr>
                <w:rFonts w:ascii="Arial" w:cs="Arial" w:eastAsia="Arial" w:hAnsi="Arial"/>
                <w:sz w:val="13"/>
                <w:szCs w:val="13"/>
                <w:color w:val="auto"/>
              </w:rPr>
              <w:t>16.00</w:t>
            </w:r>
          </w:p>
        </w:tc>
        <w:tc>
          <w:tcPr>
            <w:tcW w:w="980" w:type="dxa"/>
            <w:vAlign w:val="bottom"/>
            <w:shd w:val="clear" w:color="auto" w:fill="F5F5F5"/>
          </w:tcPr>
          <w:p>
            <w:pPr>
              <w:jc w:val="center"/>
              <w:ind w:right="38"/>
              <w:spacing w:after="0"/>
              <w:rPr>
                <w:sz w:val="20"/>
                <w:szCs w:val="20"/>
                <w:color w:val="auto"/>
              </w:rPr>
            </w:pPr>
            <w:r>
              <w:rPr>
                <w:rFonts w:ascii="Arial" w:cs="Arial" w:eastAsia="Arial" w:hAnsi="Arial"/>
                <w:sz w:val="13"/>
                <w:szCs w:val="13"/>
                <w:color w:val="auto"/>
                <w:w w:val="96"/>
              </w:rPr>
              <w:t>3/15/2028</w:t>
            </w:r>
          </w:p>
        </w:tc>
        <w:tc>
          <w:tcPr>
            <w:tcW w:w="780" w:type="dxa"/>
            <w:vAlign w:val="bottom"/>
            <w:shd w:val="clear" w:color="auto" w:fill="F5F5F5"/>
          </w:tcPr>
          <w:p>
            <w:pPr>
              <w:spacing w:after="0"/>
              <w:rPr>
                <w:sz w:val="18"/>
                <w:szCs w:val="18"/>
                <w:color w:val="auto"/>
              </w:rPr>
            </w:pPr>
          </w:p>
        </w:tc>
        <w:tc>
          <w:tcPr>
            <w:tcW w:w="180" w:type="dxa"/>
            <w:vAlign w:val="bottom"/>
            <w:shd w:val="clear" w:color="auto" w:fill="F5F5F5"/>
          </w:tcPr>
          <w:p>
            <w:pPr>
              <w:spacing w:after="0"/>
              <w:rPr>
                <w:sz w:val="18"/>
                <w:szCs w:val="18"/>
                <w:color w:val="auto"/>
              </w:rPr>
            </w:pPr>
          </w:p>
        </w:tc>
        <w:tc>
          <w:tcPr>
            <w:tcW w:w="84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16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5F5F5"/>
          </w:tcPr>
          <w:p>
            <w:pPr>
              <w:spacing w:after="0"/>
              <w:rPr>
                <w:sz w:val="18"/>
                <w:szCs w:val="18"/>
                <w:color w:val="auto"/>
              </w:rPr>
            </w:pPr>
          </w:p>
        </w:tc>
        <w:tc>
          <w:tcPr>
            <w:tcW w:w="1100" w:type="dxa"/>
            <w:vAlign w:val="bottom"/>
            <w:vMerge w:val="restart"/>
            <w:shd w:val="clear" w:color="auto" w:fill="F5F5F5"/>
          </w:tcPr>
          <w:p>
            <w:pPr>
              <w:ind w:left="20"/>
              <w:spacing w:after="0"/>
              <w:rPr>
                <w:sz w:val="20"/>
                <w:szCs w:val="20"/>
                <w:color w:val="auto"/>
              </w:rPr>
            </w:pPr>
            <w:r>
              <w:rPr>
                <w:rFonts w:ascii="Arial" w:cs="Arial" w:eastAsia="Arial" w:hAnsi="Arial"/>
                <w:sz w:val="13"/>
                <w:szCs w:val="13"/>
                <w:b w:val="1"/>
                <w:bCs w:val="1"/>
                <w:color w:val="005388"/>
                <w:w w:val="99"/>
              </w:rPr>
              <w:t>Adam S. Pollitzer</w:t>
            </w: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2019</w:t>
            </w:r>
          </w:p>
        </w:tc>
        <w:tc>
          <w:tcPr>
            <w:tcW w:w="11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25,426</w:t>
            </w:r>
          </w:p>
        </w:tc>
        <w:tc>
          <w:tcPr>
            <w:tcW w:w="1300" w:type="dxa"/>
            <w:vAlign w:val="bottom"/>
            <w:shd w:val="clear" w:color="auto" w:fill="F5F5F5"/>
          </w:tcPr>
          <w:p>
            <w:pPr>
              <w:spacing w:after="0"/>
              <w:rPr>
                <w:sz w:val="18"/>
                <w:szCs w:val="18"/>
                <w:color w:val="auto"/>
              </w:rPr>
            </w:pPr>
          </w:p>
        </w:tc>
        <w:tc>
          <w:tcPr>
            <w:tcW w:w="1120" w:type="dxa"/>
            <w:vAlign w:val="bottom"/>
            <w:shd w:val="clear" w:color="auto" w:fill="F5F5F5"/>
          </w:tcPr>
          <w:p>
            <w:pPr>
              <w:spacing w:after="0"/>
              <w:rPr>
                <w:sz w:val="18"/>
                <w:szCs w:val="18"/>
                <w:color w:val="auto"/>
              </w:rPr>
            </w:pPr>
          </w:p>
        </w:tc>
        <w:tc>
          <w:tcPr>
            <w:tcW w:w="900" w:type="dxa"/>
            <w:vAlign w:val="bottom"/>
            <w:shd w:val="clear" w:color="auto" w:fill="F5F5F5"/>
          </w:tcPr>
          <w:p>
            <w:pPr>
              <w:jc w:val="right"/>
              <w:ind w:right="78"/>
              <w:spacing w:after="0"/>
              <w:rPr>
                <w:sz w:val="20"/>
                <w:szCs w:val="20"/>
                <w:color w:val="auto"/>
              </w:rPr>
            </w:pPr>
            <w:r>
              <w:rPr>
                <w:rFonts w:ascii="Arial" w:cs="Arial" w:eastAsia="Arial" w:hAnsi="Arial"/>
                <w:sz w:val="13"/>
                <w:szCs w:val="13"/>
                <w:color w:val="auto"/>
              </w:rPr>
              <w:t>22.19</w:t>
            </w:r>
          </w:p>
        </w:tc>
        <w:tc>
          <w:tcPr>
            <w:tcW w:w="980" w:type="dxa"/>
            <w:vAlign w:val="bottom"/>
            <w:shd w:val="clear" w:color="auto" w:fill="F5F5F5"/>
          </w:tcPr>
          <w:p>
            <w:pPr>
              <w:jc w:val="center"/>
              <w:ind w:right="38"/>
              <w:spacing w:after="0"/>
              <w:rPr>
                <w:sz w:val="20"/>
                <w:szCs w:val="20"/>
                <w:color w:val="auto"/>
              </w:rPr>
            </w:pPr>
            <w:r>
              <w:rPr>
                <w:rFonts w:ascii="Arial" w:cs="Arial" w:eastAsia="Arial" w:hAnsi="Arial"/>
                <w:sz w:val="13"/>
                <w:szCs w:val="13"/>
                <w:color w:val="auto"/>
                <w:w w:val="96"/>
              </w:rPr>
              <w:t>2/13/2029</w:t>
            </w:r>
          </w:p>
        </w:tc>
        <w:tc>
          <w:tcPr>
            <w:tcW w:w="780" w:type="dxa"/>
            <w:vAlign w:val="bottom"/>
            <w:shd w:val="clear" w:color="auto" w:fill="F5F5F5"/>
          </w:tcPr>
          <w:p>
            <w:pPr>
              <w:spacing w:after="0"/>
              <w:rPr>
                <w:sz w:val="18"/>
                <w:szCs w:val="18"/>
                <w:color w:val="auto"/>
              </w:rPr>
            </w:pPr>
          </w:p>
        </w:tc>
        <w:tc>
          <w:tcPr>
            <w:tcW w:w="180" w:type="dxa"/>
            <w:vAlign w:val="bottom"/>
            <w:shd w:val="clear" w:color="auto" w:fill="F5F5F5"/>
          </w:tcPr>
          <w:p>
            <w:pPr>
              <w:spacing w:after="0"/>
              <w:rPr>
                <w:sz w:val="18"/>
                <w:szCs w:val="18"/>
                <w:color w:val="auto"/>
              </w:rPr>
            </w:pPr>
          </w:p>
        </w:tc>
        <w:tc>
          <w:tcPr>
            <w:tcW w:w="84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16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80" w:type="dxa"/>
            <w:vAlign w:val="bottom"/>
            <w:shd w:val="clear" w:color="auto" w:fill="F5F5F5"/>
          </w:tcPr>
          <w:p>
            <w:pPr>
              <w:spacing w:after="0"/>
              <w:rPr>
                <w:sz w:val="9"/>
                <w:szCs w:val="9"/>
                <w:color w:val="auto"/>
              </w:rPr>
            </w:pPr>
          </w:p>
        </w:tc>
        <w:tc>
          <w:tcPr>
            <w:tcW w:w="1100" w:type="dxa"/>
            <w:vAlign w:val="bottom"/>
            <w:vMerge w:val="continue"/>
            <w:shd w:val="clear" w:color="auto" w:fill="F5F5F5"/>
          </w:tcPr>
          <w:p>
            <w:pPr>
              <w:spacing w:after="0"/>
              <w:rPr>
                <w:sz w:val="9"/>
                <w:szCs w:val="9"/>
                <w:color w:val="auto"/>
              </w:rPr>
            </w:pPr>
          </w:p>
        </w:tc>
        <w:tc>
          <w:tcPr>
            <w:tcW w:w="660" w:type="dxa"/>
            <w:vAlign w:val="bottom"/>
            <w:vMerge w:val="restart"/>
            <w:shd w:val="clear" w:color="auto" w:fill="F5F5F5"/>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shd w:val="clear" w:color="auto" w:fill="F5F5F5"/>
          </w:tcPr>
          <w:p>
            <w:pPr>
              <w:spacing w:after="0"/>
              <w:rPr>
                <w:sz w:val="9"/>
                <w:szCs w:val="9"/>
                <w:color w:val="auto"/>
              </w:rPr>
            </w:pPr>
          </w:p>
        </w:tc>
        <w:tc>
          <w:tcPr>
            <w:tcW w:w="1300" w:type="dxa"/>
            <w:vAlign w:val="bottom"/>
            <w:shd w:val="clear" w:color="auto" w:fill="F5F5F5"/>
          </w:tcPr>
          <w:p>
            <w:pPr>
              <w:spacing w:after="0"/>
              <w:rPr>
                <w:sz w:val="9"/>
                <w:szCs w:val="9"/>
                <w:color w:val="auto"/>
              </w:rPr>
            </w:pPr>
          </w:p>
        </w:tc>
        <w:tc>
          <w:tcPr>
            <w:tcW w:w="1120" w:type="dxa"/>
            <w:vAlign w:val="bottom"/>
            <w:shd w:val="clear" w:color="auto" w:fill="F5F5F5"/>
          </w:tcPr>
          <w:p>
            <w:pPr>
              <w:spacing w:after="0"/>
              <w:rPr>
                <w:sz w:val="9"/>
                <w:szCs w:val="9"/>
                <w:color w:val="auto"/>
              </w:rPr>
            </w:pPr>
          </w:p>
        </w:tc>
        <w:tc>
          <w:tcPr>
            <w:tcW w:w="900" w:type="dxa"/>
            <w:vAlign w:val="bottom"/>
            <w:shd w:val="clear" w:color="auto" w:fill="F5F5F5"/>
          </w:tcPr>
          <w:p>
            <w:pPr>
              <w:spacing w:after="0"/>
              <w:rPr>
                <w:sz w:val="9"/>
                <w:szCs w:val="9"/>
                <w:color w:val="auto"/>
              </w:rPr>
            </w:pPr>
          </w:p>
        </w:tc>
        <w:tc>
          <w:tcPr>
            <w:tcW w:w="980" w:type="dxa"/>
            <w:vAlign w:val="bottom"/>
            <w:shd w:val="clear" w:color="auto" w:fill="F5F5F5"/>
          </w:tcPr>
          <w:p>
            <w:pPr>
              <w:spacing w:after="0"/>
              <w:rPr>
                <w:sz w:val="9"/>
                <w:szCs w:val="9"/>
                <w:color w:val="auto"/>
              </w:rPr>
            </w:pPr>
          </w:p>
        </w:tc>
        <w:tc>
          <w:tcPr>
            <w:tcW w:w="780" w:type="dxa"/>
            <w:vAlign w:val="bottom"/>
            <w:vMerge w:val="restart"/>
            <w:shd w:val="clear" w:color="auto" w:fill="F5F5F5"/>
          </w:tcPr>
          <w:p>
            <w:pPr>
              <w:jc w:val="right"/>
              <w:spacing w:after="0"/>
              <w:rPr>
                <w:sz w:val="20"/>
                <w:szCs w:val="20"/>
                <w:color w:val="auto"/>
              </w:rPr>
            </w:pPr>
            <w:r>
              <w:rPr>
                <w:rFonts w:ascii="Arial" w:cs="Arial" w:eastAsia="Arial" w:hAnsi="Arial"/>
                <w:sz w:val="13"/>
                <w:szCs w:val="13"/>
                <w:color w:val="auto"/>
              </w:rPr>
              <w:t>18,468</w:t>
            </w:r>
          </w:p>
        </w:tc>
        <w:tc>
          <w:tcPr>
            <w:tcW w:w="180" w:type="dxa"/>
            <w:vAlign w:val="bottom"/>
            <w:vMerge w:val="restart"/>
            <w:shd w:val="clear" w:color="auto" w:fill="F5F5F5"/>
          </w:tcPr>
          <w:p>
            <w:pPr>
              <w:jc w:val="right"/>
              <w:ind w:right="19"/>
              <w:spacing w:after="0"/>
              <w:rPr>
                <w:sz w:val="20"/>
                <w:szCs w:val="20"/>
                <w:color w:val="auto"/>
              </w:rPr>
            </w:pPr>
            <w:r>
              <w:rPr>
                <w:rFonts w:ascii="Arial" w:cs="Arial" w:eastAsia="Arial" w:hAnsi="Arial"/>
                <w:sz w:val="8"/>
                <w:szCs w:val="8"/>
                <w:color w:val="auto"/>
              </w:rPr>
              <w:t>(2)</w:t>
            </w:r>
          </w:p>
        </w:tc>
        <w:tc>
          <w:tcPr>
            <w:tcW w:w="840" w:type="dxa"/>
            <w:vAlign w:val="bottom"/>
            <w:vMerge w:val="restart"/>
            <w:shd w:val="clear" w:color="auto" w:fill="F5F5F5"/>
          </w:tcPr>
          <w:p>
            <w:pPr>
              <w:jc w:val="right"/>
              <w:ind w:right="20"/>
              <w:spacing w:after="0"/>
              <w:rPr>
                <w:sz w:val="20"/>
                <w:szCs w:val="20"/>
                <w:color w:val="auto"/>
              </w:rPr>
            </w:pPr>
            <w:r>
              <w:rPr>
                <w:rFonts w:ascii="Arial" w:cs="Arial" w:eastAsia="Arial" w:hAnsi="Arial"/>
                <w:sz w:val="13"/>
                <w:szCs w:val="13"/>
                <w:color w:val="auto"/>
              </w:rPr>
              <w:t>753,310</w:t>
            </w:r>
          </w:p>
        </w:tc>
        <w:tc>
          <w:tcPr>
            <w:tcW w:w="900" w:type="dxa"/>
            <w:vAlign w:val="bottom"/>
            <w:shd w:val="clear" w:color="auto" w:fill="F5F5F5"/>
          </w:tcPr>
          <w:p>
            <w:pPr>
              <w:spacing w:after="0"/>
              <w:rPr>
                <w:sz w:val="9"/>
                <w:szCs w:val="9"/>
                <w:color w:val="auto"/>
              </w:rPr>
            </w:pPr>
          </w:p>
        </w:tc>
        <w:tc>
          <w:tcPr>
            <w:tcW w:w="160" w:type="dxa"/>
            <w:vAlign w:val="bottom"/>
            <w:shd w:val="clear" w:color="auto" w:fill="F5F5F5"/>
          </w:tcPr>
          <w:p>
            <w:pPr>
              <w:spacing w:after="0"/>
              <w:rPr>
                <w:sz w:val="9"/>
                <w:szCs w:val="9"/>
                <w:color w:val="auto"/>
              </w:rPr>
            </w:pPr>
          </w:p>
        </w:tc>
        <w:tc>
          <w:tcPr>
            <w:tcW w:w="1140" w:type="dxa"/>
            <w:vAlign w:val="bottom"/>
            <w:shd w:val="clear" w:color="auto" w:fill="F5F5F5"/>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0" w:type="dxa"/>
            <w:vAlign w:val="bottom"/>
            <w:shd w:val="clear" w:color="auto" w:fill="F5F5F5"/>
          </w:tcPr>
          <w:p>
            <w:pPr>
              <w:spacing w:after="0"/>
              <w:rPr>
                <w:sz w:val="8"/>
                <w:szCs w:val="8"/>
                <w:color w:val="auto"/>
              </w:rPr>
            </w:pPr>
          </w:p>
        </w:tc>
        <w:tc>
          <w:tcPr>
            <w:tcW w:w="1100" w:type="dxa"/>
            <w:vAlign w:val="bottom"/>
            <w:shd w:val="clear" w:color="auto" w:fill="F5F5F5"/>
          </w:tcPr>
          <w:p>
            <w:pPr>
              <w:spacing w:after="0"/>
              <w:rPr>
                <w:sz w:val="8"/>
                <w:szCs w:val="8"/>
                <w:color w:val="auto"/>
              </w:rPr>
            </w:pPr>
          </w:p>
        </w:tc>
        <w:tc>
          <w:tcPr>
            <w:tcW w:w="660" w:type="dxa"/>
            <w:vAlign w:val="bottom"/>
            <w:vMerge w:val="continue"/>
            <w:shd w:val="clear" w:color="auto" w:fill="F5F5F5"/>
          </w:tcPr>
          <w:p>
            <w:pPr>
              <w:spacing w:after="0"/>
              <w:rPr>
                <w:sz w:val="8"/>
                <w:szCs w:val="8"/>
                <w:color w:val="auto"/>
              </w:rPr>
            </w:pPr>
          </w:p>
        </w:tc>
        <w:tc>
          <w:tcPr>
            <w:tcW w:w="1100" w:type="dxa"/>
            <w:vAlign w:val="bottom"/>
            <w:shd w:val="clear" w:color="auto" w:fill="F5F5F5"/>
          </w:tcPr>
          <w:p>
            <w:pPr>
              <w:spacing w:after="0"/>
              <w:rPr>
                <w:sz w:val="8"/>
                <w:szCs w:val="8"/>
                <w:color w:val="auto"/>
              </w:rPr>
            </w:pPr>
          </w:p>
        </w:tc>
        <w:tc>
          <w:tcPr>
            <w:tcW w:w="1300" w:type="dxa"/>
            <w:vAlign w:val="bottom"/>
            <w:shd w:val="clear" w:color="auto" w:fill="F5F5F5"/>
          </w:tcPr>
          <w:p>
            <w:pPr>
              <w:spacing w:after="0"/>
              <w:rPr>
                <w:sz w:val="8"/>
                <w:szCs w:val="8"/>
                <w:color w:val="auto"/>
              </w:rPr>
            </w:pPr>
          </w:p>
        </w:tc>
        <w:tc>
          <w:tcPr>
            <w:tcW w:w="1120" w:type="dxa"/>
            <w:vAlign w:val="bottom"/>
            <w:shd w:val="clear" w:color="auto" w:fill="F5F5F5"/>
          </w:tcPr>
          <w:p>
            <w:pPr>
              <w:spacing w:after="0"/>
              <w:rPr>
                <w:sz w:val="8"/>
                <w:szCs w:val="8"/>
                <w:color w:val="auto"/>
              </w:rPr>
            </w:pPr>
          </w:p>
        </w:tc>
        <w:tc>
          <w:tcPr>
            <w:tcW w:w="900" w:type="dxa"/>
            <w:vAlign w:val="bottom"/>
            <w:shd w:val="clear" w:color="auto" w:fill="F5F5F5"/>
          </w:tcPr>
          <w:p>
            <w:pPr>
              <w:spacing w:after="0"/>
              <w:rPr>
                <w:sz w:val="8"/>
                <w:szCs w:val="8"/>
                <w:color w:val="auto"/>
              </w:rPr>
            </w:pPr>
          </w:p>
        </w:tc>
        <w:tc>
          <w:tcPr>
            <w:tcW w:w="980" w:type="dxa"/>
            <w:vAlign w:val="bottom"/>
            <w:shd w:val="clear" w:color="auto" w:fill="F5F5F5"/>
          </w:tcPr>
          <w:p>
            <w:pPr>
              <w:spacing w:after="0"/>
              <w:rPr>
                <w:sz w:val="8"/>
                <w:szCs w:val="8"/>
                <w:color w:val="auto"/>
              </w:rPr>
            </w:pPr>
          </w:p>
        </w:tc>
        <w:tc>
          <w:tcPr>
            <w:tcW w:w="780" w:type="dxa"/>
            <w:vAlign w:val="bottom"/>
            <w:vMerge w:val="continue"/>
            <w:shd w:val="clear" w:color="auto" w:fill="F5F5F5"/>
          </w:tcPr>
          <w:p>
            <w:pPr>
              <w:spacing w:after="0"/>
              <w:rPr>
                <w:sz w:val="8"/>
                <w:szCs w:val="8"/>
                <w:color w:val="auto"/>
              </w:rPr>
            </w:pPr>
          </w:p>
        </w:tc>
        <w:tc>
          <w:tcPr>
            <w:tcW w:w="180" w:type="dxa"/>
            <w:vAlign w:val="bottom"/>
            <w:vMerge w:val="continue"/>
            <w:shd w:val="clear" w:color="auto" w:fill="F5F5F5"/>
          </w:tcPr>
          <w:p>
            <w:pPr>
              <w:spacing w:after="0"/>
              <w:rPr>
                <w:sz w:val="8"/>
                <w:szCs w:val="8"/>
                <w:color w:val="auto"/>
              </w:rPr>
            </w:pPr>
          </w:p>
        </w:tc>
        <w:tc>
          <w:tcPr>
            <w:tcW w:w="840" w:type="dxa"/>
            <w:vAlign w:val="bottom"/>
            <w:vMerge w:val="continue"/>
            <w:shd w:val="clear" w:color="auto" w:fill="F5F5F5"/>
          </w:tcPr>
          <w:p>
            <w:pPr>
              <w:spacing w:after="0"/>
              <w:rPr>
                <w:sz w:val="8"/>
                <w:szCs w:val="8"/>
                <w:color w:val="auto"/>
              </w:rPr>
            </w:pPr>
          </w:p>
        </w:tc>
        <w:tc>
          <w:tcPr>
            <w:tcW w:w="900" w:type="dxa"/>
            <w:vAlign w:val="bottom"/>
            <w:shd w:val="clear" w:color="auto" w:fill="F5F5F5"/>
          </w:tcPr>
          <w:p>
            <w:pPr>
              <w:spacing w:after="0"/>
              <w:rPr>
                <w:sz w:val="8"/>
                <w:szCs w:val="8"/>
                <w:color w:val="auto"/>
              </w:rPr>
            </w:pPr>
          </w:p>
        </w:tc>
        <w:tc>
          <w:tcPr>
            <w:tcW w:w="160" w:type="dxa"/>
            <w:vAlign w:val="bottom"/>
            <w:shd w:val="clear" w:color="auto" w:fill="F5F5F5"/>
          </w:tcPr>
          <w:p>
            <w:pPr>
              <w:spacing w:after="0"/>
              <w:rPr>
                <w:sz w:val="8"/>
                <w:szCs w:val="8"/>
                <w:color w:val="auto"/>
              </w:rPr>
            </w:pPr>
          </w:p>
        </w:tc>
        <w:tc>
          <w:tcPr>
            <w:tcW w:w="1140" w:type="dxa"/>
            <w:vAlign w:val="bottom"/>
            <w:shd w:val="clear" w:color="auto" w:fill="F5F5F5"/>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5F5F5"/>
          </w:tcPr>
          <w:p>
            <w:pPr>
              <w:spacing w:after="0"/>
              <w:rPr>
                <w:sz w:val="18"/>
                <w:szCs w:val="18"/>
                <w:color w:val="auto"/>
              </w:rPr>
            </w:pPr>
          </w:p>
        </w:tc>
        <w:tc>
          <w:tcPr>
            <w:tcW w:w="1100" w:type="dxa"/>
            <w:vAlign w:val="bottom"/>
            <w:shd w:val="clear" w:color="auto" w:fill="F5F5F5"/>
          </w:tcPr>
          <w:p>
            <w:pPr>
              <w:spacing w:after="0"/>
              <w:rPr>
                <w:sz w:val="18"/>
                <w:szCs w:val="18"/>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2024</w:t>
            </w:r>
          </w:p>
        </w:tc>
        <w:tc>
          <w:tcPr>
            <w:tcW w:w="1100" w:type="dxa"/>
            <w:vAlign w:val="bottom"/>
            <w:shd w:val="clear" w:color="auto" w:fill="F5F5F5"/>
          </w:tcPr>
          <w:p>
            <w:pPr>
              <w:spacing w:after="0"/>
              <w:rPr>
                <w:sz w:val="18"/>
                <w:szCs w:val="18"/>
                <w:color w:val="auto"/>
              </w:rPr>
            </w:pPr>
          </w:p>
        </w:tc>
        <w:tc>
          <w:tcPr>
            <w:tcW w:w="1300" w:type="dxa"/>
            <w:vAlign w:val="bottom"/>
            <w:shd w:val="clear" w:color="auto" w:fill="F5F5F5"/>
          </w:tcPr>
          <w:p>
            <w:pPr>
              <w:spacing w:after="0"/>
              <w:rPr>
                <w:sz w:val="18"/>
                <w:szCs w:val="18"/>
                <w:color w:val="auto"/>
              </w:rPr>
            </w:pPr>
          </w:p>
        </w:tc>
        <w:tc>
          <w:tcPr>
            <w:tcW w:w="112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980" w:type="dxa"/>
            <w:vAlign w:val="bottom"/>
            <w:shd w:val="clear" w:color="auto" w:fill="F5F5F5"/>
          </w:tcPr>
          <w:p>
            <w:pPr>
              <w:spacing w:after="0"/>
              <w:rPr>
                <w:sz w:val="18"/>
                <w:szCs w:val="18"/>
                <w:color w:val="auto"/>
              </w:rPr>
            </w:pPr>
          </w:p>
        </w:tc>
        <w:tc>
          <w:tcPr>
            <w:tcW w:w="7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48,767</w:t>
            </w:r>
          </w:p>
        </w:tc>
        <w:tc>
          <w:tcPr>
            <w:tcW w:w="18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rPr>
              <w:t>(3)</w:t>
            </w:r>
          </w:p>
        </w:tc>
        <w:tc>
          <w:tcPr>
            <w:tcW w:w="840" w:type="dxa"/>
            <w:vAlign w:val="bottom"/>
            <w:shd w:val="clear" w:color="auto" w:fill="F5F5F5"/>
          </w:tcPr>
          <w:p>
            <w:pPr>
              <w:jc w:val="right"/>
              <w:ind w:right="20"/>
              <w:spacing w:after="0"/>
              <w:rPr>
                <w:sz w:val="20"/>
                <w:szCs w:val="20"/>
                <w:color w:val="auto"/>
              </w:rPr>
            </w:pPr>
            <w:r>
              <w:rPr>
                <w:rFonts w:ascii="Arial" w:cs="Arial" w:eastAsia="Arial" w:hAnsi="Arial"/>
                <w:sz w:val="13"/>
                <w:szCs w:val="13"/>
                <w:color w:val="auto"/>
              </w:rPr>
              <w:t>1,989,206</w:t>
            </w:r>
          </w:p>
        </w:tc>
        <w:tc>
          <w:tcPr>
            <w:tcW w:w="9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162,554</w:t>
            </w:r>
          </w:p>
        </w:tc>
        <w:tc>
          <w:tcPr>
            <w:tcW w:w="16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w w:val="81"/>
              </w:rPr>
              <w:t>(4)</w:t>
            </w:r>
          </w:p>
        </w:tc>
        <w:tc>
          <w:tcPr>
            <w:tcW w:w="1140" w:type="dxa"/>
            <w:vAlign w:val="bottom"/>
            <w:shd w:val="clear" w:color="auto" w:fill="F5F5F5"/>
          </w:tcPr>
          <w:p>
            <w:pPr>
              <w:jc w:val="right"/>
              <w:ind w:right="100"/>
              <w:spacing w:after="0"/>
              <w:rPr>
                <w:sz w:val="20"/>
                <w:szCs w:val="20"/>
                <w:color w:val="auto"/>
              </w:rPr>
            </w:pPr>
            <w:r>
              <w:rPr>
                <w:rFonts w:ascii="Arial" w:cs="Arial" w:eastAsia="Arial" w:hAnsi="Arial"/>
                <w:sz w:val="13"/>
                <w:szCs w:val="13"/>
                <w:color w:val="auto"/>
              </w:rPr>
              <w:t>6,630,578</w:t>
            </w:r>
          </w:p>
        </w:tc>
        <w:tc>
          <w:tcPr>
            <w:tcW w:w="0" w:type="dxa"/>
            <w:vAlign w:val="bottom"/>
          </w:tcPr>
          <w:p>
            <w:pPr>
              <w:spacing w:after="0"/>
              <w:rPr>
                <w:sz w:val="1"/>
                <w:szCs w:val="1"/>
                <w:color w:val="auto"/>
              </w:rPr>
            </w:pPr>
          </w:p>
        </w:tc>
      </w:tr>
      <w:tr>
        <w:trPr>
          <w:trHeight w:val="237"/>
        </w:trPr>
        <w:tc>
          <w:tcPr>
            <w:tcW w:w="80" w:type="dxa"/>
            <w:vAlign w:val="bottom"/>
            <w:tcBorders>
              <w:bottom w:val="single" w:sz="8" w:color="F5F5F5"/>
            </w:tcBorders>
            <w:shd w:val="clear" w:color="auto" w:fill="F5F5F5"/>
          </w:tcPr>
          <w:p>
            <w:pPr>
              <w:spacing w:after="0"/>
              <w:rPr>
                <w:sz w:val="20"/>
                <w:szCs w:val="20"/>
                <w:color w:val="auto"/>
              </w:rPr>
            </w:pPr>
          </w:p>
        </w:tc>
        <w:tc>
          <w:tcPr>
            <w:tcW w:w="1100" w:type="dxa"/>
            <w:vAlign w:val="bottom"/>
            <w:tcBorders>
              <w:bottom w:val="single" w:sz="8" w:color="F5F5F5"/>
            </w:tcBorders>
            <w:shd w:val="clear" w:color="auto" w:fill="F5F5F5"/>
          </w:tcPr>
          <w:p>
            <w:pPr>
              <w:spacing w:after="0"/>
              <w:rPr>
                <w:sz w:val="20"/>
                <w:szCs w:val="20"/>
                <w:color w:val="auto"/>
              </w:rPr>
            </w:pPr>
          </w:p>
        </w:tc>
        <w:tc>
          <w:tcPr>
            <w:tcW w:w="660" w:type="dxa"/>
            <w:vAlign w:val="bottom"/>
            <w:tcBorders>
              <w:bottom w:val="single" w:sz="8" w:color="F5F5F5"/>
            </w:tcBorders>
            <w:shd w:val="clear" w:color="auto" w:fill="F5F5F5"/>
          </w:tcPr>
          <w:p>
            <w:pPr>
              <w:jc w:val="center"/>
              <w:spacing w:after="0"/>
              <w:rPr>
                <w:sz w:val="20"/>
                <w:szCs w:val="20"/>
                <w:color w:val="auto"/>
              </w:rPr>
            </w:pPr>
            <w:r>
              <w:rPr>
                <w:rFonts w:ascii="Arial" w:cs="Arial" w:eastAsia="Arial" w:hAnsi="Arial"/>
                <w:sz w:val="13"/>
                <w:szCs w:val="13"/>
                <w:color w:val="auto"/>
                <w:w w:val="96"/>
              </w:rPr>
              <w:t>2025</w:t>
            </w:r>
          </w:p>
        </w:tc>
        <w:tc>
          <w:tcPr>
            <w:tcW w:w="1100" w:type="dxa"/>
            <w:vAlign w:val="bottom"/>
            <w:tcBorders>
              <w:bottom w:val="single" w:sz="8" w:color="F5F5F5"/>
            </w:tcBorders>
            <w:shd w:val="clear" w:color="auto" w:fill="F5F5F5"/>
          </w:tcPr>
          <w:p>
            <w:pPr>
              <w:spacing w:after="0"/>
              <w:rPr>
                <w:sz w:val="20"/>
                <w:szCs w:val="20"/>
                <w:color w:val="auto"/>
              </w:rPr>
            </w:pPr>
          </w:p>
        </w:tc>
        <w:tc>
          <w:tcPr>
            <w:tcW w:w="1300" w:type="dxa"/>
            <w:vAlign w:val="bottom"/>
            <w:tcBorders>
              <w:bottom w:val="single" w:sz="8" w:color="F5F5F5"/>
            </w:tcBorders>
            <w:shd w:val="clear" w:color="auto" w:fill="F5F5F5"/>
          </w:tcPr>
          <w:p>
            <w:pPr>
              <w:spacing w:after="0"/>
              <w:rPr>
                <w:sz w:val="20"/>
                <w:szCs w:val="20"/>
                <w:color w:val="auto"/>
              </w:rPr>
            </w:pPr>
          </w:p>
        </w:tc>
        <w:tc>
          <w:tcPr>
            <w:tcW w:w="1120" w:type="dxa"/>
            <w:vAlign w:val="bottom"/>
            <w:tcBorders>
              <w:bottom w:val="single" w:sz="8" w:color="F5F5F5"/>
            </w:tcBorders>
            <w:shd w:val="clear" w:color="auto" w:fill="F5F5F5"/>
          </w:tcPr>
          <w:p>
            <w:pPr>
              <w:spacing w:after="0"/>
              <w:rPr>
                <w:sz w:val="20"/>
                <w:szCs w:val="20"/>
                <w:color w:val="auto"/>
              </w:rPr>
            </w:pPr>
          </w:p>
        </w:tc>
        <w:tc>
          <w:tcPr>
            <w:tcW w:w="900" w:type="dxa"/>
            <w:vAlign w:val="bottom"/>
            <w:tcBorders>
              <w:bottom w:val="single" w:sz="8" w:color="F5F5F5"/>
            </w:tcBorders>
            <w:shd w:val="clear" w:color="auto" w:fill="F5F5F5"/>
          </w:tcPr>
          <w:p>
            <w:pPr>
              <w:spacing w:after="0"/>
              <w:rPr>
                <w:sz w:val="20"/>
                <w:szCs w:val="20"/>
                <w:color w:val="auto"/>
              </w:rPr>
            </w:pPr>
          </w:p>
        </w:tc>
        <w:tc>
          <w:tcPr>
            <w:tcW w:w="980" w:type="dxa"/>
            <w:vAlign w:val="bottom"/>
            <w:tcBorders>
              <w:bottom w:val="single" w:sz="8" w:color="F5F5F5"/>
            </w:tcBorders>
            <w:shd w:val="clear" w:color="auto" w:fill="F5F5F5"/>
          </w:tcPr>
          <w:p>
            <w:pPr>
              <w:spacing w:after="0"/>
              <w:rPr>
                <w:sz w:val="20"/>
                <w:szCs w:val="20"/>
                <w:color w:val="auto"/>
              </w:rPr>
            </w:pPr>
          </w:p>
        </w:tc>
        <w:tc>
          <w:tcPr>
            <w:tcW w:w="78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72,098</w:t>
            </w:r>
          </w:p>
        </w:tc>
        <w:tc>
          <w:tcPr>
            <w:tcW w:w="18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rPr>
              <w:t>(5)</w:t>
            </w:r>
          </w:p>
        </w:tc>
        <w:tc>
          <w:tcPr>
            <w:tcW w:w="840" w:type="dxa"/>
            <w:vAlign w:val="bottom"/>
            <w:tcBorders>
              <w:bottom w:val="single" w:sz="8" w:color="F5F5F5"/>
            </w:tcBorders>
            <w:shd w:val="clear" w:color="auto" w:fill="F5F5F5"/>
          </w:tcPr>
          <w:p>
            <w:pPr>
              <w:jc w:val="right"/>
              <w:ind w:right="20"/>
              <w:spacing w:after="0"/>
              <w:rPr>
                <w:sz w:val="20"/>
                <w:szCs w:val="20"/>
                <w:color w:val="auto"/>
              </w:rPr>
            </w:pPr>
            <w:r>
              <w:rPr>
                <w:rFonts w:ascii="Arial" w:cs="Arial" w:eastAsia="Arial" w:hAnsi="Arial"/>
                <w:sz w:val="13"/>
                <w:szCs w:val="13"/>
                <w:color w:val="auto"/>
              </w:rPr>
              <w:t>2,940,877</w:t>
            </w:r>
          </w:p>
        </w:tc>
        <w:tc>
          <w:tcPr>
            <w:tcW w:w="90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216,296</w:t>
            </w:r>
          </w:p>
        </w:tc>
        <w:tc>
          <w:tcPr>
            <w:tcW w:w="16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w w:val="81"/>
              </w:rPr>
              <w:t>(6)</w:t>
            </w:r>
          </w:p>
        </w:tc>
        <w:tc>
          <w:tcPr>
            <w:tcW w:w="1140" w:type="dxa"/>
            <w:vAlign w:val="bottom"/>
            <w:tcBorders>
              <w:bottom w:val="single" w:sz="8" w:color="F5F5F5"/>
            </w:tcBorders>
            <w:shd w:val="clear" w:color="auto" w:fill="F5F5F5"/>
          </w:tcPr>
          <w:p>
            <w:pPr>
              <w:jc w:val="right"/>
              <w:ind w:right="100"/>
              <w:spacing w:after="0"/>
              <w:rPr>
                <w:sz w:val="20"/>
                <w:szCs w:val="20"/>
                <w:color w:val="auto"/>
              </w:rPr>
            </w:pPr>
            <w:r>
              <w:rPr>
                <w:rFonts w:ascii="Arial" w:cs="Arial" w:eastAsia="Arial" w:hAnsi="Arial"/>
                <w:sz w:val="13"/>
                <w:szCs w:val="13"/>
                <w:color w:val="auto"/>
              </w:rPr>
              <w:t>8,822,714</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2017</w:t>
            </w:r>
          </w:p>
        </w:tc>
        <w:tc>
          <w:tcPr>
            <w:tcW w:w="1100" w:type="dxa"/>
            <w:vAlign w:val="bottom"/>
          </w:tcPr>
          <w:p>
            <w:pPr>
              <w:jc w:val="right"/>
              <w:spacing w:after="0"/>
              <w:rPr>
                <w:sz w:val="20"/>
                <w:szCs w:val="20"/>
                <w:color w:val="auto"/>
              </w:rPr>
            </w:pPr>
            <w:r>
              <w:rPr>
                <w:rFonts w:ascii="Arial" w:cs="Arial" w:eastAsia="Arial" w:hAnsi="Arial"/>
                <w:sz w:val="13"/>
                <w:szCs w:val="13"/>
                <w:color w:val="auto"/>
              </w:rPr>
              <w:t>330,788</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11.10</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4"/>
              </w:rPr>
              <w:t>2/9/2027</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tcPr>
          <w:p>
            <w:pPr>
              <w:jc w:val="right"/>
              <w:spacing w:after="0"/>
              <w:rPr>
                <w:sz w:val="20"/>
                <w:szCs w:val="20"/>
                <w:color w:val="auto"/>
              </w:rPr>
            </w:pPr>
            <w:r>
              <w:rPr>
                <w:rFonts w:ascii="Arial" w:cs="Arial" w:eastAsia="Arial" w:hAnsi="Arial"/>
                <w:sz w:val="13"/>
                <w:szCs w:val="13"/>
                <w:color w:val="auto"/>
              </w:rPr>
              <w:t>195,252</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18.70</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4"/>
              </w:rPr>
              <w:t>2/7/2028</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3"/>
                <w:szCs w:val="13"/>
                <w:b w:val="1"/>
                <w:bCs w:val="1"/>
                <w:color w:val="005388"/>
              </w:rPr>
              <w:t>Bradley M.</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1100" w:type="dxa"/>
            <w:vAlign w:val="bottom"/>
          </w:tcPr>
          <w:p>
            <w:pPr>
              <w:jc w:val="right"/>
              <w:spacing w:after="0"/>
              <w:rPr>
                <w:sz w:val="20"/>
                <w:szCs w:val="20"/>
                <w:color w:val="auto"/>
              </w:rPr>
            </w:pPr>
            <w:r>
              <w:rPr>
                <w:rFonts w:ascii="Arial" w:cs="Arial" w:eastAsia="Arial" w:hAnsi="Arial"/>
                <w:sz w:val="13"/>
                <w:szCs w:val="13"/>
                <w:color w:val="auto"/>
              </w:rPr>
              <w:t>40,950</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22.19</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6"/>
              </w:rPr>
              <w:t>2/13/2029</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3"/>
                <w:szCs w:val="13"/>
                <w:b w:val="1"/>
                <w:bCs w:val="1"/>
                <w:color w:val="005388"/>
              </w:rPr>
              <w:t>Shuster</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13,680</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(2)</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558,007</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26,676</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(7)</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1,088,114</w:t>
            </w: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24,175</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(5)</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986,098</w:t>
            </w:r>
          </w:p>
        </w:tc>
        <w:tc>
          <w:tcPr>
            <w:tcW w:w="900" w:type="dxa"/>
            <w:vAlign w:val="bottom"/>
          </w:tcPr>
          <w:p>
            <w:pPr>
              <w:jc w:val="right"/>
              <w:spacing w:after="0"/>
              <w:rPr>
                <w:sz w:val="20"/>
                <w:szCs w:val="20"/>
                <w:color w:val="auto"/>
              </w:rPr>
            </w:pPr>
            <w:r>
              <w:rPr>
                <w:rFonts w:ascii="Arial" w:cs="Arial" w:eastAsia="Arial" w:hAnsi="Arial"/>
                <w:sz w:val="13"/>
                <w:szCs w:val="13"/>
                <w:color w:val="auto"/>
              </w:rPr>
              <w:t>48,350</w:t>
            </w:r>
          </w:p>
        </w:tc>
        <w:tc>
          <w:tcPr>
            <w:tcW w:w="160" w:type="dxa"/>
            <w:vAlign w:val="bottom"/>
          </w:tcPr>
          <w:p>
            <w:pPr>
              <w:jc w:val="right"/>
              <w:ind w:right="19"/>
              <w:spacing w:after="0"/>
              <w:rPr>
                <w:sz w:val="20"/>
                <w:szCs w:val="20"/>
                <w:color w:val="auto"/>
              </w:rPr>
            </w:pPr>
            <w:r>
              <w:rPr>
                <w:rFonts w:ascii="Arial" w:cs="Arial" w:eastAsia="Arial" w:hAnsi="Arial"/>
                <w:sz w:val="8"/>
                <w:szCs w:val="8"/>
                <w:color w:val="auto"/>
                <w:w w:val="81"/>
              </w:rPr>
              <w:t>(6)</w:t>
            </w:r>
          </w:p>
        </w:tc>
        <w:tc>
          <w:tcPr>
            <w:tcW w:w="1140" w:type="dxa"/>
            <w:vAlign w:val="bottom"/>
          </w:tcPr>
          <w:p>
            <w:pPr>
              <w:jc w:val="right"/>
              <w:ind w:right="100"/>
              <w:spacing w:after="0"/>
              <w:rPr>
                <w:sz w:val="20"/>
                <w:szCs w:val="20"/>
                <w:color w:val="auto"/>
              </w:rPr>
            </w:pPr>
            <w:r>
              <w:rPr>
                <w:rFonts w:ascii="Arial" w:cs="Arial" w:eastAsia="Arial" w:hAnsi="Arial"/>
                <w:sz w:val="13"/>
                <w:szCs w:val="13"/>
                <w:color w:val="auto"/>
              </w:rPr>
              <w:t>1,972,197</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 w:type="dxa"/>
            <w:vAlign w:val="bottom"/>
            <w:shd w:val="clear" w:color="auto" w:fill="F5F5F5"/>
          </w:tcPr>
          <w:p>
            <w:pPr>
              <w:spacing w:after="0"/>
              <w:rPr>
                <w:sz w:val="17"/>
                <w:szCs w:val="17"/>
                <w:color w:val="auto"/>
              </w:rPr>
            </w:pPr>
          </w:p>
        </w:tc>
        <w:tc>
          <w:tcPr>
            <w:tcW w:w="110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005388"/>
              </w:rPr>
              <w:t>Aurora</w:t>
            </w: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2024</w:t>
            </w:r>
          </w:p>
        </w:tc>
        <w:tc>
          <w:tcPr>
            <w:tcW w:w="1100" w:type="dxa"/>
            <w:vAlign w:val="bottom"/>
            <w:shd w:val="clear" w:color="auto" w:fill="F5F5F5"/>
          </w:tcPr>
          <w:p>
            <w:pPr>
              <w:spacing w:after="0"/>
              <w:rPr>
                <w:sz w:val="17"/>
                <w:szCs w:val="17"/>
                <w:color w:val="auto"/>
              </w:rPr>
            </w:pPr>
          </w:p>
        </w:tc>
        <w:tc>
          <w:tcPr>
            <w:tcW w:w="1300" w:type="dxa"/>
            <w:vAlign w:val="bottom"/>
            <w:shd w:val="clear" w:color="auto" w:fill="F5F5F5"/>
          </w:tcPr>
          <w:p>
            <w:pPr>
              <w:spacing w:after="0"/>
              <w:rPr>
                <w:sz w:val="17"/>
                <w:szCs w:val="17"/>
                <w:color w:val="auto"/>
              </w:rPr>
            </w:pPr>
          </w:p>
        </w:tc>
        <w:tc>
          <w:tcPr>
            <w:tcW w:w="1120" w:type="dxa"/>
            <w:vAlign w:val="bottom"/>
            <w:shd w:val="clear" w:color="auto" w:fill="F5F5F5"/>
          </w:tcPr>
          <w:p>
            <w:pPr>
              <w:spacing w:after="0"/>
              <w:rPr>
                <w:sz w:val="17"/>
                <w:szCs w:val="17"/>
                <w:color w:val="auto"/>
              </w:rPr>
            </w:pPr>
          </w:p>
        </w:tc>
        <w:tc>
          <w:tcPr>
            <w:tcW w:w="900" w:type="dxa"/>
            <w:vAlign w:val="bottom"/>
            <w:shd w:val="clear" w:color="auto" w:fill="F5F5F5"/>
          </w:tcPr>
          <w:p>
            <w:pPr>
              <w:spacing w:after="0"/>
              <w:rPr>
                <w:sz w:val="17"/>
                <w:szCs w:val="17"/>
                <w:color w:val="auto"/>
              </w:rPr>
            </w:pPr>
          </w:p>
        </w:tc>
        <w:tc>
          <w:tcPr>
            <w:tcW w:w="980" w:type="dxa"/>
            <w:vAlign w:val="bottom"/>
            <w:shd w:val="clear" w:color="auto" w:fill="F5F5F5"/>
          </w:tcPr>
          <w:p>
            <w:pPr>
              <w:spacing w:after="0"/>
              <w:rPr>
                <w:sz w:val="17"/>
                <w:szCs w:val="17"/>
                <w:color w:val="auto"/>
              </w:rPr>
            </w:pPr>
          </w:p>
        </w:tc>
        <w:tc>
          <w:tcPr>
            <w:tcW w:w="7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35,543</w:t>
            </w:r>
          </w:p>
        </w:tc>
        <w:tc>
          <w:tcPr>
            <w:tcW w:w="18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rPr>
              <w:t>(8)</w:t>
            </w:r>
          </w:p>
        </w:tc>
        <w:tc>
          <w:tcPr>
            <w:tcW w:w="840" w:type="dxa"/>
            <w:vAlign w:val="bottom"/>
            <w:shd w:val="clear" w:color="auto" w:fill="F5F5F5"/>
          </w:tcPr>
          <w:p>
            <w:pPr>
              <w:jc w:val="right"/>
              <w:ind w:right="20"/>
              <w:spacing w:after="0"/>
              <w:rPr>
                <w:sz w:val="20"/>
                <w:szCs w:val="20"/>
                <w:color w:val="auto"/>
              </w:rPr>
            </w:pPr>
            <w:r>
              <w:rPr>
                <w:rFonts w:ascii="Arial" w:cs="Arial" w:eastAsia="Arial" w:hAnsi="Arial"/>
                <w:sz w:val="13"/>
                <w:szCs w:val="13"/>
                <w:color w:val="auto"/>
              </w:rPr>
              <w:t>1,449,799</w:t>
            </w:r>
          </w:p>
        </w:tc>
        <w:tc>
          <w:tcPr>
            <w:tcW w:w="9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28,710</w:t>
            </w:r>
          </w:p>
        </w:tc>
        <w:tc>
          <w:tcPr>
            <w:tcW w:w="16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w w:val="81"/>
              </w:rPr>
              <w:t>(4)</w:t>
            </w:r>
          </w:p>
        </w:tc>
        <w:tc>
          <w:tcPr>
            <w:tcW w:w="1140" w:type="dxa"/>
            <w:vAlign w:val="bottom"/>
            <w:shd w:val="clear" w:color="auto" w:fill="F5F5F5"/>
          </w:tcPr>
          <w:p>
            <w:pPr>
              <w:jc w:val="right"/>
              <w:ind w:right="100"/>
              <w:spacing w:after="0"/>
              <w:rPr>
                <w:sz w:val="20"/>
                <w:szCs w:val="20"/>
                <w:color w:val="auto"/>
              </w:rPr>
            </w:pPr>
            <w:r>
              <w:rPr>
                <w:rFonts w:ascii="Arial" w:cs="Arial" w:eastAsia="Arial" w:hAnsi="Arial"/>
                <w:sz w:val="13"/>
                <w:szCs w:val="13"/>
                <w:color w:val="auto"/>
              </w:rPr>
              <w:t>1,171,081</w:t>
            </w:r>
          </w:p>
        </w:tc>
        <w:tc>
          <w:tcPr>
            <w:tcW w:w="0" w:type="dxa"/>
            <w:vAlign w:val="bottom"/>
          </w:tcPr>
          <w:p>
            <w:pPr>
              <w:spacing w:after="0"/>
              <w:rPr>
                <w:sz w:val="1"/>
                <w:szCs w:val="1"/>
                <w:color w:val="auto"/>
              </w:rPr>
            </w:pPr>
          </w:p>
        </w:tc>
      </w:tr>
      <w:tr>
        <w:trPr>
          <w:trHeight w:val="214"/>
        </w:trPr>
        <w:tc>
          <w:tcPr>
            <w:tcW w:w="80" w:type="dxa"/>
            <w:vAlign w:val="bottom"/>
            <w:tcBorders>
              <w:bottom w:val="single" w:sz="8" w:color="F5F5F5"/>
            </w:tcBorders>
            <w:shd w:val="clear" w:color="auto" w:fill="F5F5F5"/>
          </w:tcPr>
          <w:p>
            <w:pPr>
              <w:spacing w:after="0"/>
              <w:rPr>
                <w:sz w:val="18"/>
                <w:szCs w:val="18"/>
                <w:color w:val="auto"/>
              </w:rPr>
            </w:pPr>
          </w:p>
        </w:tc>
        <w:tc>
          <w:tcPr>
            <w:tcW w:w="110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3"/>
                <w:szCs w:val="13"/>
                <w:b w:val="1"/>
                <w:bCs w:val="1"/>
                <w:color w:val="005388"/>
              </w:rPr>
              <w:t>Swithenbank</w:t>
            </w:r>
          </w:p>
        </w:tc>
        <w:tc>
          <w:tcPr>
            <w:tcW w:w="660" w:type="dxa"/>
            <w:vAlign w:val="bottom"/>
            <w:tcBorders>
              <w:bottom w:val="single" w:sz="8" w:color="F5F5F5"/>
            </w:tcBorders>
            <w:shd w:val="clear" w:color="auto" w:fill="F5F5F5"/>
          </w:tcPr>
          <w:p>
            <w:pPr>
              <w:jc w:val="center"/>
              <w:spacing w:after="0"/>
              <w:rPr>
                <w:sz w:val="20"/>
                <w:szCs w:val="20"/>
                <w:color w:val="auto"/>
              </w:rPr>
            </w:pPr>
            <w:r>
              <w:rPr>
                <w:rFonts w:ascii="Arial" w:cs="Arial" w:eastAsia="Arial" w:hAnsi="Arial"/>
                <w:sz w:val="13"/>
                <w:szCs w:val="13"/>
                <w:color w:val="auto"/>
                <w:w w:val="96"/>
              </w:rPr>
              <w:t>2025</w:t>
            </w:r>
          </w:p>
        </w:tc>
        <w:tc>
          <w:tcPr>
            <w:tcW w:w="1100" w:type="dxa"/>
            <w:vAlign w:val="bottom"/>
            <w:tcBorders>
              <w:bottom w:val="single" w:sz="8" w:color="F5F5F5"/>
            </w:tcBorders>
            <w:shd w:val="clear" w:color="auto" w:fill="F5F5F5"/>
          </w:tcPr>
          <w:p>
            <w:pPr>
              <w:spacing w:after="0"/>
              <w:rPr>
                <w:sz w:val="18"/>
                <w:szCs w:val="18"/>
                <w:color w:val="auto"/>
              </w:rPr>
            </w:pPr>
          </w:p>
        </w:tc>
        <w:tc>
          <w:tcPr>
            <w:tcW w:w="1300" w:type="dxa"/>
            <w:vAlign w:val="bottom"/>
            <w:tcBorders>
              <w:bottom w:val="single" w:sz="8" w:color="F5F5F5"/>
            </w:tcBorders>
            <w:shd w:val="clear" w:color="auto" w:fill="F5F5F5"/>
          </w:tcPr>
          <w:p>
            <w:pPr>
              <w:spacing w:after="0"/>
              <w:rPr>
                <w:sz w:val="18"/>
                <w:szCs w:val="18"/>
                <w:color w:val="auto"/>
              </w:rPr>
            </w:pPr>
          </w:p>
        </w:tc>
        <w:tc>
          <w:tcPr>
            <w:tcW w:w="1120" w:type="dxa"/>
            <w:vAlign w:val="bottom"/>
            <w:tcBorders>
              <w:bottom w:val="single" w:sz="8" w:color="F5F5F5"/>
            </w:tcBorders>
            <w:shd w:val="clear" w:color="auto" w:fill="F5F5F5"/>
          </w:tcPr>
          <w:p>
            <w:pPr>
              <w:spacing w:after="0"/>
              <w:rPr>
                <w:sz w:val="18"/>
                <w:szCs w:val="18"/>
                <w:color w:val="auto"/>
              </w:rPr>
            </w:pPr>
          </w:p>
        </w:tc>
        <w:tc>
          <w:tcPr>
            <w:tcW w:w="900" w:type="dxa"/>
            <w:vAlign w:val="bottom"/>
            <w:tcBorders>
              <w:bottom w:val="single" w:sz="8" w:color="F5F5F5"/>
            </w:tcBorders>
            <w:shd w:val="clear" w:color="auto" w:fill="F5F5F5"/>
          </w:tcPr>
          <w:p>
            <w:pPr>
              <w:spacing w:after="0"/>
              <w:rPr>
                <w:sz w:val="18"/>
                <w:szCs w:val="18"/>
                <w:color w:val="auto"/>
              </w:rPr>
            </w:pPr>
          </w:p>
        </w:tc>
        <w:tc>
          <w:tcPr>
            <w:tcW w:w="980" w:type="dxa"/>
            <w:vAlign w:val="bottom"/>
            <w:tcBorders>
              <w:bottom w:val="single" w:sz="8" w:color="F5F5F5"/>
            </w:tcBorders>
            <w:shd w:val="clear" w:color="auto" w:fill="F5F5F5"/>
          </w:tcPr>
          <w:p>
            <w:pPr>
              <w:spacing w:after="0"/>
              <w:rPr>
                <w:sz w:val="18"/>
                <w:szCs w:val="18"/>
                <w:color w:val="auto"/>
              </w:rPr>
            </w:pPr>
          </w:p>
        </w:tc>
        <w:tc>
          <w:tcPr>
            <w:tcW w:w="78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15,827</w:t>
            </w:r>
          </w:p>
        </w:tc>
        <w:tc>
          <w:tcPr>
            <w:tcW w:w="18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rPr>
              <w:t>(5)</w:t>
            </w:r>
          </w:p>
        </w:tc>
        <w:tc>
          <w:tcPr>
            <w:tcW w:w="840" w:type="dxa"/>
            <w:vAlign w:val="bottom"/>
            <w:tcBorders>
              <w:bottom w:val="single" w:sz="8" w:color="F5F5F5"/>
            </w:tcBorders>
            <w:shd w:val="clear" w:color="auto" w:fill="F5F5F5"/>
          </w:tcPr>
          <w:p>
            <w:pPr>
              <w:jc w:val="right"/>
              <w:ind w:right="20"/>
              <w:spacing w:after="0"/>
              <w:rPr>
                <w:sz w:val="20"/>
                <w:szCs w:val="20"/>
                <w:color w:val="auto"/>
              </w:rPr>
            </w:pPr>
            <w:r>
              <w:rPr>
                <w:rFonts w:ascii="Arial" w:cs="Arial" w:eastAsia="Arial" w:hAnsi="Arial"/>
                <w:sz w:val="13"/>
                <w:szCs w:val="13"/>
                <w:color w:val="auto"/>
              </w:rPr>
              <w:t>645,583</w:t>
            </w:r>
          </w:p>
        </w:tc>
        <w:tc>
          <w:tcPr>
            <w:tcW w:w="90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31,654</w:t>
            </w:r>
          </w:p>
        </w:tc>
        <w:tc>
          <w:tcPr>
            <w:tcW w:w="16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w w:val="81"/>
              </w:rPr>
              <w:t>(6)</w:t>
            </w:r>
          </w:p>
        </w:tc>
        <w:tc>
          <w:tcPr>
            <w:tcW w:w="1140" w:type="dxa"/>
            <w:vAlign w:val="bottom"/>
            <w:tcBorders>
              <w:bottom w:val="single" w:sz="8" w:color="F5F5F5"/>
            </w:tcBorders>
            <w:shd w:val="clear" w:color="auto" w:fill="F5F5F5"/>
          </w:tcPr>
          <w:p>
            <w:pPr>
              <w:jc w:val="right"/>
              <w:ind w:right="100"/>
              <w:spacing w:after="0"/>
              <w:rPr>
                <w:sz w:val="20"/>
                <w:szCs w:val="20"/>
                <w:color w:val="auto"/>
              </w:rPr>
            </w:pPr>
            <w:r>
              <w:rPr>
                <w:rFonts w:ascii="Arial" w:cs="Arial" w:eastAsia="Arial" w:hAnsi="Arial"/>
                <w:sz w:val="13"/>
                <w:szCs w:val="13"/>
                <w:color w:val="auto"/>
              </w:rPr>
              <w:t>1,291,167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tcPr>
          <w:p>
            <w:pPr>
              <w:jc w:val="right"/>
              <w:spacing w:after="0"/>
              <w:rPr>
                <w:sz w:val="20"/>
                <w:szCs w:val="20"/>
                <w:color w:val="auto"/>
              </w:rPr>
            </w:pPr>
            <w:r>
              <w:rPr>
                <w:rFonts w:ascii="Arial" w:cs="Arial" w:eastAsia="Arial" w:hAnsi="Arial"/>
                <w:sz w:val="13"/>
                <w:szCs w:val="13"/>
                <w:color w:val="auto"/>
              </w:rPr>
              <w:t>22,482</w:t>
            </w: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18.70</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4"/>
              </w:rPr>
              <w:t>2/7/2028</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tcPr>
          <w:p>
            <w:pPr>
              <w:jc w:val="right"/>
              <w:spacing w:after="0"/>
              <w:rPr>
                <w:sz w:val="20"/>
                <w:szCs w:val="20"/>
                <w:color w:val="auto"/>
              </w:rPr>
            </w:pPr>
            <w:r>
              <w:rPr>
                <w:rFonts w:ascii="Arial" w:cs="Arial" w:eastAsia="Arial" w:hAnsi="Arial"/>
                <w:sz w:val="13"/>
                <w:szCs w:val="13"/>
                <w:color w:val="auto"/>
              </w:rPr>
              <w:t>9,718</w:t>
            </w: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16.00</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6"/>
              </w:rPr>
              <w:t>3/15/2028</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3"/>
                <w:szCs w:val="13"/>
                <w:b w:val="1"/>
                <w:bCs w:val="1"/>
                <w:color w:val="005388"/>
              </w:rPr>
              <w:t>William J.</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1100" w:type="dxa"/>
            <w:vAlign w:val="bottom"/>
          </w:tcPr>
          <w:p>
            <w:pPr>
              <w:jc w:val="right"/>
              <w:spacing w:after="0"/>
              <w:rPr>
                <w:sz w:val="20"/>
                <w:szCs w:val="20"/>
                <w:color w:val="auto"/>
              </w:rPr>
            </w:pPr>
            <w:r>
              <w:rPr>
                <w:rFonts w:ascii="Arial" w:cs="Arial" w:eastAsia="Arial" w:hAnsi="Arial"/>
                <w:sz w:val="13"/>
                <w:szCs w:val="13"/>
                <w:color w:val="auto"/>
              </w:rPr>
              <w:t>23,392</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jc w:val="right"/>
              <w:ind w:right="78"/>
              <w:spacing w:after="0"/>
              <w:rPr>
                <w:sz w:val="20"/>
                <w:szCs w:val="20"/>
                <w:color w:val="auto"/>
              </w:rPr>
            </w:pPr>
            <w:r>
              <w:rPr>
                <w:rFonts w:ascii="Arial" w:cs="Arial" w:eastAsia="Arial" w:hAnsi="Arial"/>
                <w:sz w:val="13"/>
                <w:szCs w:val="13"/>
                <w:color w:val="auto"/>
              </w:rPr>
              <w:t>22.19</w:t>
            </w:r>
          </w:p>
        </w:tc>
        <w:tc>
          <w:tcPr>
            <w:tcW w:w="980" w:type="dxa"/>
            <w:vAlign w:val="bottom"/>
          </w:tcPr>
          <w:p>
            <w:pPr>
              <w:jc w:val="center"/>
              <w:ind w:right="38"/>
              <w:spacing w:after="0"/>
              <w:rPr>
                <w:sz w:val="20"/>
                <w:szCs w:val="20"/>
                <w:color w:val="auto"/>
              </w:rPr>
            </w:pPr>
            <w:r>
              <w:rPr>
                <w:rFonts w:ascii="Arial" w:cs="Arial" w:eastAsia="Arial" w:hAnsi="Arial"/>
                <w:sz w:val="13"/>
                <w:szCs w:val="13"/>
                <w:color w:val="auto"/>
                <w:w w:val="96"/>
              </w:rPr>
              <w:t>2/13/2029</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1100" w:type="dxa"/>
            <w:vAlign w:val="bottom"/>
          </w:tcPr>
          <w:p>
            <w:pPr>
              <w:ind w:left="20"/>
              <w:spacing w:after="0"/>
              <w:rPr>
                <w:sz w:val="20"/>
                <w:szCs w:val="20"/>
                <w:color w:val="auto"/>
              </w:rPr>
            </w:pPr>
            <w:r>
              <w:rPr>
                <w:rFonts w:ascii="Arial" w:cs="Arial" w:eastAsia="Arial" w:hAnsi="Arial"/>
                <w:sz w:val="13"/>
                <w:szCs w:val="13"/>
                <w:b w:val="1"/>
                <w:bCs w:val="1"/>
                <w:color w:val="005388"/>
              </w:rPr>
              <w:t>Leatherberry</w:t>
            </w: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5,050</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(2)</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205,990</w:t>
            </w: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2024</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13,175</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(3)</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537,408</w:t>
            </w:r>
          </w:p>
        </w:tc>
        <w:tc>
          <w:tcPr>
            <w:tcW w:w="900" w:type="dxa"/>
            <w:vAlign w:val="bottom"/>
          </w:tcPr>
          <w:p>
            <w:pPr>
              <w:jc w:val="right"/>
              <w:spacing w:after="0"/>
              <w:rPr>
                <w:sz w:val="20"/>
                <w:szCs w:val="20"/>
                <w:color w:val="auto"/>
              </w:rPr>
            </w:pPr>
            <w:r>
              <w:rPr>
                <w:rFonts w:ascii="Arial" w:cs="Arial" w:eastAsia="Arial" w:hAnsi="Arial"/>
                <w:sz w:val="13"/>
                <w:szCs w:val="13"/>
                <w:color w:val="auto"/>
              </w:rPr>
              <w:t>43,914</w:t>
            </w:r>
          </w:p>
        </w:tc>
        <w:tc>
          <w:tcPr>
            <w:tcW w:w="160" w:type="dxa"/>
            <w:vAlign w:val="bottom"/>
          </w:tcPr>
          <w:p>
            <w:pPr>
              <w:jc w:val="right"/>
              <w:ind w:right="19"/>
              <w:spacing w:after="0"/>
              <w:rPr>
                <w:sz w:val="20"/>
                <w:szCs w:val="20"/>
                <w:color w:val="auto"/>
              </w:rPr>
            </w:pPr>
            <w:r>
              <w:rPr>
                <w:rFonts w:ascii="Arial" w:cs="Arial" w:eastAsia="Arial" w:hAnsi="Arial"/>
                <w:sz w:val="8"/>
                <w:szCs w:val="8"/>
                <w:color w:val="auto"/>
                <w:w w:val="81"/>
              </w:rPr>
              <w:t>(4)</w:t>
            </w:r>
          </w:p>
        </w:tc>
        <w:tc>
          <w:tcPr>
            <w:tcW w:w="1140" w:type="dxa"/>
            <w:vAlign w:val="bottom"/>
          </w:tcPr>
          <w:p>
            <w:pPr>
              <w:jc w:val="right"/>
              <w:ind w:right="100"/>
              <w:spacing w:after="0"/>
              <w:rPr>
                <w:sz w:val="20"/>
                <w:szCs w:val="20"/>
                <w:color w:val="auto"/>
              </w:rPr>
            </w:pPr>
            <w:r>
              <w:rPr>
                <w:rFonts w:ascii="Arial" w:cs="Arial" w:eastAsia="Arial" w:hAnsi="Arial"/>
                <w:sz w:val="13"/>
                <w:szCs w:val="13"/>
                <w:color w:val="auto"/>
              </w:rPr>
              <w:t>1,791,252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w w:val="96"/>
              </w:rPr>
              <w:t>2025</w:t>
            </w: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19,677</w:t>
            </w:r>
          </w:p>
        </w:tc>
        <w:tc>
          <w:tcPr>
            <w:tcW w:w="180" w:type="dxa"/>
            <w:vAlign w:val="bottom"/>
          </w:tcPr>
          <w:p>
            <w:pPr>
              <w:jc w:val="right"/>
              <w:ind w:right="19"/>
              <w:spacing w:after="0"/>
              <w:rPr>
                <w:sz w:val="20"/>
                <w:szCs w:val="20"/>
                <w:color w:val="auto"/>
              </w:rPr>
            </w:pPr>
            <w:r>
              <w:rPr>
                <w:rFonts w:ascii="Arial" w:cs="Arial" w:eastAsia="Arial" w:hAnsi="Arial"/>
                <w:sz w:val="8"/>
                <w:szCs w:val="8"/>
                <w:color w:val="auto"/>
              </w:rPr>
              <w:t>(5)</w:t>
            </w:r>
          </w:p>
        </w:tc>
        <w:tc>
          <w:tcPr>
            <w:tcW w:w="840" w:type="dxa"/>
            <w:vAlign w:val="bottom"/>
          </w:tcPr>
          <w:p>
            <w:pPr>
              <w:jc w:val="right"/>
              <w:ind w:right="20"/>
              <w:spacing w:after="0"/>
              <w:rPr>
                <w:sz w:val="20"/>
                <w:szCs w:val="20"/>
                <w:color w:val="auto"/>
              </w:rPr>
            </w:pPr>
            <w:r>
              <w:rPr>
                <w:rFonts w:ascii="Arial" w:cs="Arial" w:eastAsia="Arial" w:hAnsi="Arial"/>
                <w:sz w:val="13"/>
                <w:szCs w:val="13"/>
                <w:color w:val="auto"/>
              </w:rPr>
              <w:t>802,625</w:t>
            </w:r>
          </w:p>
        </w:tc>
        <w:tc>
          <w:tcPr>
            <w:tcW w:w="900" w:type="dxa"/>
            <w:vAlign w:val="bottom"/>
          </w:tcPr>
          <w:p>
            <w:pPr>
              <w:jc w:val="right"/>
              <w:spacing w:after="0"/>
              <w:rPr>
                <w:sz w:val="20"/>
                <w:szCs w:val="20"/>
                <w:color w:val="auto"/>
              </w:rPr>
            </w:pPr>
            <w:r>
              <w:rPr>
                <w:rFonts w:ascii="Arial" w:cs="Arial" w:eastAsia="Arial" w:hAnsi="Arial"/>
                <w:sz w:val="13"/>
                <w:szCs w:val="13"/>
                <w:color w:val="auto"/>
              </w:rPr>
              <w:t>39,354</w:t>
            </w:r>
          </w:p>
        </w:tc>
        <w:tc>
          <w:tcPr>
            <w:tcW w:w="160" w:type="dxa"/>
            <w:vAlign w:val="bottom"/>
          </w:tcPr>
          <w:p>
            <w:pPr>
              <w:jc w:val="right"/>
              <w:ind w:right="19"/>
              <w:spacing w:after="0"/>
              <w:rPr>
                <w:sz w:val="20"/>
                <w:szCs w:val="20"/>
                <w:color w:val="auto"/>
              </w:rPr>
            </w:pPr>
            <w:r>
              <w:rPr>
                <w:rFonts w:ascii="Arial" w:cs="Arial" w:eastAsia="Arial" w:hAnsi="Arial"/>
                <w:sz w:val="8"/>
                <w:szCs w:val="8"/>
                <w:color w:val="auto"/>
                <w:w w:val="81"/>
              </w:rPr>
              <w:t>(6)</w:t>
            </w:r>
          </w:p>
        </w:tc>
        <w:tc>
          <w:tcPr>
            <w:tcW w:w="1140" w:type="dxa"/>
            <w:vAlign w:val="bottom"/>
          </w:tcPr>
          <w:p>
            <w:pPr>
              <w:jc w:val="right"/>
              <w:ind w:right="100"/>
              <w:spacing w:after="0"/>
              <w:rPr>
                <w:sz w:val="20"/>
                <w:szCs w:val="20"/>
                <w:color w:val="auto"/>
              </w:rPr>
            </w:pPr>
            <w:r>
              <w:rPr>
                <w:rFonts w:ascii="Arial" w:cs="Arial" w:eastAsia="Arial" w:hAnsi="Arial"/>
                <w:sz w:val="13"/>
                <w:szCs w:val="13"/>
                <w:color w:val="auto"/>
              </w:rPr>
              <w:t>1,605,250</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F5F5F5"/>
          </w:tcPr>
          <w:p>
            <w:pPr>
              <w:spacing w:after="0"/>
              <w:rPr>
                <w:sz w:val="15"/>
                <w:szCs w:val="15"/>
                <w:color w:val="auto"/>
              </w:rPr>
            </w:pPr>
          </w:p>
        </w:tc>
        <w:tc>
          <w:tcPr>
            <w:tcW w:w="1100" w:type="dxa"/>
            <w:vAlign w:val="bottom"/>
            <w:shd w:val="clear" w:color="auto" w:fill="F5F5F5"/>
          </w:tcPr>
          <w:p>
            <w:pPr>
              <w:spacing w:after="0"/>
              <w:rPr>
                <w:sz w:val="15"/>
                <w:szCs w:val="15"/>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2018</w:t>
            </w:r>
          </w:p>
        </w:tc>
        <w:tc>
          <w:tcPr>
            <w:tcW w:w="11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26,287</w:t>
            </w:r>
          </w:p>
        </w:tc>
        <w:tc>
          <w:tcPr>
            <w:tcW w:w="1300" w:type="dxa"/>
            <w:vAlign w:val="bottom"/>
            <w:shd w:val="clear" w:color="auto" w:fill="F5F5F5"/>
          </w:tcPr>
          <w:p>
            <w:pPr>
              <w:spacing w:after="0"/>
              <w:rPr>
                <w:sz w:val="15"/>
                <w:szCs w:val="15"/>
                <w:color w:val="auto"/>
              </w:rPr>
            </w:pPr>
          </w:p>
        </w:tc>
        <w:tc>
          <w:tcPr>
            <w:tcW w:w="1120" w:type="dxa"/>
            <w:vAlign w:val="bottom"/>
            <w:shd w:val="clear" w:color="auto" w:fill="F5F5F5"/>
          </w:tcPr>
          <w:p>
            <w:pPr>
              <w:spacing w:after="0"/>
              <w:rPr>
                <w:sz w:val="15"/>
                <w:szCs w:val="15"/>
                <w:color w:val="auto"/>
              </w:rPr>
            </w:pPr>
          </w:p>
        </w:tc>
        <w:tc>
          <w:tcPr>
            <w:tcW w:w="900" w:type="dxa"/>
            <w:vAlign w:val="bottom"/>
            <w:shd w:val="clear" w:color="auto" w:fill="F5F5F5"/>
          </w:tcPr>
          <w:p>
            <w:pPr>
              <w:jc w:val="right"/>
              <w:ind w:right="78"/>
              <w:spacing w:after="0"/>
              <w:rPr>
                <w:sz w:val="20"/>
                <w:szCs w:val="20"/>
                <w:color w:val="auto"/>
              </w:rPr>
            </w:pPr>
            <w:r>
              <w:rPr>
                <w:rFonts w:ascii="Arial" w:cs="Arial" w:eastAsia="Arial" w:hAnsi="Arial"/>
                <w:sz w:val="13"/>
                <w:szCs w:val="13"/>
                <w:color w:val="auto"/>
              </w:rPr>
              <w:t>16.25</w:t>
            </w:r>
          </w:p>
        </w:tc>
        <w:tc>
          <w:tcPr>
            <w:tcW w:w="980" w:type="dxa"/>
            <w:vAlign w:val="bottom"/>
            <w:shd w:val="clear" w:color="auto" w:fill="F5F5F5"/>
          </w:tcPr>
          <w:p>
            <w:pPr>
              <w:jc w:val="center"/>
              <w:ind w:right="38"/>
              <w:spacing w:after="0"/>
              <w:rPr>
                <w:sz w:val="20"/>
                <w:szCs w:val="20"/>
                <w:color w:val="auto"/>
              </w:rPr>
            </w:pPr>
            <w:r>
              <w:rPr>
                <w:rFonts w:ascii="Arial" w:cs="Arial" w:eastAsia="Arial" w:hAnsi="Arial"/>
                <w:sz w:val="13"/>
                <w:szCs w:val="13"/>
                <w:color w:val="auto"/>
                <w:w w:val="96"/>
              </w:rPr>
              <w:t>5/10/2028</w:t>
            </w:r>
          </w:p>
        </w:tc>
        <w:tc>
          <w:tcPr>
            <w:tcW w:w="780" w:type="dxa"/>
            <w:vAlign w:val="bottom"/>
            <w:shd w:val="clear" w:color="auto" w:fill="F5F5F5"/>
          </w:tcPr>
          <w:p>
            <w:pPr>
              <w:spacing w:after="0"/>
              <w:rPr>
                <w:sz w:val="15"/>
                <w:szCs w:val="15"/>
                <w:color w:val="auto"/>
              </w:rPr>
            </w:pPr>
          </w:p>
        </w:tc>
        <w:tc>
          <w:tcPr>
            <w:tcW w:w="180" w:type="dxa"/>
            <w:vAlign w:val="bottom"/>
            <w:shd w:val="clear" w:color="auto" w:fill="F5F5F5"/>
          </w:tcPr>
          <w:p>
            <w:pPr>
              <w:spacing w:after="0"/>
              <w:rPr>
                <w:sz w:val="15"/>
                <w:szCs w:val="15"/>
                <w:color w:val="auto"/>
              </w:rPr>
            </w:pPr>
          </w:p>
        </w:tc>
        <w:tc>
          <w:tcPr>
            <w:tcW w:w="840" w:type="dxa"/>
            <w:vAlign w:val="bottom"/>
            <w:shd w:val="clear" w:color="auto" w:fill="F5F5F5"/>
          </w:tcPr>
          <w:p>
            <w:pPr>
              <w:spacing w:after="0"/>
              <w:rPr>
                <w:sz w:val="15"/>
                <w:szCs w:val="15"/>
                <w:color w:val="auto"/>
              </w:rPr>
            </w:pPr>
          </w:p>
        </w:tc>
        <w:tc>
          <w:tcPr>
            <w:tcW w:w="900" w:type="dxa"/>
            <w:vAlign w:val="bottom"/>
            <w:shd w:val="clear" w:color="auto" w:fill="F5F5F5"/>
          </w:tcPr>
          <w:p>
            <w:pPr>
              <w:spacing w:after="0"/>
              <w:rPr>
                <w:sz w:val="15"/>
                <w:szCs w:val="15"/>
                <w:color w:val="auto"/>
              </w:rPr>
            </w:pPr>
          </w:p>
        </w:tc>
        <w:tc>
          <w:tcPr>
            <w:tcW w:w="160" w:type="dxa"/>
            <w:vAlign w:val="bottom"/>
            <w:shd w:val="clear" w:color="auto" w:fill="F5F5F5"/>
          </w:tcPr>
          <w:p>
            <w:pPr>
              <w:spacing w:after="0"/>
              <w:rPr>
                <w:sz w:val="15"/>
                <w:szCs w:val="15"/>
                <w:color w:val="auto"/>
              </w:rPr>
            </w:pPr>
          </w:p>
        </w:tc>
        <w:tc>
          <w:tcPr>
            <w:tcW w:w="114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F5F5F5"/>
          </w:tcPr>
          <w:p>
            <w:pPr>
              <w:spacing w:after="0"/>
              <w:rPr>
                <w:sz w:val="18"/>
                <w:szCs w:val="18"/>
                <w:color w:val="auto"/>
              </w:rPr>
            </w:pPr>
          </w:p>
        </w:tc>
        <w:tc>
          <w:tcPr>
            <w:tcW w:w="1100" w:type="dxa"/>
            <w:vAlign w:val="bottom"/>
            <w:shd w:val="clear" w:color="auto" w:fill="F5F5F5"/>
          </w:tcPr>
          <w:p>
            <w:pPr>
              <w:spacing w:after="0"/>
              <w:rPr>
                <w:sz w:val="18"/>
                <w:szCs w:val="18"/>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2019</w:t>
            </w:r>
          </w:p>
        </w:tc>
        <w:tc>
          <w:tcPr>
            <w:tcW w:w="11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14,111</w:t>
            </w:r>
          </w:p>
        </w:tc>
        <w:tc>
          <w:tcPr>
            <w:tcW w:w="1300" w:type="dxa"/>
            <w:vAlign w:val="bottom"/>
            <w:shd w:val="clear" w:color="auto" w:fill="F5F5F5"/>
          </w:tcPr>
          <w:p>
            <w:pPr>
              <w:spacing w:after="0"/>
              <w:rPr>
                <w:sz w:val="18"/>
                <w:szCs w:val="18"/>
                <w:color w:val="auto"/>
              </w:rPr>
            </w:pPr>
          </w:p>
        </w:tc>
        <w:tc>
          <w:tcPr>
            <w:tcW w:w="1120" w:type="dxa"/>
            <w:vAlign w:val="bottom"/>
            <w:shd w:val="clear" w:color="auto" w:fill="F5F5F5"/>
          </w:tcPr>
          <w:p>
            <w:pPr>
              <w:spacing w:after="0"/>
              <w:rPr>
                <w:sz w:val="18"/>
                <w:szCs w:val="18"/>
                <w:color w:val="auto"/>
              </w:rPr>
            </w:pPr>
          </w:p>
        </w:tc>
        <w:tc>
          <w:tcPr>
            <w:tcW w:w="900" w:type="dxa"/>
            <w:vAlign w:val="bottom"/>
            <w:shd w:val="clear" w:color="auto" w:fill="F5F5F5"/>
          </w:tcPr>
          <w:p>
            <w:pPr>
              <w:jc w:val="right"/>
              <w:ind w:right="78"/>
              <w:spacing w:after="0"/>
              <w:rPr>
                <w:sz w:val="20"/>
                <w:szCs w:val="20"/>
                <w:color w:val="auto"/>
              </w:rPr>
            </w:pPr>
            <w:r>
              <w:rPr>
                <w:rFonts w:ascii="Arial" w:cs="Arial" w:eastAsia="Arial" w:hAnsi="Arial"/>
                <w:sz w:val="13"/>
                <w:szCs w:val="13"/>
                <w:color w:val="auto"/>
              </w:rPr>
              <w:t>22.19</w:t>
            </w:r>
          </w:p>
        </w:tc>
        <w:tc>
          <w:tcPr>
            <w:tcW w:w="980" w:type="dxa"/>
            <w:vAlign w:val="bottom"/>
            <w:shd w:val="clear" w:color="auto" w:fill="F5F5F5"/>
          </w:tcPr>
          <w:p>
            <w:pPr>
              <w:jc w:val="center"/>
              <w:ind w:right="38"/>
              <w:spacing w:after="0"/>
              <w:rPr>
                <w:sz w:val="20"/>
                <w:szCs w:val="20"/>
                <w:color w:val="auto"/>
              </w:rPr>
            </w:pPr>
            <w:r>
              <w:rPr>
                <w:rFonts w:ascii="Arial" w:cs="Arial" w:eastAsia="Arial" w:hAnsi="Arial"/>
                <w:sz w:val="13"/>
                <w:szCs w:val="13"/>
                <w:color w:val="auto"/>
                <w:w w:val="96"/>
              </w:rPr>
              <w:t>2/13/2029</w:t>
            </w:r>
          </w:p>
        </w:tc>
        <w:tc>
          <w:tcPr>
            <w:tcW w:w="780" w:type="dxa"/>
            <w:vAlign w:val="bottom"/>
            <w:shd w:val="clear" w:color="auto" w:fill="F5F5F5"/>
          </w:tcPr>
          <w:p>
            <w:pPr>
              <w:spacing w:after="0"/>
              <w:rPr>
                <w:sz w:val="18"/>
                <w:szCs w:val="18"/>
                <w:color w:val="auto"/>
              </w:rPr>
            </w:pPr>
          </w:p>
        </w:tc>
        <w:tc>
          <w:tcPr>
            <w:tcW w:w="180" w:type="dxa"/>
            <w:vAlign w:val="bottom"/>
            <w:shd w:val="clear" w:color="auto" w:fill="F5F5F5"/>
          </w:tcPr>
          <w:p>
            <w:pPr>
              <w:spacing w:after="0"/>
              <w:rPr>
                <w:sz w:val="18"/>
                <w:szCs w:val="18"/>
                <w:color w:val="auto"/>
              </w:rPr>
            </w:pPr>
          </w:p>
        </w:tc>
        <w:tc>
          <w:tcPr>
            <w:tcW w:w="84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160" w:type="dxa"/>
            <w:vAlign w:val="bottom"/>
            <w:shd w:val="clear" w:color="auto" w:fill="F5F5F5"/>
          </w:tcPr>
          <w:p>
            <w:pPr>
              <w:spacing w:after="0"/>
              <w:rPr>
                <w:sz w:val="18"/>
                <w:szCs w:val="18"/>
                <w:color w:val="auto"/>
              </w:rPr>
            </w:pPr>
          </w:p>
        </w:tc>
        <w:tc>
          <w:tcPr>
            <w:tcW w:w="114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 w:type="dxa"/>
            <w:vAlign w:val="bottom"/>
            <w:shd w:val="clear" w:color="auto" w:fill="F5F5F5"/>
          </w:tcPr>
          <w:p>
            <w:pPr>
              <w:spacing w:after="0"/>
              <w:rPr>
                <w:sz w:val="19"/>
                <w:szCs w:val="19"/>
                <w:color w:val="auto"/>
              </w:rPr>
            </w:pPr>
          </w:p>
        </w:tc>
        <w:tc>
          <w:tcPr>
            <w:tcW w:w="110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005388"/>
              </w:rPr>
              <w:t>Robert Smith</w:t>
            </w: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2023</w:t>
            </w:r>
          </w:p>
        </w:tc>
        <w:tc>
          <w:tcPr>
            <w:tcW w:w="1100" w:type="dxa"/>
            <w:vAlign w:val="bottom"/>
            <w:shd w:val="clear" w:color="auto" w:fill="F5F5F5"/>
          </w:tcPr>
          <w:p>
            <w:pPr>
              <w:spacing w:after="0"/>
              <w:rPr>
                <w:sz w:val="19"/>
                <w:szCs w:val="19"/>
                <w:color w:val="auto"/>
              </w:rPr>
            </w:pPr>
          </w:p>
        </w:tc>
        <w:tc>
          <w:tcPr>
            <w:tcW w:w="1300" w:type="dxa"/>
            <w:vAlign w:val="bottom"/>
            <w:shd w:val="clear" w:color="auto" w:fill="F5F5F5"/>
          </w:tcPr>
          <w:p>
            <w:pPr>
              <w:spacing w:after="0"/>
              <w:rPr>
                <w:sz w:val="19"/>
                <w:szCs w:val="19"/>
                <w:color w:val="auto"/>
              </w:rPr>
            </w:pPr>
          </w:p>
        </w:tc>
        <w:tc>
          <w:tcPr>
            <w:tcW w:w="1120" w:type="dxa"/>
            <w:vAlign w:val="bottom"/>
            <w:shd w:val="clear" w:color="auto" w:fill="F5F5F5"/>
          </w:tcPr>
          <w:p>
            <w:pPr>
              <w:spacing w:after="0"/>
              <w:rPr>
                <w:sz w:val="19"/>
                <w:szCs w:val="19"/>
                <w:color w:val="auto"/>
              </w:rPr>
            </w:pPr>
          </w:p>
        </w:tc>
        <w:tc>
          <w:tcPr>
            <w:tcW w:w="900" w:type="dxa"/>
            <w:vAlign w:val="bottom"/>
            <w:shd w:val="clear" w:color="auto" w:fill="F5F5F5"/>
          </w:tcPr>
          <w:p>
            <w:pPr>
              <w:spacing w:after="0"/>
              <w:rPr>
                <w:sz w:val="19"/>
                <w:szCs w:val="19"/>
                <w:color w:val="auto"/>
              </w:rPr>
            </w:pPr>
          </w:p>
        </w:tc>
        <w:tc>
          <w:tcPr>
            <w:tcW w:w="980" w:type="dxa"/>
            <w:vAlign w:val="bottom"/>
            <w:shd w:val="clear" w:color="auto" w:fill="F5F5F5"/>
          </w:tcPr>
          <w:p>
            <w:pPr>
              <w:spacing w:after="0"/>
              <w:rPr>
                <w:sz w:val="19"/>
                <w:szCs w:val="19"/>
                <w:color w:val="auto"/>
              </w:rPr>
            </w:pPr>
          </w:p>
        </w:tc>
        <w:tc>
          <w:tcPr>
            <w:tcW w:w="7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3,859</w:t>
            </w:r>
          </w:p>
        </w:tc>
        <w:tc>
          <w:tcPr>
            <w:tcW w:w="18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rPr>
              <w:t>(2)</w:t>
            </w:r>
          </w:p>
        </w:tc>
        <w:tc>
          <w:tcPr>
            <w:tcW w:w="840" w:type="dxa"/>
            <w:vAlign w:val="bottom"/>
            <w:shd w:val="clear" w:color="auto" w:fill="F5F5F5"/>
          </w:tcPr>
          <w:p>
            <w:pPr>
              <w:jc w:val="right"/>
              <w:ind w:right="20"/>
              <w:spacing w:after="0"/>
              <w:rPr>
                <w:sz w:val="20"/>
                <w:szCs w:val="20"/>
                <w:color w:val="auto"/>
              </w:rPr>
            </w:pPr>
            <w:r>
              <w:rPr>
                <w:rFonts w:ascii="Arial" w:cs="Arial" w:eastAsia="Arial" w:hAnsi="Arial"/>
                <w:sz w:val="13"/>
                <w:szCs w:val="13"/>
                <w:color w:val="auto"/>
              </w:rPr>
              <w:t>157,409</w:t>
            </w:r>
          </w:p>
        </w:tc>
        <w:tc>
          <w:tcPr>
            <w:tcW w:w="900" w:type="dxa"/>
            <w:vAlign w:val="bottom"/>
            <w:shd w:val="clear" w:color="auto" w:fill="F5F5F5"/>
          </w:tcPr>
          <w:p>
            <w:pPr>
              <w:spacing w:after="0"/>
              <w:rPr>
                <w:sz w:val="19"/>
                <w:szCs w:val="19"/>
                <w:color w:val="auto"/>
              </w:rPr>
            </w:pPr>
          </w:p>
        </w:tc>
        <w:tc>
          <w:tcPr>
            <w:tcW w:w="160" w:type="dxa"/>
            <w:vAlign w:val="bottom"/>
            <w:shd w:val="clear" w:color="auto" w:fill="F5F5F5"/>
          </w:tcPr>
          <w:p>
            <w:pPr>
              <w:spacing w:after="0"/>
              <w:rPr>
                <w:sz w:val="19"/>
                <w:szCs w:val="19"/>
                <w:color w:val="auto"/>
              </w:rPr>
            </w:pPr>
          </w:p>
        </w:tc>
        <w:tc>
          <w:tcPr>
            <w:tcW w:w="1140" w:type="dxa"/>
            <w:vAlign w:val="bottom"/>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shd w:val="clear" w:color="auto" w:fill="F5F5F5"/>
          </w:tcPr>
          <w:p>
            <w:pPr>
              <w:spacing w:after="0"/>
              <w:rPr>
                <w:sz w:val="18"/>
                <w:szCs w:val="18"/>
                <w:color w:val="auto"/>
              </w:rPr>
            </w:pPr>
          </w:p>
        </w:tc>
        <w:tc>
          <w:tcPr>
            <w:tcW w:w="1100" w:type="dxa"/>
            <w:vAlign w:val="bottom"/>
            <w:shd w:val="clear" w:color="auto" w:fill="F5F5F5"/>
          </w:tcPr>
          <w:p>
            <w:pPr>
              <w:spacing w:after="0"/>
              <w:rPr>
                <w:sz w:val="18"/>
                <w:szCs w:val="18"/>
                <w:color w:val="auto"/>
              </w:rPr>
            </w:pPr>
          </w:p>
        </w:tc>
        <w:tc>
          <w:tcPr>
            <w:tcW w:w="660" w:type="dxa"/>
            <w:vAlign w:val="bottom"/>
            <w:shd w:val="clear" w:color="auto" w:fill="F5F5F5"/>
          </w:tcPr>
          <w:p>
            <w:pPr>
              <w:jc w:val="center"/>
              <w:spacing w:after="0"/>
              <w:rPr>
                <w:sz w:val="20"/>
                <w:szCs w:val="20"/>
                <w:color w:val="auto"/>
              </w:rPr>
            </w:pPr>
            <w:r>
              <w:rPr>
                <w:rFonts w:ascii="Arial" w:cs="Arial" w:eastAsia="Arial" w:hAnsi="Arial"/>
                <w:sz w:val="13"/>
                <w:szCs w:val="13"/>
                <w:color w:val="auto"/>
                <w:w w:val="96"/>
              </w:rPr>
              <w:t>2024</w:t>
            </w:r>
          </w:p>
        </w:tc>
        <w:tc>
          <w:tcPr>
            <w:tcW w:w="1100" w:type="dxa"/>
            <w:vAlign w:val="bottom"/>
            <w:shd w:val="clear" w:color="auto" w:fill="F5F5F5"/>
          </w:tcPr>
          <w:p>
            <w:pPr>
              <w:spacing w:after="0"/>
              <w:rPr>
                <w:sz w:val="18"/>
                <w:szCs w:val="18"/>
                <w:color w:val="auto"/>
              </w:rPr>
            </w:pPr>
          </w:p>
        </w:tc>
        <w:tc>
          <w:tcPr>
            <w:tcW w:w="1300" w:type="dxa"/>
            <w:vAlign w:val="bottom"/>
            <w:shd w:val="clear" w:color="auto" w:fill="F5F5F5"/>
          </w:tcPr>
          <w:p>
            <w:pPr>
              <w:spacing w:after="0"/>
              <w:rPr>
                <w:sz w:val="18"/>
                <w:szCs w:val="18"/>
                <w:color w:val="auto"/>
              </w:rPr>
            </w:pPr>
          </w:p>
        </w:tc>
        <w:tc>
          <w:tcPr>
            <w:tcW w:w="112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980" w:type="dxa"/>
            <w:vAlign w:val="bottom"/>
            <w:shd w:val="clear" w:color="auto" w:fill="F5F5F5"/>
          </w:tcPr>
          <w:p>
            <w:pPr>
              <w:spacing w:after="0"/>
              <w:rPr>
                <w:sz w:val="18"/>
                <w:szCs w:val="18"/>
                <w:color w:val="auto"/>
              </w:rPr>
            </w:pPr>
          </w:p>
        </w:tc>
        <w:tc>
          <w:tcPr>
            <w:tcW w:w="780" w:type="dxa"/>
            <w:vAlign w:val="bottom"/>
            <w:shd w:val="clear" w:color="auto" w:fill="F5F5F5"/>
          </w:tcPr>
          <w:p>
            <w:pPr>
              <w:jc w:val="right"/>
              <w:spacing w:after="0"/>
              <w:rPr>
                <w:sz w:val="20"/>
                <w:szCs w:val="20"/>
                <w:color w:val="auto"/>
              </w:rPr>
            </w:pPr>
            <w:r>
              <w:rPr>
                <w:rFonts w:ascii="Arial" w:cs="Arial" w:eastAsia="Arial" w:hAnsi="Arial"/>
                <w:sz w:val="13"/>
                <w:szCs w:val="13"/>
                <w:color w:val="auto"/>
              </w:rPr>
              <w:t>9,461</w:t>
            </w:r>
          </w:p>
        </w:tc>
        <w:tc>
          <w:tcPr>
            <w:tcW w:w="18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rPr>
              <w:t>(3)</w:t>
            </w:r>
          </w:p>
        </w:tc>
        <w:tc>
          <w:tcPr>
            <w:tcW w:w="840" w:type="dxa"/>
            <w:vAlign w:val="bottom"/>
            <w:shd w:val="clear" w:color="auto" w:fill="F5F5F5"/>
          </w:tcPr>
          <w:p>
            <w:pPr>
              <w:jc w:val="right"/>
              <w:ind w:right="20"/>
              <w:spacing w:after="0"/>
              <w:rPr>
                <w:sz w:val="20"/>
                <w:szCs w:val="20"/>
                <w:color w:val="auto"/>
              </w:rPr>
            </w:pPr>
            <w:r>
              <w:rPr>
                <w:rFonts w:ascii="Arial" w:cs="Arial" w:eastAsia="Arial" w:hAnsi="Arial"/>
                <w:sz w:val="13"/>
                <w:szCs w:val="13"/>
                <w:color w:val="auto"/>
              </w:rPr>
              <w:t>385,914</w:t>
            </w:r>
          </w:p>
        </w:tc>
        <w:tc>
          <w:tcPr>
            <w:tcW w:w="900" w:type="dxa"/>
            <w:vAlign w:val="bottom"/>
            <w:shd w:val="clear" w:color="auto" w:fill="F5F5F5"/>
          </w:tcPr>
          <w:p>
            <w:pPr>
              <w:jc w:val="right"/>
              <w:spacing w:after="0"/>
              <w:rPr>
                <w:sz w:val="20"/>
                <w:szCs w:val="20"/>
                <w:color w:val="auto"/>
              </w:rPr>
            </w:pPr>
            <w:r>
              <w:rPr>
                <w:rFonts w:ascii="Arial" w:cs="Arial" w:eastAsia="Arial" w:hAnsi="Arial"/>
                <w:sz w:val="13"/>
                <w:szCs w:val="13"/>
                <w:color w:val="auto"/>
              </w:rPr>
              <w:t>31,534</w:t>
            </w:r>
          </w:p>
        </w:tc>
        <w:tc>
          <w:tcPr>
            <w:tcW w:w="160" w:type="dxa"/>
            <w:vAlign w:val="bottom"/>
            <w:shd w:val="clear" w:color="auto" w:fill="F5F5F5"/>
          </w:tcPr>
          <w:p>
            <w:pPr>
              <w:jc w:val="right"/>
              <w:ind w:right="19"/>
              <w:spacing w:after="0"/>
              <w:rPr>
                <w:sz w:val="20"/>
                <w:szCs w:val="20"/>
                <w:color w:val="auto"/>
              </w:rPr>
            </w:pPr>
            <w:r>
              <w:rPr>
                <w:rFonts w:ascii="Arial" w:cs="Arial" w:eastAsia="Arial" w:hAnsi="Arial"/>
                <w:sz w:val="8"/>
                <w:szCs w:val="8"/>
                <w:color w:val="auto"/>
                <w:w w:val="81"/>
              </w:rPr>
              <w:t>(4)</w:t>
            </w:r>
          </w:p>
        </w:tc>
        <w:tc>
          <w:tcPr>
            <w:tcW w:w="1140" w:type="dxa"/>
            <w:vAlign w:val="bottom"/>
            <w:shd w:val="clear" w:color="auto" w:fill="F5F5F5"/>
          </w:tcPr>
          <w:p>
            <w:pPr>
              <w:jc w:val="right"/>
              <w:ind w:right="100"/>
              <w:spacing w:after="0"/>
              <w:rPr>
                <w:sz w:val="20"/>
                <w:szCs w:val="20"/>
                <w:color w:val="auto"/>
              </w:rPr>
            </w:pPr>
            <w:r>
              <w:rPr>
                <w:rFonts w:ascii="Arial" w:cs="Arial" w:eastAsia="Arial" w:hAnsi="Arial"/>
                <w:sz w:val="13"/>
                <w:szCs w:val="13"/>
                <w:color w:val="auto"/>
              </w:rPr>
              <w:t>1,286,272</w:t>
            </w:r>
          </w:p>
        </w:tc>
        <w:tc>
          <w:tcPr>
            <w:tcW w:w="0" w:type="dxa"/>
            <w:vAlign w:val="bottom"/>
          </w:tcPr>
          <w:p>
            <w:pPr>
              <w:spacing w:after="0"/>
              <w:rPr>
                <w:sz w:val="1"/>
                <w:szCs w:val="1"/>
                <w:color w:val="auto"/>
              </w:rPr>
            </w:pPr>
          </w:p>
        </w:tc>
      </w:tr>
      <w:tr>
        <w:trPr>
          <w:trHeight w:val="237"/>
        </w:trPr>
        <w:tc>
          <w:tcPr>
            <w:tcW w:w="80" w:type="dxa"/>
            <w:vAlign w:val="bottom"/>
            <w:tcBorders>
              <w:bottom w:val="single" w:sz="8" w:color="F5F5F5"/>
            </w:tcBorders>
            <w:shd w:val="clear" w:color="auto" w:fill="F5F5F5"/>
          </w:tcPr>
          <w:p>
            <w:pPr>
              <w:spacing w:after="0"/>
              <w:rPr>
                <w:sz w:val="20"/>
                <w:szCs w:val="20"/>
                <w:color w:val="auto"/>
              </w:rPr>
            </w:pPr>
          </w:p>
        </w:tc>
        <w:tc>
          <w:tcPr>
            <w:tcW w:w="1100" w:type="dxa"/>
            <w:vAlign w:val="bottom"/>
            <w:tcBorders>
              <w:bottom w:val="single" w:sz="8" w:color="F5F5F5"/>
            </w:tcBorders>
            <w:shd w:val="clear" w:color="auto" w:fill="F5F5F5"/>
          </w:tcPr>
          <w:p>
            <w:pPr>
              <w:spacing w:after="0"/>
              <w:rPr>
                <w:sz w:val="20"/>
                <w:szCs w:val="20"/>
                <w:color w:val="auto"/>
              </w:rPr>
            </w:pPr>
          </w:p>
        </w:tc>
        <w:tc>
          <w:tcPr>
            <w:tcW w:w="660" w:type="dxa"/>
            <w:vAlign w:val="bottom"/>
            <w:tcBorders>
              <w:bottom w:val="single" w:sz="8" w:color="F5F5F5"/>
            </w:tcBorders>
            <w:shd w:val="clear" w:color="auto" w:fill="F5F5F5"/>
          </w:tcPr>
          <w:p>
            <w:pPr>
              <w:jc w:val="center"/>
              <w:spacing w:after="0"/>
              <w:rPr>
                <w:sz w:val="20"/>
                <w:szCs w:val="20"/>
                <w:color w:val="auto"/>
              </w:rPr>
            </w:pPr>
            <w:r>
              <w:rPr>
                <w:rFonts w:ascii="Arial" w:cs="Arial" w:eastAsia="Arial" w:hAnsi="Arial"/>
                <w:sz w:val="13"/>
                <w:szCs w:val="13"/>
                <w:color w:val="auto"/>
                <w:w w:val="96"/>
              </w:rPr>
              <w:t>2025</w:t>
            </w:r>
          </w:p>
        </w:tc>
        <w:tc>
          <w:tcPr>
            <w:tcW w:w="1100" w:type="dxa"/>
            <w:vAlign w:val="bottom"/>
            <w:tcBorders>
              <w:bottom w:val="single" w:sz="8" w:color="F5F5F5"/>
            </w:tcBorders>
            <w:shd w:val="clear" w:color="auto" w:fill="F5F5F5"/>
          </w:tcPr>
          <w:p>
            <w:pPr>
              <w:spacing w:after="0"/>
              <w:rPr>
                <w:sz w:val="20"/>
                <w:szCs w:val="20"/>
                <w:color w:val="auto"/>
              </w:rPr>
            </w:pPr>
          </w:p>
        </w:tc>
        <w:tc>
          <w:tcPr>
            <w:tcW w:w="1300" w:type="dxa"/>
            <w:vAlign w:val="bottom"/>
            <w:tcBorders>
              <w:bottom w:val="single" w:sz="8" w:color="F5F5F5"/>
            </w:tcBorders>
            <w:shd w:val="clear" w:color="auto" w:fill="F5F5F5"/>
          </w:tcPr>
          <w:p>
            <w:pPr>
              <w:spacing w:after="0"/>
              <w:rPr>
                <w:sz w:val="20"/>
                <w:szCs w:val="20"/>
                <w:color w:val="auto"/>
              </w:rPr>
            </w:pPr>
          </w:p>
        </w:tc>
        <w:tc>
          <w:tcPr>
            <w:tcW w:w="1120" w:type="dxa"/>
            <w:vAlign w:val="bottom"/>
            <w:tcBorders>
              <w:bottom w:val="single" w:sz="8" w:color="F5F5F5"/>
            </w:tcBorders>
            <w:shd w:val="clear" w:color="auto" w:fill="F5F5F5"/>
          </w:tcPr>
          <w:p>
            <w:pPr>
              <w:spacing w:after="0"/>
              <w:rPr>
                <w:sz w:val="20"/>
                <w:szCs w:val="20"/>
                <w:color w:val="auto"/>
              </w:rPr>
            </w:pPr>
          </w:p>
        </w:tc>
        <w:tc>
          <w:tcPr>
            <w:tcW w:w="900" w:type="dxa"/>
            <w:vAlign w:val="bottom"/>
            <w:tcBorders>
              <w:bottom w:val="single" w:sz="8" w:color="F5F5F5"/>
            </w:tcBorders>
            <w:shd w:val="clear" w:color="auto" w:fill="F5F5F5"/>
          </w:tcPr>
          <w:p>
            <w:pPr>
              <w:spacing w:after="0"/>
              <w:rPr>
                <w:sz w:val="20"/>
                <w:szCs w:val="20"/>
                <w:color w:val="auto"/>
              </w:rPr>
            </w:pPr>
          </w:p>
        </w:tc>
        <w:tc>
          <w:tcPr>
            <w:tcW w:w="980" w:type="dxa"/>
            <w:vAlign w:val="bottom"/>
            <w:tcBorders>
              <w:bottom w:val="single" w:sz="8" w:color="F5F5F5"/>
            </w:tcBorders>
            <w:shd w:val="clear" w:color="auto" w:fill="F5F5F5"/>
          </w:tcPr>
          <w:p>
            <w:pPr>
              <w:spacing w:after="0"/>
              <w:rPr>
                <w:sz w:val="20"/>
                <w:szCs w:val="20"/>
                <w:color w:val="auto"/>
              </w:rPr>
            </w:pPr>
          </w:p>
        </w:tc>
        <w:tc>
          <w:tcPr>
            <w:tcW w:w="78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14,647</w:t>
            </w:r>
          </w:p>
        </w:tc>
        <w:tc>
          <w:tcPr>
            <w:tcW w:w="18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rPr>
              <w:t>(5)</w:t>
            </w:r>
          </w:p>
        </w:tc>
        <w:tc>
          <w:tcPr>
            <w:tcW w:w="840" w:type="dxa"/>
            <w:vAlign w:val="bottom"/>
            <w:tcBorders>
              <w:bottom w:val="single" w:sz="8" w:color="F5F5F5"/>
            </w:tcBorders>
            <w:shd w:val="clear" w:color="auto" w:fill="F5F5F5"/>
          </w:tcPr>
          <w:p>
            <w:pPr>
              <w:jc w:val="right"/>
              <w:ind w:right="20"/>
              <w:spacing w:after="0"/>
              <w:rPr>
                <w:sz w:val="20"/>
                <w:szCs w:val="20"/>
                <w:color w:val="auto"/>
              </w:rPr>
            </w:pPr>
            <w:r>
              <w:rPr>
                <w:rFonts w:ascii="Arial" w:cs="Arial" w:eastAsia="Arial" w:hAnsi="Arial"/>
                <w:sz w:val="13"/>
                <w:szCs w:val="13"/>
                <w:color w:val="auto"/>
              </w:rPr>
              <w:t>597,451</w:t>
            </w:r>
          </w:p>
        </w:tc>
        <w:tc>
          <w:tcPr>
            <w:tcW w:w="90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3"/>
                <w:szCs w:val="13"/>
                <w:color w:val="auto"/>
              </w:rPr>
              <w:t>29,294</w:t>
            </w:r>
          </w:p>
        </w:tc>
        <w:tc>
          <w:tcPr>
            <w:tcW w:w="160" w:type="dxa"/>
            <w:vAlign w:val="bottom"/>
            <w:tcBorders>
              <w:bottom w:val="single" w:sz="8" w:color="F5F5F5"/>
            </w:tcBorders>
            <w:shd w:val="clear" w:color="auto" w:fill="F5F5F5"/>
          </w:tcPr>
          <w:p>
            <w:pPr>
              <w:jc w:val="right"/>
              <w:ind w:right="19"/>
              <w:spacing w:after="0"/>
              <w:rPr>
                <w:sz w:val="20"/>
                <w:szCs w:val="20"/>
                <w:color w:val="auto"/>
              </w:rPr>
            </w:pPr>
            <w:r>
              <w:rPr>
                <w:rFonts w:ascii="Arial" w:cs="Arial" w:eastAsia="Arial" w:hAnsi="Arial"/>
                <w:sz w:val="8"/>
                <w:szCs w:val="8"/>
                <w:color w:val="auto"/>
                <w:w w:val="81"/>
              </w:rPr>
              <w:t>(6)</w:t>
            </w:r>
          </w:p>
        </w:tc>
        <w:tc>
          <w:tcPr>
            <w:tcW w:w="1140" w:type="dxa"/>
            <w:vAlign w:val="bottom"/>
            <w:tcBorders>
              <w:bottom w:val="single" w:sz="8" w:color="F5F5F5"/>
            </w:tcBorders>
            <w:shd w:val="clear" w:color="auto" w:fill="F5F5F5"/>
          </w:tcPr>
          <w:p>
            <w:pPr>
              <w:jc w:val="right"/>
              <w:ind w:right="100"/>
              <w:spacing w:after="0"/>
              <w:rPr>
                <w:sz w:val="20"/>
                <w:szCs w:val="20"/>
                <w:color w:val="auto"/>
              </w:rPr>
            </w:pPr>
            <w:r>
              <w:rPr>
                <w:rFonts w:ascii="Arial" w:cs="Arial" w:eastAsia="Arial" w:hAnsi="Arial"/>
                <w:sz w:val="13"/>
                <w:szCs w:val="13"/>
                <w:color w:val="auto"/>
              </w:rPr>
              <w:t>1,194,902</w:t>
            </w:r>
          </w:p>
        </w:tc>
        <w:tc>
          <w:tcPr>
            <w:tcW w:w="0" w:type="dxa"/>
            <w:vAlign w:val="bottom"/>
          </w:tcPr>
          <w:p>
            <w:pPr>
              <w:spacing w:after="0"/>
              <w:rPr>
                <w:sz w:val="1"/>
                <w:szCs w:val="1"/>
                <w:color w:val="auto"/>
              </w:rPr>
            </w:pPr>
          </w:p>
        </w:tc>
      </w:tr>
      <w:tr>
        <w:trPr>
          <w:trHeight w:val="20"/>
        </w:trPr>
        <w:tc>
          <w:tcPr>
            <w:tcW w:w="80" w:type="dxa"/>
            <w:vAlign w:val="bottom"/>
            <w:shd w:val="clear" w:color="auto" w:fill="DE762B"/>
          </w:tcPr>
          <w:p>
            <w:pPr>
              <w:spacing w:after="0" w:line="20" w:lineRule="exact"/>
              <w:rPr>
                <w:sz w:val="1"/>
                <w:szCs w:val="1"/>
                <w:color w:val="auto"/>
              </w:rPr>
            </w:pPr>
          </w:p>
        </w:tc>
        <w:tc>
          <w:tcPr>
            <w:tcW w:w="1100" w:type="dxa"/>
            <w:vAlign w:val="bottom"/>
            <w:shd w:val="clear" w:color="auto" w:fill="DE762B"/>
          </w:tcPr>
          <w:p>
            <w:pPr>
              <w:spacing w:after="0" w:line="20" w:lineRule="exact"/>
              <w:rPr>
                <w:sz w:val="1"/>
                <w:szCs w:val="1"/>
                <w:color w:val="auto"/>
              </w:rPr>
            </w:pPr>
          </w:p>
        </w:tc>
        <w:tc>
          <w:tcPr>
            <w:tcW w:w="660" w:type="dxa"/>
            <w:vAlign w:val="bottom"/>
            <w:shd w:val="clear" w:color="auto" w:fill="DE762B"/>
          </w:tcPr>
          <w:p>
            <w:pPr>
              <w:spacing w:after="0" w:line="20" w:lineRule="exact"/>
              <w:rPr>
                <w:sz w:val="1"/>
                <w:szCs w:val="1"/>
                <w:color w:val="auto"/>
              </w:rPr>
            </w:pPr>
          </w:p>
        </w:tc>
        <w:tc>
          <w:tcPr>
            <w:tcW w:w="1100" w:type="dxa"/>
            <w:vAlign w:val="bottom"/>
            <w:shd w:val="clear" w:color="auto" w:fill="DE762B"/>
          </w:tcPr>
          <w:p>
            <w:pPr>
              <w:spacing w:after="0" w:line="20" w:lineRule="exact"/>
              <w:rPr>
                <w:sz w:val="1"/>
                <w:szCs w:val="1"/>
                <w:color w:val="auto"/>
              </w:rPr>
            </w:pPr>
          </w:p>
        </w:tc>
        <w:tc>
          <w:tcPr>
            <w:tcW w:w="1300" w:type="dxa"/>
            <w:vAlign w:val="bottom"/>
            <w:shd w:val="clear" w:color="auto" w:fill="DE762B"/>
          </w:tcPr>
          <w:p>
            <w:pPr>
              <w:spacing w:after="0" w:line="20" w:lineRule="exact"/>
              <w:rPr>
                <w:sz w:val="1"/>
                <w:szCs w:val="1"/>
                <w:color w:val="auto"/>
              </w:rPr>
            </w:pPr>
          </w:p>
        </w:tc>
        <w:tc>
          <w:tcPr>
            <w:tcW w:w="1120" w:type="dxa"/>
            <w:vAlign w:val="bottom"/>
            <w:shd w:val="clear" w:color="auto" w:fill="DE762B"/>
          </w:tcPr>
          <w:p>
            <w:pPr>
              <w:spacing w:after="0" w:line="20" w:lineRule="exact"/>
              <w:rPr>
                <w:sz w:val="1"/>
                <w:szCs w:val="1"/>
                <w:color w:val="auto"/>
              </w:rPr>
            </w:pPr>
          </w:p>
        </w:tc>
        <w:tc>
          <w:tcPr>
            <w:tcW w:w="900" w:type="dxa"/>
            <w:vAlign w:val="bottom"/>
            <w:shd w:val="clear" w:color="auto" w:fill="DE762B"/>
          </w:tcPr>
          <w:p>
            <w:pPr>
              <w:spacing w:after="0" w:line="20" w:lineRule="exact"/>
              <w:rPr>
                <w:sz w:val="1"/>
                <w:szCs w:val="1"/>
                <w:color w:val="auto"/>
              </w:rPr>
            </w:pPr>
          </w:p>
        </w:tc>
        <w:tc>
          <w:tcPr>
            <w:tcW w:w="980" w:type="dxa"/>
            <w:vAlign w:val="bottom"/>
            <w:shd w:val="clear" w:color="auto" w:fill="DE762B"/>
          </w:tcPr>
          <w:p>
            <w:pPr>
              <w:spacing w:after="0" w:line="20" w:lineRule="exact"/>
              <w:rPr>
                <w:sz w:val="1"/>
                <w:szCs w:val="1"/>
                <w:color w:val="auto"/>
              </w:rPr>
            </w:pPr>
          </w:p>
        </w:tc>
        <w:tc>
          <w:tcPr>
            <w:tcW w:w="780" w:type="dxa"/>
            <w:vAlign w:val="bottom"/>
            <w:shd w:val="clear" w:color="auto" w:fill="DE762B"/>
          </w:tcPr>
          <w:p>
            <w:pPr>
              <w:spacing w:after="0" w:line="20" w:lineRule="exact"/>
              <w:rPr>
                <w:sz w:val="1"/>
                <w:szCs w:val="1"/>
                <w:color w:val="auto"/>
              </w:rPr>
            </w:pPr>
          </w:p>
        </w:tc>
        <w:tc>
          <w:tcPr>
            <w:tcW w:w="180" w:type="dxa"/>
            <w:vAlign w:val="bottom"/>
            <w:shd w:val="clear" w:color="auto" w:fill="DE762B"/>
          </w:tcPr>
          <w:p>
            <w:pPr>
              <w:spacing w:after="0" w:line="20" w:lineRule="exact"/>
              <w:rPr>
                <w:sz w:val="1"/>
                <w:szCs w:val="1"/>
                <w:color w:val="auto"/>
              </w:rPr>
            </w:pPr>
          </w:p>
        </w:tc>
        <w:tc>
          <w:tcPr>
            <w:tcW w:w="840" w:type="dxa"/>
            <w:vAlign w:val="bottom"/>
            <w:shd w:val="clear" w:color="auto" w:fill="DE762B"/>
          </w:tcPr>
          <w:p>
            <w:pPr>
              <w:spacing w:after="0" w:line="20" w:lineRule="exact"/>
              <w:rPr>
                <w:sz w:val="1"/>
                <w:szCs w:val="1"/>
                <w:color w:val="auto"/>
              </w:rPr>
            </w:pPr>
          </w:p>
        </w:tc>
        <w:tc>
          <w:tcPr>
            <w:tcW w:w="900" w:type="dxa"/>
            <w:vAlign w:val="bottom"/>
            <w:shd w:val="clear" w:color="auto" w:fill="DE762B"/>
          </w:tcPr>
          <w:p>
            <w:pPr>
              <w:spacing w:after="0" w:line="20" w:lineRule="exact"/>
              <w:rPr>
                <w:sz w:val="1"/>
                <w:szCs w:val="1"/>
                <w:color w:val="auto"/>
              </w:rPr>
            </w:pPr>
          </w:p>
        </w:tc>
        <w:tc>
          <w:tcPr>
            <w:tcW w:w="160" w:type="dxa"/>
            <w:vAlign w:val="bottom"/>
            <w:shd w:val="clear" w:color="auto" w:fill="DE762B"/>
          </w:tcPr>
          <w:p>
            <w:pPr>
              <w:spacing w:after="0" w:line="20" w:lineRule="exact"/>
              <w:rPr>
                <w:sz w:val="1"/>
                <w:szCs w:val="1"/>
                <w:color w:val="auto"/>
              </w:rPr>
            </w:pPr>
          </w:p>
        </w:tc>
        <w:tc>
          <w:tcPr>
            <w:tcW w:w="1140" w:type="dxa"/>
            <w:vAlign w:val="bottom"/>
            <w:shd w:val="clear" w:color="auto" w:fill="DE762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6378575</wp:posOffset>
            </wp:positionH>
            <wp:positionV relativeFrom="paragraph">
              <wp:posOffset>-3449320</wp:posOffset>
            </wp:positionV>
            <wp:extent cx="33655" cy="3454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345440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-3449320</wp:posOffset>
            </wp:positionV>
            <wp:extent cx="34290" cy="3454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5170170</wp:posOffset>
            </wp:positionH>
            <wp:positionV relativeFrom="paragraph">
              <wp:posOffset>-3449320</wp:posOffset>
            </wp:positionV>
            <wp:extent cx="34290" cy="3454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4570095</wp:posOffset>
            </wp:positionH>
            <wp:positionV relativeFrom="paragraph">
              <wp:posOffset>-3449320</wp:posOffset>
            </wp:positionV>
            <wp:extent cx="34290" cy="3454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-3449320</wp:posOffset>
            </wp:positionV>
            <wp:extent cx="33655" cy="3454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3454400"/>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-3449320</wp:posOffset>
            </wp:positionV>
            <wp:extent cx="33655" cy="3454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3454400"/>
                    </a:xfrm>
                    <a:prstGeom prst="rect">
                      <a:avLst/>
                    </a:prstGeom>
                    <a:noFill/>
                  </pic:spPr>
                </pic:pic>
              </a:graphicData>
            </a:graphic>
          </wp:anchor>
        </w:drawing>
        <w:drawing>
          <wp:anchor simplePos="0" relativeHeight="251657728" behindDoc="1" locked="0" layoutInCell="0" allowOverlap="1">
            <wp:simplePos x="0" y="0"/>
            <wp:positionH relativeFrom="column">
              <wp:posOffset>2684145</wp:posOffset>
            </wp:positionH>
            <wp:positionV relativeFrom="paragraph">
              <wp:posOffset>-3449320</wp:posOffset>
            </wp:positionV>
            <wp:extent cx="34290" cy="3454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1852295</wp:posOffset>
            </wp:positionH>
            <wp:positionV relativeFrom="paragraph">
              <wp:posOffset>-3449320</wp:posOffset>
            </wp:positionV>
            <wp:extent cx="34290" cy="3454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1149350</wp:posOffset>
            </wp:positionH>
            <wp:positionV relativeFrom="paragraph">
              <wp:posOffset>-3449320</wp:posOffset>
            </wp:positionV>
            <wp:extent cx="34290" cy="3454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737870</wp:posOffset>
            </wp:positionH>
            <wp:positionV relativeFrom="paragraph">
              <wp:posOffset>-3449320</wp:posOffset>
            </wp:positionV>
            <wp:extent cx="34290" cy="3454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3454400"/>
                    </a:xfrm>
                    <a:prstGeom prst="rect">
                      <a:avLst/>
                    </a:prstGeom>
                    <a:noFill/>
                  </pic:spPr>
                </pic:pic>
              </a:graphicData>
            </a:graphic>
          </wp:anchor>
        </w:drawing>
        <w:drawing>
          <wp:anchor simplePos="0" relativeHeight="251657728" behindDoc="1" locked="0" layoutInCell="0" allowOverlap="1">
            <wp:simplePos x="0" y="0"/>
            <wp:positionH relativeFrom="column">
              <wp:posOffset>1162050</wp:posOffset>
            </wp:positionH>
            <wp:positionV relativeFrom="paragraph">
              <wp:posOffset>-4585335</wp:posOffset>
            </wp:positionV>
            <wp:extent cx="59747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74715" cy="8255"/>
                    </a:xfrm>
                    <a:prstGeom prst="rect">
                      <a:avLst/>
                    </a:prstGeom>
                    <a:noFill/>
                  </pic:spPr>
                </pic:pic>
              </a:graphicData>
            </a:graphic>
          </wp:anchor>
        </w:drawing>
      </w:r>
    </w:p>
    <w:p>
      <w:pPr>
        <w:spacing w:after="0" w:line="138" w:lineRule="exact"/>
        <w:rPr>
          <w:sz w:val="20"/>
          <w:szCs w:val="20"/>
          <w:color w:val="auto"/>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The value is based on the $40.79 Closing Price of our common stock on NASDAQ on 12/31/2025 multiplied by the number of unvested RSUs or PRSUs, as applicable, as of 12/31/2025.</w:t>
      </w:r>
    </w:p>
    <w:p>
      <w:pPr>
        <w:spacing w:after="0" w:line="66" w:lineRule="exact"/>
        <w:rPr>
          <w:rFonts w:ascii="Arial" w:cs="Arial" w:eastAsia="Arial" w:hAnsi="Arial"/>
          <w:sz w:val="13"/>
          <w:szCs w:val="13"/>
          <w:color w:val="6D6D6D"/>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These RSUs vested on 2/8/2026.</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Two-third of these RSUs vested on 2/7/2026, with the remaining third eligible to vest on 2/7/2027.</w:t>
      </w:r>
    </w:p>
    <w:p>
      <w:pPr>
        <w:spacing w:after="0" w:line="53" w:lineRule="exact"/>
        <w:rPr>
          <w:rFonts w:ascii="Arial" w:cs="Arial" w:eastAsia="Arial" w:hAnsi="Arial"/>
          <w:sz w:val="13"/>
          <w:szCs w:val="13"/>
          <w:color w:val="6D6D6D"/>
        </w:rPr>
      </w:pPr>
    </w:p>
    <w:p>
      <w:pPr>
        <w:ind w:left="260" w:right="80" w:hanging="252"/>
        <w:spacing w:after="0" w:line="254" w:lineRule="auto"/>
        <w:tabs>
          <w:tab w:leader="none" w:pos="257"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Represents February 7, 2024 PRSU award (or the May 8, 2024 PRSU award for Ms. Swithenbank), which is eligible to vest after the Performance Period ends on December 31, 2026, subject to continued employment with the Company through the vesting date, with the percentage of the PRSUs that are eligible to vest dependent on the Company meeting BVPS growth targets specified in the award. The amount in the table assumes maximum performance. See "</w:t>
      </w:r>
      <w:r>
        <w:rPr>
          <w:rFonts w:ascii="Arial" w:cs="Arial" w:eastAsia="Arial" w:hAnsi="Arial"/>
          <w:sz w:val="13"/>
          <w:szCs w:val="13"/>
          <w:i w:val="1"/>
          <w:iCs w:val="1"/>
          <w:color w:val="6D6D6D"/>
        </w:rPr>
        <w:t>Compensation Discussion and Analysis — Elements of Executive Compensation Program — Compensation Program</w:t>
      </w:r>
      <w:r>
        <w:rPr>
          <w:rFonts w:ascii="Arial" w:cs="Arial" w:eastAsia="Arial" w:hAnsi="Arial"/>
          <w:sz w:val="13"/>
          <w:szCs w:val="13"/>
          <w:color w:val="6D6D6D"/>
        </w:rPr>
        <w:t xml:space="preserve"> </w:t>
      </w:r>
      <w:r>
        <w:rPr>
          <w:rFonts w:ascii="Arial" w:cs="Arial" w:eastAsia="Arial" w:hAnsi="Arial"/>
          <w:sz w:val="13"/>
          <w:szCs w:val="13"/>
          <w:i w:val="1"/>
          <w:iCs w:val="1"/>
          <w:color w:val="6D6D6D"/>
        </w:rPr>
        <w:t>Details — Long-Term Incentive Program &amp; BVPS Growth Targets</w:t>
      </w:r>
      <w:r>
        <w:rPr>
          <w:rFonts w:ascii="Arial" w:cs="Arial" w:eastAsia="Arial" w:hAnsi="Arial"/>
          <w:sz w:val="13"/>
          <w:szCs w:val="13"/>
          <w:color w:val="6D6D6D"/>
        </w:rPr>
        <w:t>," above for a description of such NEOs' 2024 PRSU awards.</w:t>
      </w:r>
    </w:p>
    <w:p>
      <w:pPr>
        <w:spacing w:after="0" w:line="28" w:lineRule="exact"/>
        <w:rPr>
          <w:rFonts w:ascii="Arial" w:cs="Arial" w:eastAsia="Arial" w:hAnsi="Arial"/>
          <w:sz w:val="13"/>
          <w:szCs w:val="13"/>
          <w:color w:val="6D6D6D"/>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40% of these RSUs will vest on 2/12/2026, with another 40% eligible to vest on 2/12/2027 and the remaining 20% eligible to vest on 2/12/2028.</w:t>
      </w:r>
    </w:p>
    <w:p>
      <w:pPr>
        <w:spacing w:after="0" w:line="53" w:lineRule="exact"/>
        <w:rPr>
          <w:rFonts w:ascii="Arial" w:cs="Arial" w:eastAsia="Arial" w:hAnsi="Arial"/>
          <w:sz w:val="13"/>
          <w:szCs w:val="13"/>
          <w:color w:val="6D6D6D"/>
        </w:rPr>
      </w:pPr>
    </w:p>
    <w:p>
      <w:pPr>
        <w:ind w:left="260" w:hanging="252"/>
        <w:spacing w:after="0" w:line="254" w:lineRule="auto"/>
        <w:tabs>
          <w:tab w:leader="none" w:pos="257"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Represents February 12, 2025 PRSU award, which is eligible to vest after the Performance Period ends on December 31, 2027, subject to continued employment with the Company through the vesting date, with the percentage of the PRSUs that are eligible to vest dependent on the Company meeting BVPS growth targets specified in the award. The amount in the table assumes maximum performance. See "</w:t>
      </w:r>
      <w:r>
        <w:rPr>
          <w:rFonts w:ascii="Arial" w:cs="Arial" w:eastAsia="Arial" w:hAnsi="Arial"/>
          <w:sz w:val="13"/>
          <w:szCs w:val="13"/>
          <w:i w:val="1"/>
          <w:iCs w:val="1"/>
          <w:color w:val="6D6D6D"/>
        </w:rPr>
        <w:t>Compensation Discussion and Analysis — Elements of Executive Compensation Program — Compensation Program Details — Long-Term Incentive Program &amp; BVPS Growth</w:t>
      </w:r>
      <w:r>
        <w:rPr>
          <w:rFonts w:ascii="Arial" w:cs="Arial" w:eastAsia="Arial" w:hAnsi="Arial"/>
          <w:sz w:val="13"/>
          <w:szCs w:val="13"/>
          <w:color w:val="6D6D6D"/>
        </w:rPr>
        <w:t xml:space="preserve"> </w:t>
      </w:r>
      <w:r>
        <w:rPr>
          <w:rFonts w:ascii="Arial" w:cs="Arial" w:eastAsia="Arial" w:hAnsi="Arial"/>
          <w:sz w:val="13"/>
          <w:szCs w:val="13"/>
          <w:i w:val="1"/>
          <w:iCs w:val="1"/>
          <w:color w:val="6D6D6D"/>
        </w:rPr>
        <w:t>Targets</w:t>
      </w:r>
      <w:r>
        <w:rPr>
          <w:rFonts w:ascii="Arial" w:cs="Arial" w:eastAsia="Arial" w:hAnsi="Arial"/>
          <w:sz w:val="13"/>
          <w:szCs w:val="13"/>
          <w:color w:val="6D6D6D"/>
        </w:rPr>
        <w:t>," above for a description of such NEOs' 2025 PRSU awards.</w:t>
      </w:r>
    </w:p>
    <w:p>
      <w:pPr>
        <w:spacing w:after="0" w:line="28" w:lineRule="exact"/>
        <w:rPr>
          <w:rFonts w:ascii="Arial" w:cs="Arial" w:eastAsia="Arial" w:hAnsi="Arial"/>
          <w:sz w:val="13"/>
          <w:szCs w:val="13"/>
          <w:color w:val="6D6D6D"/>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One-third of these RSUs vested on 2/7/2025, with the second third eligible to vest on 2/7/2026 and the remaining third eligible to vest on 2/7/2027.</w:t>
      </w:r>
    </w:p>
    <w:p>
      <w:pPr>
        <w:spacing w:after="0" w:line="53" w:lineRule="exact"/>
        <w:rPr>
          <w:rFonts w:ascii="Arial" w:cs="Arial" w:eastAsia="Arial" w:hAnsi="Arial"/>
          <w:sz w:val="13"/>
          <w:szCs w:val="13"/>
          <w:color w:val="6D6D6D"/>
        </w:rPr>
      </w:pPr>
    </w:p>
    <w:p>
      <w:pPr>
        <w:ind w:left="240" w:hanging="232"/>
        <w:spacing w:after="0"/>
        <w:tabs>
          <w:tab w:leader="none" w:pos="240" w:val="left"/>
        </w:tabs>
        <w:numPr>
          <w:ilvl w:val="0"/>
          <w:numId w:val="61"/>
        </w:numPr>
        <w:rPr>
          <w:rFonts w:ascii="Arial" w:cs="Arial" w:eastAsia="Arial" w:hAnsi="Arial"/>
          <w:sz w:val="13"/>
          <w:szCs w:val="13"/>
          <w:color w:val="6D6D6D"/>
        </w:rPr>
      </w:pPr>
      <w:r>
        <w:rPr>
          <w:rFonts w:ascii="Arial" w:cs="Arial" w:eastAsia="Arial" w:hAnsi="Arial"/>
          <w:sz w:val="13"/>
          <w:szCs w:val="13"/>
          <w:color w:val="6D6D6D"/>
        </w:rPr>
        <w:t>40% of these RSUs vested on 5/1/2025, with another 40% eligible to vest on 5/1/2026 and the remaining 20% eligible to vest on 5/1/2027.</w:t>
      </w:r>
    </w:p>
    <w:p>
      <w:pPr>
        <w:spacing w:after="0" w:line="30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52</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0C2940"/>
        </w:rPr>
        <w:t>OPTION EXERCISES AND STOCK VESTED DURING FISCAL YEAR 2025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80" w:type="dxa"/>
            <w:vAlign w:val="bottom"/>
            <w:shd w:val="clear" w:color="auto" w:fill="0C2940"/>
          </w:tcPr>
          <w:p>
            <w:pPr>
              <w:spacing w:after="0"/>
              <w:rPr>
                <w:sz w:val="18"/>
                <w:szCs w:val="18"/>
                <w:color w:val="auto"/>
              </w:rPr>
            </w:pPr>
          </w:p>
        </w:tc>
        <w:tc>
          <w:tcPr>
            <w:tcW w:w="2980" w:type="dxa"/>
            <w:vAlign w:val="bottom"/>
            <w:shd w:val="clear" w:color="auto" w:fill="0C2940"/>
          </w:tcPr>
          <w:p>
            <w:pPr>
              <w:ind w:left="1600"/>
              <w:spacing w:after="0"/>
              <w:rPr>
                <w:sz w:val="20"/>
                <w:szCs w:val="20"/>
                <w:color w:val="auto"/>
              </w:rPr>
            </w:pPr>
            <w:r>
              <w:rPr>
                <w:rFonts w:ascii="Arial" w:cs="Arial" w:eastAsia="Arial" w:hAnsi="Arial"/>
                <w:sz w:val="14"/>
                <w:szCs w:val="14"/>
                <w:color w:val="FFFFFF"/>
              </w:rPr>
              <w:t>OPTION AWARDS</w:t>
            </w:r>
          </w:p>
        </w:tc>
        <w:tc>
          <w:tcPr>
            <w:tcW w:w="1840" w:type="dxa"/>
            <w:vAlign w:val="bottom"/>
            <w:shd w:val="clear" w:color="auto" w:fill="0C2940"/>
          </w:tcPr>
          <w:p>
            <w:pPr>
              <w:spacing w:after="0"/>
              <w:rPr>
                <w:sz w:val="18"/>
                <w:szCs w:val="18"/>
                <w:color w:val="auto"/>
              </w:rPr>
            </w:pPr>
          </w:p>
        </w:tc>
        <w:tc>
          <w:tcPr>
            <w:tcW w:w="2600" w:type="dxa"/>
            <w:vAlign w:val="bottom"/>
            <w:shd w:val="clear" w:color="auto" w:fill="0C2940"/>
          </w:tcPr>
          <w:p>
            <w:pPr>
              <w:jc w:val="right"/>
              <w:ind w:right="111"/>
              <w:spacing w:after="0"/>
              <w:rPr>
                <w:sz w:val="20"/>
                <w:szCs w:val="20"/>
                <w:color w:val="auto"/>
              </w:rPr>
            </w:pPr>
            <w:r>
              <w:rPr>
                <w:rFonts w:ascii="Arial" w:cs="Arial" w:eastAsia="Arial" w:hAnsi="Arial"/>
                <w:sz w:val="14"/>
                <w:szCs w:val="14"/>
                <w:color w:val="FFFFFF"/>
              </w:rPr>
              <w:t>STOCK AWARDS</w:t>
            </w:r>
          </w:p>
        </w:tc>
        <w:tc>
          <w:tcPr>
            <w:tcW w:w="1500" w:type="dxa"/>
            <w:vAlign w:val="bottom"/>
            <w:shd w:val="clear" w:color="auto" w:fill="0C2940"/>
          </w:tcPr>
          <w:p>
            <w:pPr>
              <w:spacing w:after="0"/>
              <w:rPr>
                <w:sz w:val="18"/>
                <w:szCs w:val="18"/>
                <w:color w:val="auto"/>
              </w:rPr>
            </w:pPr>
          </w:p>
        </w:tc>
      </w:tr>
      <w:tr>
        <w:trPr>
          <w:trHeight w:val="226"/>
        </w:trPr>
        <w:tc>
          <w:tcPr>
            <w:tcW w:w="2280" w:type="dxa"/>
            <w:vAlign w:val="bottom"/>
            <w:shd w:val="clear" w:color="auto" w:fill="0C2940"/>
          </w:tcPr>
          <w:p>
            <w:pPr>
              <w:spacing w:after="0"/>
              <w:rPr>
                <w:sz w:val="19"/>
                <w:szCs w:val="19"/>
                <w:color w:val="auto"/>
              </w:rPr>
            </w:pPr>
          </w:p>
        </w:tc>
        <w:tc>
          <w:tcPr>
            <w:tcW w:w="2980" w:type="dxa"/>
            <w:vAlign w:val="bottom"/>
            <w:shd w:val="clear" w:color="auto" w:fill="0C2940"/>
          </w:tcPr>
          <w:p>
            <w:pPr>
              <w:ind w:left="1280"/>
              <w:spacing w:after="0"/>
              <w:rPr>
                <w:sz w:val="20"/>
                <w:szCs w:val="20"/>
                <w:color w:val="auto"/>
              </w:rPr>
            </w:pPr>
            <w:r>
              <w:rPr>
                <w:rFonts w:ascii="Arial" w:cs="Arial" w:eastAsia="Arial" w:hAnsi="Arial"/>
                <w:sz w:val="14"/>
                <w:szCs w:val="14"/>
                <w:color w:val="FFFFFF"/>
              </w:rPr>
              <w:t>NUMBER OF</w:t>
            </w:r>
          </w:p>
        </w:tc>
        <w:tc>
          <w:tcPr>
            <w:tcW w:w="1840" w:type="dxa"/>
            <w:vAlign w:val="bottom"/>
            <w:shd w:val="clear" w:color="auto" w:fill="0C2940"/>
          </w:tcPr>
          <w:p>
            <w:pPr>
              <w:spacing w:after="0"/>
              <w:rPr>
                <w:sz w:val="19"/>
                <w:szCs w:val="19"/>
                <w:color w:val="auto"/>
              </w:rPr>
            </w:pPr>
          </w:p>
        </w:tc>
        <w:tc>
          <w:tcPr>
            <w:tcW w:w="2600" w:type="dxa"/>
            <w:vAlign w:val="bottom"/>
            <w:shd w:val="clear" w:color="auto" w:fill="0C2940"/>
          </w:tcPr>
          <w:p>
            <w:pPr>
              <w:jc w:val="right"/>
              <w:ind w:right="711"/>
              <w:spacing w:after="0"/>
              <w:rPr>
                <w:sz w:val="20"/>
                <w:szCs w:val="20"/>
                <w:color w:val="auto"/>
              </w:rPr>
            </w:pPr>
            <w:r>
              <w:rPr>
                <w:rFonts w:ascii="Arial" w:cs="Arial" w:eastAsia="Arial" w:hAnsi="Arial"/>
                <w:sz w:val="14"/>
                <w:szCs w:val="14"/>
                <w:color w:val="FFFFFF"/>
              </w:rPr>
              <w:t>NUMBER OF</w:t>
            </w:r>
          </w:p>
        </w:tc>
        <w:tc>
          <w:tcPr>
            <w:tcW w:w="1500" w:type="dxa"/>
            <w:vAlign w:val="bottom"/>
            <w:shd w:val="clear" w:color="auto" w:fill="0C2940"/>
          </w:tcPr>
          <w:p>
            <w:pPr>
              <w:spacing w:after="0"/>
              <w:rPr>
                <w:sz w:val="19"/>
                <w:szCs w:val="19"/>
                <w:color w:val="auto"/>
              </w:rPr>
            </w:pPr>
          </w:p>
        </w:tc>
      </w:tr>
      <w:tr>
        <w:trPr>
          <w:trHeight w:val="176"/>
        </w:trPr>
        <w:tc>
          <w:tcPr>
            <w:tcW w:w="2280" w:type="dxa"/>
            <w:vAlign w:val="bottom"/>
            <w:shd w:val="clear" w:color="auto" w:fill="0C2940"/>
          </w:tcPr>
          <w:p>
            <w:pPr>
              <w:spacing w:after="0"/>
              <w:rPr>
                <w:sz w:val="15"/>
                <w:szCs w:val="15"/>
                <w:color w:val="auto"/>
              </w:rPr>
            </w:pPr>
          </w:p>
        </w:tc>
        <w:tc>
          <w:tcPr>
            <w:tcW w:w="2980" w:type="dxa"/>
            <w:vAlign w:val="bottom"/>
            <w:shd w:val="clear" w:color="auto" w:fill="0C2940"/>
          </w:tcPr>
          <w:p>
            <w:pPr>
              <w:jc w:val="right"/>
              <w:ind w:right="728"/>
              <w:spacing w:after="0"/>
              <w:rPr>
                <w:sz w:val="20"/>
                <w:szCs w:val="20"/>
                <w:color w:val="auto"/>
              </w:rPr>
            </w:pPr>
            <w:r>
              <w:rPr>
                <w:rFonts w:ascii="Arial" w:cs="Arial" w:eastAsia="Arial" w:hAnsi="Arial"/>
                <w:sz w:val="14"/>
                <w:szCs w:val="14"/>
                <w:color w:val="FFFFFF"/>
              </w:rPr>
              <w:t>SHARES ACQUIRED</w:t>
            </w:r>
          </w:p>
        </w:tc>
        <w:tc>
          <w:tcPr>
            <w:tcW w:w="1840" w:type="dxa"/>
            <w:vAlign w:val="bottom"/>
            <w:shd w:val="clear" w:color="auto" w:fill="0C2940"/>
          </w:tcPr>
          <w:p>
            <w:pPr>
              <w:jc w:val="right"/>
              <w:ind w:right="368"/>
              <w:spacing w:after="0"/>
              <w:rPr>
                <w:sz w:val="20"/>
                <w:szCs w:val="20"/>
                <w:color w:val="auto"/>
              </w:rPr>
            </w:pPr>
            <w:r>
              <w:rPr>
                <w:rFonts w:ascii="Arial" w:cs="Arial" w:eastAsia="Arial" w:hAnsi="Arial"/>
                <w:sz w:val="14"/>
                <w:szCs w:val="14"/>
                <w:color w:val="FFFFFF"/>
              </w:rPr>
              <w:t>VALUE REALIZED</w:t>
            </w:r>
          </w:p>
        </w:tc>
        <w:tc>
          <w:tcPr>
            <w:tcW w:w="2600" w:type="dxa"/>
            <w:vAlign w:val="bottom"/>
            <w:shd w:val="clear" w:color="auto" w:fill="0C2940"/>
          </w:tcPr>
          <w:p>
            <w:pPr>
              <w:jc w:val="right"/>
              <w:ind w:right="711"/>
              <w:spacing w:after="0"/>
              <w:rPr>
                <w:sz w:val="20"/>
                <w:szCs w:val="20"/>
                <w:color w:val="auto"/>
              </w:rPr>
            </w:pPr>
            <w:r>
              <w:rPr>
                <w:rFonts w:ascii="Arial" w:cs="Arial" w:eastAsia="Arial" w:hAnsi="Arial"/>
                <w:sz w:val="14"/>
                <w:szCs w:val="14"/>
                <w:color w:val="FFFFFF"/>
              </w:rPr>
              <w:t>SHARES ACQUIRED</w:t>
            </w:r>
          </w:p>
        </w:tc>
        <w:tc>
          <w:tcPr>
            <w:tcW w:w="150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VALUE REALIZED</w:t>
            </w:r>
          </w:p>
        </w:tc>
      </w:tr>
      <w:tr>
        <w:trPr>
          <w:trHeight w:val="162"/>
        </w:trPr>
        <w:tc>
          <w:tcPr>
            <w:tcW w:w="2280" w:type="dxa"/>
            <w:vAlign w:val="bottom"/>
            <w:shd w:val="clear" w:color="auto" w:fill="0C2940"/>
          </w:tcPr>
          <w:p>
            <w:pPr>
              <w:spacing w:after="0"/>
              <w:rPr>
                <w:sz w:val="14"/>
                <w:szCs w:val="14"/>
                <w:color w:val="auto"/>
              </w:rPr>
            </w:pPr>
          </w:p>
        </w:tc>
        <w:tc>
          <w:tcPr>
            <w:tcW w:w="2980" w:type="dxa"/>
            <w:vAlign w:val="bottom"/>
            <w:shd w:val="clear" w:color="auto" w:fill="0C2940"/>
          </w:tcPr>
          <w:p>
            <w:pPr>
              <w:jc w:val="right"/>
              <w:ind w:right="728"/>
              <w:spacing w:after="0"/>
              <w:rPr>
                <w:sz w:val="20"/>
                <w:szCs w:val="20"/>
                <w:color w:val="auto"/>
              </w:rPr>
            </w:pPr>
            <w:r>
              <w:rPr>
                <w:rFonts w:ascii="Arial" w:cs="Arial" w:eastAsia="Arial" w:hAnsi="Arial"/>
                <w:sz w:val="14"/>
                <w:szCs w:val="14"/>
                <w:color w:val="FFFFFF"/>
              </w:rPr>
              <w:t>ON EXERCISE</w:t>
            </w:r>
          </w:p>
        </w:tc>
        <w:tc>
          <w:tcPr>
            <w:tcW w:w="1840" w:type="dxa"/>
            <w:vAlign w:val="bottom"/>
            <w:shd w:val="clear" w:color="auto" w:fill="0C2940"/>
          </w:tcPr>
          <w:p>
            <w:pPr>
              <w:jc w:val="right"/>
              <w:ind w:right="368"/>
              <w:spacing w:after="0"/>
              <w:rPr>
                <w:sz w:val="20"/>
                <w:szCs w:val="20"/>
                <w:color w:val="auto"/>
              </w:rPr>
            </w:pPr>
            <w:r>
              <w:rPr>
                <w:rFonts w:ascii="Arial" w:cs="Arial" w:eastAsia="Arial" w:hAnsi="Arial"/>
                <w:sz w:val="14"/>
                <w:szCs w:val="14"/>
                <w:color w:val="FFFFFF"/>
              </w:rPr>
              <w:t>ON EXERCISE</w:t>
            </w:r>
          </w:p>
        </w:tc>
        <w:tc>
          <w:tcPr>
            <w:tcW w:w="2600" w:type="dxa"/>
            <w:vAlign w:val="bottom"/>
            <w:shd w:val="clear" w:color="auto" w:fill="0C2940"/>
          </w:tcPr>
          <w:p>
            <w:pPr>
              <w:jc w:val="right"/>
              <w:ind w:right="711"/>
              <w:spacing w:after="0"/>
              <w:rPr>
                <w:sz w:val="20"/>
                <w:szCs w:val="20"/>
                <w:color w:val="auto"/>
              </w:rPr>
            </w:pPr>
            <w:r>
              <w:rPr>
                <w:rFonts w:ascii="Arial" w:cs="Arial" w:eastAsia="Arial" w:hAnsi="Arial"/>
                <w:sz w:val="14"/>
                <w:szCs w:val="14"/>
                <w:color w:val="FFFFFF"/>
              </w:rPr>
              <w:t>ON VESTING</w:t>
            </w:r>
          </w:p>
        </w:tc>
        <w:tc>
          <w:tcPr>
            <w:tcW w:w="150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ON VESTING</w:t>
            </w:r>
          </w:p>
        </w:tc>
      </w:tr>
      <w:tr>
        <w:trPr>
          <w:trHeight w:val="212"/>
        </w:trPr>
        <w:tc>
          <w:tcPr>
            <w:tcW w:w="2280" w:type="dxa"/>
            <w:vAlign w:val="bottom"/>
            <w:shd w:val="clear" w:color="auto" w:fill="0C2940"/>
          </w:tcPr>
          <w:p>
            <w:pPr>
              <w:ind w:left="140"/>
              <w:spacing w:after="0"/>
              <w:rPr>
                <w:sz w:val="20"/>
                <w:szCs w:val="20"/>
                <w:color w:val="auto"/>
              </w:rPr>
            </w:pPr>
            <w:r>
              <w:rPr>
                <w:rFonts w:ascii="Arial" w:cs="Arial" w:eastAsia="Arial" w:hAnsi="Arial"/>
                <w:sz w:val="14"/>
                <w:szCs w:val="14"/>
                <w:color w:val="FFFFFF"/>
              </w:rPr>
              <w:t>NAME</w:t>
            </w:r>
          </w:p>
        </w:tc>
        <w:tc>
          <w:tcPr>
            <w:tcW w:w="2980" w:type="dxa"/>
            <w:vAlign w:val="bottom"/>
            <w:shd w:val="clear" w:color="auto" w:fill="0C2940"/>
          </w:tcPr>
          <w:p>
            <w:pPr>
              <w:ind w:left="2000"/>
              <w:spacing w:after="0"/>
              <w:rPr>
                <w:sz w:val="20"/>
                <w:szCs w:val="20"/>
                <w:color w:val="auto"/>
              </w:rPr>
            </w:pPr>
            <w:r>
              <w:rPr>
                <w:rFonts w:ascii="Arial" w:cs="Arial" w:eastAsia="Arial" w:hAnsi="Arial"/>
                <w:sz w:val="14"/>
                <w:szCs w:val="14"/>
                <w:color w:val="FFFFFF"/>
              </w:rPr>
              <w:t>(#)</w:t>
            </w:r>
          </w:p>
        </w:tc>
        <w:tc>
          <w:tcPr>
            <w:tcW w:w="1840" w:type="dxa"/>
            <w:vAlign w:val="bottom"/>
            <w:shd w:val="clear" w:color="auto" w:fill="0C2940"/>
          </w:tcPr>
          <w:p>
            <w:pPr>
              <w:jc w:val="right"/>
              <w:ind w:right="368"/>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8"/>
                <w:szCs w:val="18"/>
                <w:color w:val="FFFFFF"/>
                <w:vertAlign w:val="superscript"/>
              </w:rPr>
              <w:t>(1)</w:t>
            </w:r>
          </w:p>
        </w:tc>
        <w:tc>
          <w:tcPr>
            <w:tcW w:w="2600" w:type="dxa"/>
            <w:vAlign w:val="bottom"/>
            <w:shd w:val="clear" w:color="auto" w:fill="0C2940"/>
          </w:tcPr>
          <w:p>
            <w:pPr>
              <w:jc w:val="right"/>
              <w:ind w:right="711"/>
              <w:spacing w:after="0" w:line="212" w:lineRule="exact"/>
              <w:rPr>
                <w:sz w:val="20"/>
                <w:szCs w:val="20"/>
                <w:color w:val="auto"/>
              </w:rPr>
            </w:pPr>
            <w:r>
              <w:rPr>
                <w:rFonts w:ascii="Arial" w:cs="Arial" w:eastAsia="Arial" w:hAnsi="Arial"/>
                <w:sz w:val="24"/>
                <w:szCs w:val="24"/>
                <w:color w:val="FFFFFF"/>
                <w:vertAlign w:val="subscript"/>
              </w:rPr>
              <w:t>(#)</w:t>
            </w:r>
            <w:r>
              <w:rPr>
                <w:rFonts w:ascii="Arial" w:cs="Arial" w:eastAsia="Arial" w:hAnsi="Arial"/>
                <w:sz w:val="9"/>
                <w:szCs w:val="9"/>
                <w:color w:val="FFFFFF"/>
              </w:rPr>
              <w:t xml:space="preserve"> (2)</w:t>
            </w:r>
          </w:p>
        </w:tc>
        <w:tc>
          <w:tcPr>
            <w:tcW w:w="150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 xml:space="preserve">($) </w:t>
            </w:r>
            <w:r>
              <w:rPr>
                <w:rFonts w:ascii="Arial" w:cs="Arial" w:eastAsia="Arial" w:hAnsi="Arial"/>
                <w:sz w:val="18"/>
                <w:szCs w:val="18"/>
                <w:color w:val="FFFFFF"/>
                <w:vertAlign w:val="superscript"/>
              </w:rPr>
              <w:t>(3)</w:t>
            </w:r>
          </w:p>
        </w:tc>
      </w:tr>
      <w:tr>
        <w:trPr>
          <w:trHeight w:val="322"/>
        </w:trPr>
        <w:tc>
          <w:tcPr>
            <w:tcW w:w="228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005388"/>
              </w:rPr>
              <w:t>Adam S. Pollitzer</w:t>
            </w:r>
          </w:p>
        </w:tc>
        <w:tc>
          <w:tcPr>
            <w:tcW w:w="2980" w:type="dxa"/>
            <w:vAlign w:val="bottom"/>
            <w:shd w:val="clear" w:color="auto" w:fill="F5F5F5"/>
          </w:tcPr>
          <w:p>
            <w:pPr>
              <w:ind w:left="19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F5F5F5"/>
          </w:tcPr>
          <w:p>
            <w:pPr>
              <w:ind w:left="1200"/>
              <w:spacing w:after="0"/>
              <w:rPr>
                <w:sz w:val="20"/>
                <w:szCs w:val="20"/>
                <w:color w:val="auto"/>
              </w:rPr>
            </w:pPr>
            <w:r>
              <w:rPr>
                <w:rFonts w:ascii="Arial" w:cs="Arial" w:eastAsia="Arial" w:hAnsi="Arial"/>
                <w:sz w:val="14"/>
                <w:szCs w:val="14"/>
                <w:color w:val="auto"/>
              </w:rPr>
              <w:t>—</w:t>
            </w:r>
          </w:p>
        </w:tc>
        <w:tc>
          <w:tcPr>
            <w:tcW w:w="2600" w:type="dxa"/>
            <w:vAlign w:val="bottom"/>
            <w:shd w:val="clear" w:color="auto" w:fill="F5F5F5"/>
          </w:tcPr>
          <w:p>
            <w:pPr>
              <w:jc w:val="right"/>
              <w:ind w:right="751"/>
              <w:spacing w:after="0"/>
              <w:rPr>
                <w:sz w:val="20"/>
                <w:szCs w:val="20"/>
                <w:color w:val="auto"/>
              </w:rPr>
            </w:pPr>
            <w:r>
              <w:rPr>
                <w:rFonts w:ascii="Arial" w:cs="Arial" w:eastAsia="Arial" w:hAnsi="Arial"/>
                <w:sz w:val="14"/>
                <w:szCs w:val="14"/>
                <w:color w:val="auto"/>
              </w:rPr>
              <w:t>265,722</w:t>
            </w:r>
          </w:p>
        </w:tc>
        <w:tc>
          <w:tcPr>
            <w:tcW w:w="15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10,551,544</w:t>
            </w:r>
          </w:p>
        </w:tc>
      </w:tr>
      <w:tr>
        <w:trPr>
          <w:trHeight w:val="123"/>
        </w:trPr>
        <w:tc>
          <w:tcPr>
            <w:tcW w:w="2280" w:type="dxa"/>
            <w:vAlign w:val="bottom"/>
            <w:shd w:val="clear" w:color="auto" w:fill="F5F5F5"/>
          </w:tcPr>
          <w:p>
            <w:pPr>
              <w:spacing w:after="0"/>
              <w:rPr>
                <w:sz w:val="10"/>
                <w:szCs w:val="10"/>
                <w:color w:val="auto"/>
              </w:rPr>
            </w:pPr>
          </w:p>
        </w:tc>
        <w:tc>
          <w:tcPr>
            <w:tcW w:w="2980" w:type="dxa"/>
            <w:vAlign w:val="bottom"/>
            <w:shd w:val="clear" w:color="auto" w:fill="F5F5F5"/>
          </w:tcPr>
          <w:p>
            <w:pPr>
              <w:spacing w:after="0"/>
              <w:rPr>
                <w:sz w:val="10"/>
                <w:szCs w:val="10"/>
                <w:color w:val="auto"/>
              </w:rPr>
            </w:pPr>
          </w:p>
        </w:tc>
        <w:tc>
          <w:tcPr>
            <w:tcW w:w="1840" w:type="dxa"/>
            <w:vAlign w:val="bottom"/>
            <w:shd w:val="clear" w:color="auto" w:fill="F5F5F5"/>
          </w:tcPr>
          <w:p>
            <w:pPr>
              <w:spacing w:after="0"/>
              <w:rPr>
                <w:sz w:val="10"/>
                <w:szCs w:val="10"/>
                <w:color w:val="auto"/>
              </w:rPr>
            </w:pPr>
          </w:p>
        </w:tc>
        <w:tc>
          <w:tcPr>
            <w:tcW w:w="2600" w:type="dxa"/>
            <w:vAlign w:val="bottom"/>
            <w:shd w:val="clear" w:color="auto" w:fill="F5F5F5"/>
          </w:tcPr>
          <w:p>
            <w:pPr>
              <w:spacing w:after="0"/>
              <w:rPr>
                <w:sz w:val="10"/>
                <w:szCs w:val="10"/>
                <w:color w:val="auto"/>
              </w:rPr>
            </w:pPr>
          </w:p>
        </w:tc>
        <w:tc>
          <w:tcPr>
            <w:tcW w:w="1500" w:type="dxa"/>
            <w:vAlign w:val="bottom"/>
            <w:shd w:val="clear" w:color="auto" w:fill="F5F5F5"/>
          </w:tcPr>
          <w:p>
            <w:pPr>
              <w:spacing w:after="0"/>
              <w:rPr>
                <w:sz w:val="10"/>
                <w:szCs w:val="10"/>
                <w:color w:val="auto"/>
              </w:rPr>
            </w:pPr>
          </w:p>
        </w:tc>
      </w:tr>
      <w:tr>
        <w:trPr>
          <w:trHeight w:val="322"/>
        </w:trPr>
        <w:tc>
          <w:tcPr>
            <w:tcW w:w="2280" w:type="dxa"/>
            <w:vAlign w:val="bottom"/>
          </w:tcPr>
          <w:p>
            <w:pPr>
              <w:ind w:left="240"/>
              <w:spacing w:after="0"/>
              <w:rPr>
                <w:sz w:val="20"/>
                <w:szCs w:val="20"/>
                <w:color w:val="auto"/>
              </w:rPr>
            </w:pPr>
            <w:r>
              <w:rPr>
                <w:rFonts w:ascii="Arial" w:cs="Arial" w:eastAsia="Arial" w:hAnsi="Arial"/>
                <w:sz w:val="14"/>
                <w:szCs w:val="14"/>
                <w:b w:val="1"/>
                <w:bCs w:val="1"/>
                <w:color w:val="005388"/>
              </w:rPr>
              <w:t>Bradley M. Shuster</w:t>
            </w:r>
          </w:p>
        </w:tc>
        <w:tc>
          <w:tcPr>
            <w:tcW w:w="2980" w:type="dxa"/>
            <w:vAlign w:val="bottom"/>
          </w:tcPr>
          <w:p>
            <w:pPr>
              <w:ind w:left="1980"/>
              <w:spacing w:after="0"/>
              <w:rPr>
                <w:sz w:val="20"/>
                <w:szCs w:val="20"/>
                <w:color w:val="auto"/>
              </w:rPr>
            </w:pPr>
            <w:r>
              <w:rPr>
                <w:rFonts w:ascii="Arial" w:cs="Arial" w:eastAsia="Arial" w:hAnsi="Arial"/>
                <w:sz w:val="14"/>
                <w:szCs w:val="14"/>
                <w:color w:val="auto"/>
              </w:rPr>
              <w:t>—</w:t>
            </w:r>
          </w:p>
        </w:tc>
        <w:tc>
          <w:tcPr>
            <w:tcW w:w="1840" w:type="dxa"/>
            <w:vAlign w:val="bottom"/>
          </w:tcPr>
          <w:p>
            <w:pPr>
              <w:ind w:left="1200"/>
              <w:spacing w:after="0"/>
              <w:rPr>
                <w:sz w:val="20"/>
                <w:szCs w:val="20"/>
                <w:color w:val="auto"/>
              </w:rPr>
            </w:pPr>
            <w:r>
              <w:rPr>
                <w:rFonts w:ascii="Arial" w:cs="Arial" w:eastAsia="Arial" w:hAnsi="Arial"/>
                <w:sz w:val="14"/>
                <w:szCs w:val="14"/>
                <w:color w:val="auto"/>
              </w:rPr>
              <w:t>—</w:t>
            </w:r>
          </w:p>
        </w:tc>
        <w:tc>
          <w:tcPr>
            <w:tcW w:w="2600" w:type="dxa"/>
            <w:vAlign w:val="bottom"/>
          </w:tcPr>
          <w:p>
            <w:pPr>
              <w:jc w:val="right"/>
              <w:ind w:right="751"/>
              <w:spacing w:after="0"/>
              <w:rPr>
                <w:sz w:val="20"/>
                <w:szCs w:val="20"/>
                <w:color w:val="auto"/>
              </w:rPr>
            </w:pPr>
            <w:r>
              <w:rPr>
                <w:rFonts w:ascii="Arial" w:cs="Arial" w:eastAsia="Arial" w:hAnsi="Arial"/>
                <w:sz w:val="14"/>
                <w:szCs w:val="14"/>
                <w:color w:val="auto"/>
              </w:rPr>
              <w:t>39,275</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1,451,211</w:t>
            </w:r>
          </w:p>
        </w:tc>
      </w:tr>
      <w:tr>
        <w:trPr>
          <w:trHeight w:val="124"/>
        </w:trPr>
        <w:tc>
          <w:tcPr>
            <w:tcW w:w="22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322"/>
        </w:trPr>
        <w:tc>
          <w:tcPr>
            <w:tcW w:w="228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005388"/>
              </w:rPr>
              <w:t>Aurora Swithenbank</w:t>
            </w:r>
          </w:p>
        </w:tc>
        <w:tc>
          <w:tcPr>
            <w:tcW w:w="2980" w:type="dxa"/>
            <w:vAlign w:val="bottom"/>
            <w:shd w:val="clear" w:color="auto" w:fill="F5F5F5"/>
          </w:tcPr>
          <w:p>
            <w:pPr>
              <w:ind w:left="19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F5F5F5"/>
          </w:tcPr>
          <w:p>
            <w:pPr>
              <w:ind w:left="1200"/>
              <w:spacing w:after="0"/>
              <w:rPr>
                <w:sz w:val="20"/>
                <w:szCs w:val="20"/>
                <w:color w:val="auto"/>
              </w:rPr>
            </w:pPr>
            <w:r>
              <w:rPr>
                <w:rFonts w:ascii="Arial" w:cs="Arial" w:eastAsia="Arial" w:hAnsi="Arial"/>
                <w:sz w:val="14"/>
                <w:szCs w:val="14"/>
                <w:color w:val="auto"/>
              </w:rPr>
              <w:t>—</w:t>
            </w:r>
          </w:p>
        </w:tc>
        <w:tc>
          <w:tcPr>
            <w:tcW w:w="2600" w:type="dxa"/>
            <w:vAlign w:val="bottom"/>
            <w:shd w:val="clear" w:color="auto" w:fill="F5F5F5"/>
          </w:tcPr>
          <w:p>
            <w:pPr>
              <w:jc w:val="right"/>
              <w:ind w:right="751"/>
              <w:spacing w:after="0"/>
              <w:rPr>
                <w:sz w:val="20"/>
                <w:szCs w:val="20"/>
                <w:color w:val="auto"/>
              </w:rPr>
            </w:pPr>
            <w:r>
              <w:rPr>
                <w:rFonts w:ascii="Arial" w:cs="Arial" w:eastAsia="Arial" w:hAnsi="Arial"/>
                <w:sz w:val="14"/>
                <w:szCs w:val="14"/>
                <w:color w:val="auto"/>
              </w:rPr>
              <w:t>23,695</w:t>
            </w:r>
          </w:p>
        </w:tc>
        <w:tc>
          <w:tcPr>
            <w:tcW w:w="15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872,991</w:t>
            </w:r>
          </w:p>
        </w:tc>
      </w:tr>
      <w:tr>
        <w:trPr>
          <w:trHeight w:val="123"/>
        </w:trPr>
        <w:tc>
          <w:tcPr>
            <w:tcW w:w="2280" w:type="dxa"/>
            <w:vAlign w:val="bottom"/>
            <w:shd w:val="clear" w:color="auto" w:fill="F5F5F5"/>
          </w:tcPr>
          <w:p>
            <w:pPr>
              <w:spacing w:after="0"/>
              <w:rPr>
                <w:sz w:val="10"/>
                <w:szCs w:val="10"/>
                <w:color w:val="auto"/>
              </w:rPr>
            </w:pPr>
          </w:p>
        </w:tc>
        <w:tc>
          <w:tcPr>
            <w:tcW w:w="2980" w:type="dxa"/>
            <w:vAlign w:val="bottom"/>
            <w:shd w:val="clear" w:color="auto" w:fill="F5F5F5"/>
          </w:tcPr>
          <w:p>
            <w:pPr>
              <w:spacing w:after="0"/>
              <w:rPr>
                <w:sz w:val="10"/>
                <w:szCs w:val="10"/>
                <w:color w:val="auto"/>
              </w:rPr>
            </w:pPr>
          </w:p>
        </w:tc>
        <w:tc>
          <w:tcPr>
            <w:tcW w:w="1840" w:type="dxa"/>
            <w:vAlign w:val="bottom"/>
            <w:shd w:val="clear" w:color="auto" w:fill="F5F5F5"/>
          </w:tcPr>
          <w:p>
            <w:pPr>
              <w:spacing w:after="0"/>
              <w:rPr>
                <w:sz w:val="10"/>
                <w:szCs w:val="10"/>
                <w:color w:val="auto"/>
              </w:rPr>
            </w:pPr>
          </w:p>
        </w:tc>
        <w:tc>
          <w:tcPr>
            <w:tcW w:w="2600" w:type="dxa"/>
            <w:vAlign w:val="bottom"/>
            <w:shd w:val="clear" w:color="auto" w:fill="F5F5F5"/>
          </w:tcPr>
          <w:p>
            <w:pPr>
              <w:spacing w:after="0"/>
              <w:rPr>
                <w:sz w:val="10"/>
                <w:szCs w:val="10"/>
                <w:color w:val="auto"/>
              </w:rPr>
            </w:pPr>
          </w:p>
        </w:tc>
        <w:tc>
          <w:tcPr>
            <w:tcW w:w="1500" w:type="dxa"/>
            <w:vAlign w:val="bottom"/>
            <w:shd w:val="clear" w:color="auto" w:fill="F5F5F5"/>
          </w:tcPr>
          <w:p>
            <w:pPr>
              <w:spacing w:after="0"/>
              <w:rPr>
                <w:sz w:val="10"/>
                <w:szCs w:val="10"/>
                <w:color w:val="auto"/>
              </w:rPr>
            </w:pPr>
          </w:p>
        </w:tc>
      </w:tr>
      <w:tr>
        <w:trPr>
          <w:trHeight w:val="322"/>
        </w:trPr>
        <w:tc>
          <w:tcPr>
            <w:tcW w:w="2280" w:type="dxa"/>
            <w:vAlign w:val="bottom"/>
          </w:tcPr>
          <w:p>
            <w:pPr>
              <w:ind w:left="240"/>
              <w:spacing w:after="0"/>
              <w:rPr>
                <w:sz w:val="20"/>
                <w:szCs w:val="20"/>
                <w:color w:val="auto"/>
              </w:rPr>
            </w:pPr>
            <w:r>
              <w:rPr>
                <w:rFonts w:ascii="Arial" w:cs="Arial" w:eastAsia="Arial" w:hAnsi="Arial"/>
                <w:sz w:val="14"/>
                <w:szCs w:val="14"/>
                <w:b w:val="1"/>
                <w:bCs w:val="1"/>
                <w:color w:val="005388"/>
              </w:rPr>
              <w:t>William J. Leatherberry</w:t>
            </w:r>
          </w:p>
        </w:tc>
        <w:tc>
          <w:tcPr>
            <w:tcW w:w="2980" w:type="dxa"/>
            <w:vAlign w:val="bottom"/>
          </w:tcPr>
          <w:p>
            <w:pPr>
              <w:ind w:left="1980"/>
              <w:spacing w:after="0"/>
              <w:rPr>
                <w:sz w:val="20"/>
                <w:szCs w:val="20"/>
                <w:color w:val="auto"/>
              </w:rPr>
            </w:pPr>
            <w:r>
              <w:rPr>
                <w:rFonts w:ascii="Arial" w:cs="Arial" w:eastAsia="Arial" w:hAnsi="Arial"/>
                <w:sz w:val="14"/>
                <w:szCs w:val="14"/>
                <w:color w:val="auto"/>
              </w:rPr>
              <w:t>—</w:t>
            </w:r>
          </w:p>
        </w:tc>
        <w:tc>
          <w:tcPr>
            <w:tcW w:w="1840" w:type="dxa"/>
            <w:vAlign w:val="bottom"/>
          </w:tcPr>
          <w:p>
            <w:pPr>
              <w:ind w:left="1200"/>
              <w:spacing w:after="0"/>
              <w:rPr>
                <w:sz w:val="20"/>
                <w:szCs w:val="20"/>
                <w:color w:val="auto"/>
              </w:rPr>
            </w:pPr>
            <w:r>
              <w:rPr>
                <w:rFonts w:ascii="Arial" w:cs="Arial" w:eastAsia="Arial" w:hAnsi="Arial"/>
                <w:sz w:val="14"/>
                <w:szCs w:val="14"/>
                <w:color w:val="auto"/>
              </w:rPr>
              <w:t>—</w:t>
            </w:r>
          </w:p>
        </w:tc>
        <w:tc>
          <w:tcPr>
            <w:tcW w:w="2600" w:type="dxa"/>
            <w:vAlign w:val="bottom"/>
          </w:tcPr>
          <w:p>
            <w:pPr>
              <w:jc w:val="right"/>
              <w:ind w:right="751"/>
              <w:spacing w:after="0"/>
              <w:rPr>
                <w:sz w:val="20"/>
                <w:szCs w:val="20"/>
                <w:color w:val="auto"/>
              </w:rPr>
            </w:pPr>
            <w:r>
              <w:rPr>
                <w:rFonts w:ascii="Arial" w:cs="Arial" w:eastAsia="Arial" w:hAnsi="Arial"/>
                <w:sz w:val="14"/>
                <w:szCs w:val="14"/>
                <w:color w:val="auto"/>
              </w:rPr>
              <w:t>74,866</w:t>
            </w: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2,966,768</w:t>
            </w:r>
          </w:p>
        </w:tc>
      </w:tr>
      <w:tr>
        <w:trPr>
          <w:trHeight w:val="124"/>
        </w:trPr>
        <w:tc>
          <w:tcPr>
            <w:tcW w:w="228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500" w:type="dxa"/>
            <w:vAlign w:val="bottom"/>
          </w:tcPr>
          <w:p>
            <w:pPr>
              <w:spacing w:after="0"/>
              <w:rPr>
                <w:sz w:val="10"/>
                <w:szCs w:val="10"/>
                <w:color w:val="auto"/>
              </w:rPr>
            </w:pPr>
          </w:p>
        </w:tc>
      </w:tr>
      <w:tr>
        <w:trPr>
          <w:trHeight w:val="322"/>
        </w:trPr>
        <w:tc>
          <w:tcPr>
            <w:tcW w:w="228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005388"/>
              </w:rPr>
              <w:t>Robert Smith</w:t>
            </w:r>
          </w:p>
        </w:tc>
        <w:tc>
          <w:tcPr>
            <w:tcW w:w="2980" w:type="dxa"/>
            <w:vAlign w:val="bottom"/>
            <w:shd w:val="clear" w:color="auto" w:fill="F5F5F5"/>
          </w:tcPr>
          <w:p>
            <w:pPr>
              <w:ind w:left="1980"/>
              <w:spacing w:after="0"/>
              <w:rPr>
                <w:sz w:val="20"/>
                <w:szCs w:val="20"/>
                <w:color w:val="auto"/>
              </w:rPr>
            </w:pPr>
            <w:r>
              <w:rPr>
                <w:rFonts w:ascii="Arial" w:cs="Arial" w:eastAsia="Arial" w:hAnsi="Arial"/>
                <w:sz w:val="14"/>
                <w:szCs w:val="14"/>
                <w:color w:val="auto"/>
              </w:rPr>
              <w:t>—</w:t>
            </w:r>
          </w:p>
        </w:tc>
        <w:tc>
          <w:tcPr>
            <w:tcW w:w="1840" w:type="dxa"/>
            <w:vAlign w:val="bottom"/>
            <w:shd w:val="clear" w:color="auto" w:fill="F5F5F5"/>
          </w:tcPr>
          <w:p>
            <w:pPr>
              <w:ind w:left="1200"/>
              <w:spacing w:after="0"/>
              <w:rPr>
                <w:sz w:val="20"/>
                <w:szCs w:val="20"/>
                <w:color w:val="auto"/>
              </w:rPr>
            </w:pPr>
            <w:r>
              <w:rPr>
                <w:rFonts w:ascii="Arial" w:cs="Arial" w:eastAsia="Arial" w:hAnsi="Arial"/>
                <w:sz w:val="14"/>
                <w:szCs w:val="14"/>
                <w:color w:val="auto"/>
              </w:rPr>
              <w:t>—</w:t>
            </w:r>
          </w:p>
        </w:tc>
        <w:tc>
          <w:tcPr>
            <w:tcW w:w="2600" w:type="dxa"/>
            <w:vAlign w:val="bottom"/>
            <w:shd w:val="clear" w:color="auto" w:fill="F5F5F5"/>
          </w:tcPr>
          <w:p>
            <w:pPr>
              <w:jc w:val="right"/>
              <w:ind w:right="751"/>
              <w:spacing w:after="0"/>
              <w:rPr>
                <w:sz w:val="20"/>
                <w:szCs w:val="20"/>
                <w:color w:val="auto"/>
              </w:rPr>
            </w:pPr>
            <w:r>
              <w:rPr>
                <w:rFonts w:ascii="Arial" w:cs="Arial" w:eastAsia="Arial" w:hAnsi="Arial"/>
                <w:sz w:val="14"/>
                <w:szCs w:val="14"/>
                <w:color w:val="auto"/>
              </w:rPr>
              <w:t>55,904</w:t>
            </w:r>
          </w:p>
        </w:tc>
        <w:tc>
          <w:tcPr>
            <w:tcW w:w="15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2,218,792</w:t>
            </w:r>
          </w:p>
        </w:tc>
      </w:tr>
      <w:tr>
        <w:trPr>
          <w:trHeight w:val="123"/>
        </w:trPr>
        <w:tc>
          <w:tcPr>
            <w:tcW w:w="2280" w:type="dxa"/>
            <w:vAlign w:val="bottom"/>
            <w:tcBorders>
              <w:bottom w:val="single" w:sz="8" w:color="DE762B"/>
            </w:tcBorders>
            <w:shd w:val="clear" w:color="auto" w:fill="F5F5F5"/>
          </w:tcPr>
          <w:p>
            <w:pPr>
              <w:spacing w:after="0"/>
              <w:rPr>
                <w:sz w:val="10"/>
                <w:szCs w:val="10"/>
                <w:color w:val="auto"/>
              </w:rPr>
            </w:pPr>
          </w:p>
        </w:tc>
        <w:tc>
          <w:tcPr>
            <w:tcW w:w="2980" w:type="dxa"/>
            <w:vAlign w:val="bottom"/>
            <w:tcBorders>
              <w:bottom w:val="single" w:sz="8" w:color="DE762B"/>
            </w:tcBorders>
            <w:shd w:val="clear" w:color="auto" w:fill="F5F5F5"/>
          </w:tcPr>
          <w:p>
            <w:pPr>
              <w:spacing w:after="0"/>
              <w:rPr>
                <w:sz w:val="10"/>
                <w:szCs w:val="10"/>
                <w:color w:val="auto"/>
              </w:rPr>
            </w:pPr>
          </w:p>
        </w:tc>
        <w:tc>
          <w:tcPr>
            <w:tcW w:w="1840" w:type="dxa"/>
            <w:vAlign w:val="bottom"/>
            <w:tcBorders>
              <w:bottom w:val="single" w:sz="8" w:color="DE762B"/>
            </w:tcBorders>
            <w:shd w:val="clear" w:color="auto" w:fill="F5F5F5"/>
          </w:tcPr>
          <w:p>
            <w:pPr>
              <w:spacing w:after="0"/>
              <w:rPr>
                <w:sz w:val="10"/>
                <w:szCs w:val="10"/>
                <w:color w:val="auto"/>
              </w:rPr>
            </w:pPr>
          </w:p>
        </w:tc>
        <w:tc>
          <w:tcPr>
            <w:tcW w:w="2600" w:type="dxa"/>
            <w:vAlign w:val="bottom"/>
            <w:tcBorders>
              <w:bottom w:val="single" w:sz="8" w:color="DE762B"/>
            </w:tcBorders>
            <w:shd w:val="clear" w:color="auto" w:fill="F5F5F5"/>
          </w:tcPr>
          <w:p>
            <w:pPr>
              <w:spacing w:after="0"/>
              <w:rPr>
                <w:sz w:val="10"/>
                <w:szCs w:val="10"/>
                <w:color w:val="auto"/>
              </w:rPr>
            </w:pPr>
          </w:p>
        </w:tc>
        <w:tc>
          <w:tcPr>
            <w:tcW w:w="1500" w:type="dxa"/>
            <w:vAlign w:val="bottom"/>
            <w:tcBorders>
              <w:bottom w:val="single" w:sz="8" w:color="DE762B"/>
            </w:tcBorders>
            <w:shd w:val="clear" w:color="auto" w:fill="F5F5F5"/>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5667375</wp:posOffset>
            </wp:positionH>
            <wp:positionV relativeFrom="paragraph">
              <wp:posOffset>-1435100</wp:posOffset>
            </wp:positionV>
            <wp:extent cx="34290" cy="1439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1439545"/>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-1435100</wp:posOffset>
            </wp:positionV>
            <wp:extent cx="34290" cy="1439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1439545"/>
                    </a:xfrm>
                    <a:prstGeom prst="rect">
                      <a:avLst/>
                    </a:prstGeom>
                    <a:noFill/>
                  </pic:spPr>
                </pic:pic>
              </a:graphicData>
            </a:graphic>
          </wp:anchor>
        </w:drawing>
        <w:drawing>
          <wp:anchor simplePos="0" relativeHeight="251657728" behindDoc="1" locked="0" layoutInCell="0" allowOverlap="1">
            <wp:simplePos x="0" y="0"/>
            <wp:positionH relativeFrom="column">
              <wp:posOffset>2829560</wp:posOffset>
            </wp:positionH>
            <wp:positionV relativeFrom="paragraph">
              <wp:posOffset>-1435100</wp:posOffset>
            </wp:positionV>
            <wp:extent cx="34290" cy="1439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1439545"/>
                    </a:xfrm>
                    <a:prstGeom prst="rect">
                      <a:avLst/>
                    </a:prstGeom>
                    <a:noFill/>
                  </pic:spPr>
                </pic:pic>
              </a:graphicData>
            </a:graphic>
          </wp:anchor>
        </w:drawing>
        <w:drawing>
          <wp:anchor simplePos="0" relativeHeight="251657728" behindDoc="1" locked="0" layoutInCell="0" allowOverlap="1">
            <wp:simplePos x="0" y="0"/>
            <wp:positionH relativeFrom="column">
              <wp:posOffset>1432560</wp:posOffset>
            </wp:positionH>
            <wp:positionV relativeFrom="paragraph">
              <wp:posOffset>-1435100</wp:posOffset>
            </wp:positionV>
            <wp:extent cx="34290" cy="1439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143954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-1902460</wp:posOffset>
            </wp:positionV>
            <wp:extent cx="56064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6415" cy="8890"/>
                    </a:xfrm>
                    <a:prstGeom prst="rect">
                      <a:avLst/>
                    </a:prstGeom>
                    <a:noFill/>
                  </pic:spPr>
                </pic:pic>
              </a:graphicData>
            </a:graphic>
          </wp:anchor>
        </w:drawing>
      </w:r>
    </w:p>
    <w:p>
      <w:pPr>
        <w:spacing w:after="0" w:line="192" w:lineRule="exact"/>
        <w:rPr>
          <w:sz w:val="20"/>
          <w:szCs w:val="20"/>
          <w:color w:val="auto"/>
        </w:rPr>
      </w:pPr>
    </w:p>
    <w:p>
      <w:pPr>
        <w:ind w:left="260" w:right="20" w:hanging="252"/>
        <w:spacing w:after="0" w:line="316" w:lineRule="auto"/>
        <w:tabs>
          <w:tab w:leader="none" w:pos="257" w:val="left"/>
        </w:tabs>
        <w:numPr>
          <w:ilvl w:val="0"/>
          <w:numId w:val="62"/>
        </w:numPr>
        <w:rPr>
          <w:rFonts w:ascii="Arial" w:cs="Arial" w:eastAsia="Arial" w:hAnsi="Arial"/>
          <w:sz w:val="12"/>
          <w:szCs w:val="12"/>
          <w:color w:val="6D6D6D"/>
        </w:rPr>
      </w:pPr>
      <w:r>
        <w:rPr>
          <w:rFonts w:ascii="Arial" w:cs="Arial" w:eastAsia="Arial" w:hAnsi="Arial"/>
          <w:sz w:val="12"/>
          <w:szCs w:val="12"/>
          <w:color w:val="6D6D6D"/>
        </w:rPr>
        <w:t>The value realized on the exercise of option awards is calculated by determining the difference between the market value of the underlying Company common stock on the exercise date and the exercise price of the option awards. Reflects the gross amount realized without netting the value of shares surrendered to cover the exercise price and to satisfy tax withholding obligations.</w:t>
      </w:r>
    </w:p>
    <w:p>
      <w:pPr>
        <w:spacing w:after="0" w:line="1" w:lineRule="exact"/>
        <w:rPr>
          <w:rFonts w:ascii="Arial" w:cs="Arial" w:eastAsia="Arial" w:hAnsi="Arial"/>
          <w:sz w:val="12"/>
          <w:szCs w:val="12"/>
          <w:color w:val="6D6D6D"/>
        </w:rPr>
      </w:pPr>
    </w:p>
    <w:p>
      <w:pPr>
        <w:jc w:val="both"/>
        <w:ind w:left="260" w:hanging="252"/>
        <w:spacing w:after="0" w:line="274" w:lineRule="auto"/>
        <w:tabs>
          <w:tab w:leader="none" w:pos="257" w:val="left"/>
        </w:tabs>
        <w:numPr>
          <w:ilvl w:val="0"/>
          <w:numId w:val="62"/>
        </w:numPr>
        <w:rPr>
          <w:rFonts w:ascii="Arial" w:cs="Arial" w:eastAsia="Arial" w:hAnsi="Arial"/>
          <w:sz w:val="12"/>
          <w:szCs w:val="12"/>
          <w:color w:val="6D6D6D"/>
        </w:rPr>
      </w:pPr>
      <w:r>
        <w:rPr>
          <w:rFonts w:ascii="Arial" w:cs="Arial" w:eastAsia="Arial" w:hAnsi="Arial"/>
          <w:sz w:val="12"/>
          <w:szCs w:val="12"/>
          <w:color w:val="6D6D6D"/>
        </w:rPr>
        <w:t>These shares include shares vested under (i) RSU awards granted to each of Messrs. Pollitzer, Shuster, Leatherberry and Smith in fiscal years 2023, 2024 and 2025, and RSU awards granted to Ms. Swithenbank in fiscal years 2024 and 2025; and (ii) PRSU awards granted to each of Messrs. Pollitzer, Leatherberry and Smith in 2023 (2023 PRSUs) for which the three-year performance period ended at December 31, 2025 and for which the Compensation Committee certified on February 11, 2026 that certain performance criteria were met, resulting in the vesting and issuance of 2023 PRSUs at a net settlement price equal to the closing stock price on February 11, 2026 to each of Messrs. Pollitzer, Leatherberry and Smith. Mr. Shuster did not receive a PRSU award in 2023.</w:t>
      </w:r>
    </w:p>
    <w:p>
      <w:pPr>
        <w:spacing w:after="0" w:line="17" w:lineRule="exact"/>
        <w:rPr>
          <w:rFonts w:ascii="Arial" w:cs="Arial" w:eastAsia="Arial" w:hAnsi="Arial"/>
          <w:sz w:val="12"/>
          <w:szCs w:val="12"/>
          <w:color w:val="6D6D6D"/>
        </w:rPr>
      </w:pPr>
    </w:p>
    <w:p>
      <w:pPr>
        <w:ind w:left="260" w:right="20" w:hanging="252"/>
        <w:spacing w:after="0" w:line="286" w:lineRule="auto"/>
        <w:tabs>
          <w:tab w:leader="none" w:pos="257" w:val="left"/>
        </w:tabs>
        <w:numPr>
          <w:ilvl w:val="0"/>
          <w:numId w:val="62"/>
        </w:numPr>
        <w:rPr>
          <w:rFonts w:ascii="Arial" w:cs="Arial" w:eastAsia="Arial" w:hAnsi="Arial"/>
          <w:sz w:val="13"/>
          <w:szCs w:val="13"/>
          <w:color w:val="6D6D6D"/>
        </w:rPr>
      </w:pPr>
      <w:r>
        <w:rPr>
          <w:rFonts w:ascii="Arial" w:cs="Arial" w:eastAsia="Arial" w:hAnsi="Arial"/>
          <w:sz w:val="13"/>
          <w:szCs w:val="13"/>
          <w:color w:val="6D6D6D"/>
        </w:rPr>
        <w:t>The value realized on the vesting of stock awards is calculated by multiplying the number of shares of Company common stock vested by the market value of the common stock on the vesting date. Reflects the gross amount realized without netting the value of shares surrendered to satisfy tax withholding obligations.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0C2940"/>
        </w:rPr>
        <w:t>POTENTIAL PAYMENTS UPON TERMINATION OF EMPLOYMENT OR CHANGE IN CONTROL</w:t>
      </w:r>
    </w:p>
    <w:p>
      <w:pPr>
        <w:spacing w:after="0" w:line="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following summarizes the compensation and benefits payable to each of our NEOs if an NEO's employment is terminated under various circumstances, in each case assuming a termination date as of December 31, 2025. In addition to the amounts described below, the NEOs would be entitled to earned but unpaid base salary and earned and awarded but unpaid annual bonus for a prior award period (other than any portion of such annual bonus that was previously deferred which would have been paid in accordance with the applicable deferral arrangement) (collectively, the Accrued Compensation) and any accrued and unpaid benefits, including accrued paid-time off and the timely payment of any amounts due and payable under any of our applicable plans, programs, policies or practices (collectively, the Accrued Benefits).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0C2940"/>
        </w:rPr>
        <w:t>TERMINATION OF EMPLOYMENT WITHOUT CAUSE OR RESIGNATION WITH GOOD REASON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05388"/>
        </w:rPr>
        <w:t>NEOs' Unvested RSU and PRSU Awards</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All of our NEOs' outstanding, unvested RSU and PRSU grants have been made under the 2014 Plan. Each NEO's 2023, 2024 and 2025 RSU award agreement provides for pro-rata vesting if the NEO's employment is terminated by us without cause on or after the first anniversary of the grant date.</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of our NEOs received PRSU awards in 2025. Each NEO's PRSU award agreement provides for vesting under the following terms, if such an NEO is terminated by us without cause during the term of the agreement:</w:t>
      </w:r>
    </w:p>
    <w:p>
      <w:pPr>
        <w:spacing w:after="0" w:line="61" w:lineRule="exact"/>
        <w:rPr>
          <w:sz w:val="20"/>
          <w:szCs w:val="20"/>
          <w:color w:val="auto"/>
        </w:rPr>
      </w:pPr>
    </w:p>
    <w:p>
      <w:pPr>
        <w:jc w:val="both"/>
        <w:ind w:left="260" w:right="160" w:hanging="252"/>
        <w:spacing w:after="0" w:line="265" w:lineRule="auto"/>
        <w:tabs>
          <w:tab w:leader="none" w:pos="441"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such a termination occurs on or following the completion of the Performance Period, the then outstanding PRSUs shall vest, with the number of earned shares determined by the Compensation Committee in accordance with the standard vesting terms that apply following completion of the Performance Period. See "</w:t>
      </w:r>
      <w:r>
        <w:rPr>
          <w:rFonts w:ascii="Arial" w:cs="Arial" w:eastAsia="Arial" w:hAnsi="Arial"/>
          <w:sz w:val="16"/>
          <w:szCs w:val="16"/>
          <w:i w:val="1"/>
          <w:iCs w:val="1"/>
          <w:color w:val="auto"/>
        </w:rPr>
        <w:t>Compensation Discussion and Analysis — Compensation Program Details — Long Term Incentive Program &amp; BVPS</w:t>
      </w:r>
      <w:r>
        <w:rPr>
          <w:rFonts w:ascii="Arial" w:cs="Arial" w:eastAsia="Arial" w:hAnsi="Arial"/>
          <w:sz w:val="16"/>
          <w:szCs w:val="16"/>
          <w:color w:val="auto"/>
        </w:rPr>
        <w:t xml:space="preserve"> </w:t>
      </w:r>
      <w:r>
        <w:rPr>
          <w:rFonts w:ascii="Arial" w:cs="Arial" w:eastAsia="Arial" w:hAnsi="Arial"/>
          <w:sz w:val="16"/>
          <w:szCs w:val="16"/>
          <w:i w:val="1"/>
          <w:iCs w:val="1"/>
          <w:color w:val="auto"/>
        </w:rPr>
        <w:t>Growth Targets</w:t>
      </w:r>
      <w:r>
        <w:rPr>
          <w:rFonts w:ascii="Arial" w:cs="Arial" w:eastAsia="Arial" w:hAnsi="Arial"/>
          <w:sz w:val="16"/>
          <w:szCs w:val="16"/>
          <w:color w:val="auto"/>
        </w:rPr>
        <w:t>" above; or</w:t>
      </w:r>
    </w:p>
    <w:p>
      <w:pPr>
        <w:spacing w:after="0" w:line="64" w:lineRule="exact"/>
        <w:rPr>
          <w:rFonts w:ascii="Arial" w:cs="Arial" w:eastAsia="Arial" w:hAnsi="Arial"/>
          <w:sz w:val="16"/>
          <w:szCs w:val="16"/>
          <w:color w:val="auto"/>
        </w:rPr>
      </w:pPr>
    </w:p>
    <w:p>
      <w:pPr>
        <w:jc w:val="both"/>
        <w:ind w:left="260" w:right="160" w:hanging="252"/>
        <w:spacing w:after="0" w:line="259" w:lineRule="auto"/>
        <w:tabs>
          <w:tab w:leader="none" w:pos="261"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such a termination occurs prior to the expiration of the Performance Period, (A) the PRSUs shall remain outstanding through the last day of the Performance Period, without regard to the termination, (B) the number of PRSUs that become earned shares, if any, shall be determined based on the Compensation Committee's computation and certification of the BVPS Vesting Percentage as if no termination of employment had occurred, and (C) the number of earned shares that become vested shall be determined by multiplying (x) the number of earned shares by (y) a fraction, the numerator of which is the number of days which elapsed from the commencement of the Performance Period through the date of the termination of employment and the denominator of which is 1,095 (or 1,096 in the event of any leap year in the Performance Period (</w:t>
      </w:r>
      <w:r>
        <w:rPr>
          <w:rFonts w:ascii="Arial" w:cs="Arial" w:eastAsia="Arial" w:hAnsi="Arial"/>
          <w:sz w:val="16"/>
          <w:szCs w:val="16"/>
          <w:i w:val="1"/>
          <w:iCs w:val="1"/>
          <w:color w:val="auto"/>
        </w:rPr>
        <w:t>e.g.</w:t>
      </w:r>
      <w:r>
        <w:rPr>
          <w:rFonts w:ascii="Arial" w:cs="Arial" w:eastAsia="Arial" w:hAnsi="Arial"/>
          <w:sz w:val="16"/>
          <w:szCs w:val="16"/>
          <w:color w:val="auto"/>
        </w:rPr>
        <w:t>, in 2025)), and any then unvested PRSUs and shares which are earned but do not vest in accordance with such formula as of such date shall immediately be forfeited for no consideration, and the NEO's rights in any such unvested PRSUs or unvested earned shares shall immediately lapse and expire.</w:t>
      </w:r>
    </w:p>
    <w:p>
      <w:pPr>
        <w:spacing w:after="0" w:line="338"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53</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SEVERANCE PLAN TERMINATION</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 2025, each NEO was eligible to participate in the Severance Plan. See "</w:t>
      </w:r>
      <w:r>
        <w:rPr>
          <w:rFonts w:ascii="Arial" w:cs="Arial" w:eastAsia="Arial" w:hAnsi="Arial"/>
          <w:sz w:val="16"/>
          <w:szCs w:val="16"/>
          <w:i w:val="1"/>
          <w:iCs w:val="1"/>
          <w:color w:val="auto"/>
        </w:rPr>
        <w:t>Compensation Discussion and Analysis — Elements of Executive Compensation</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Program — Other Important Governance and Executive Compensation Policies - Severance Plan</w:t>
      </w:r>
      <w:r>
        <w:rPr>
          <w:rFonts w:ascii="Arial" w:cs="Arial" w:eastAsia="Arial" w:hAnsi="Arial"/>
          <w:sz w:val="16"/>
          <w:szCs w:val="16"/>
          <w:color w:val="auto"/>
        </w:rPr>
        <w:t>," above. Upon a Severance Termination as of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2025, subject to the NEO's execution of a separation agreement and release and based on their years of service, each of Messrs. Pollitzer and Shuster were eligible for 24 months of base salary and target annual incentive bonus and 18 months of health coverage contributions, each of Messrs. Leatherberry and Smith were eligible for 18 months of base salary and target annual incentive bonus and 12 months of health coverage contributions, and Ms. Swithenbank was eligible for 6 months of base salary, target annual incentive bonus and health coverage contributions. Insurance premium contributions are</w:t>
      </w:r>
    </w:p>
    <w:p>
      <w:pPr>
        <w:spacing w:after="0" w:line="2"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paid at the active employee rate. See "</w:t>
      </w:r>
      <w:r>
        <w:rPr>
          <w:rFonts w:ascii="Arial" w:cs="Arial" w:eastAsia="Arial" w:hAnsi="Arial"/>
          <w:sz w:val="16"/>
          <w:szCs w:val="16"/>
          <w:i w:val="1"/>
          <w:iCs w:val="1"/>
          <w:color w:val="auto"/>
        </w:rPr>
        <w:t>Compensation Discussion and Analysis - Elements of Executive Compensation Program - Other Important</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 and Executive Compensation Policies - Severance Plan.</w:t>
      </w:r>
      <w:r>
        <w:rPr>
          <w:rFonts w:ascii="Arial" w:cs="Arial" w:eastAsia="Arial" w:hAnsi="Arial"/>
          <w:sz w:val="16"/>
          <w:szCs w:val="16"/>
          <w:color w:val="auto"/>
        </w:rPr>
        <w: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0C2940"/>
        </w:rPr>
        <w:t>TERMINATION OF EMPLOYMENT FOR CAUSE OR VOLUNTARY RESIGNATION</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For each of our NEOs, all unvested equity awards will be forfeited following the Company's termination of the executive's employment for "cause" (as defined in the applicable equity plan). If any NEO is terminated for cause or voluntarily resigns, such NEO would not be entitled to payment of any severance benefit, but would be paid Accrued Compensation and Accrued Benefits, if any.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0C2940"/>
        </w:rPr>
        <w:t>TERMINATION OF EMPLOYMENT DUE TO DEATH OR DISABILITY</w:t>
      </w:r>
    </w:p>
    <w:p>
      <w:pPr>
        <w:spacing w:after="0" w:line="5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Upon a termination of employment due to death or disability, our NEOs are entitled to payment of Accrued Compensation and Accrued Benefits. Each NEO equity award (other than the PRSU awards) provides for pro-rata vesting if an NEO's employment is terminated due to death or disability. Any such vested options would become and remain exercisable until the first anniversary of the related termination of employment. Each of the 2023, 2024 and 2025 PRSU awards provide that if an NEO's employment is terminated due to death or disability, any unvested PRSUs would fully vest and be deemed to be earned based on the target level of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0C2940"/>
        </w:rPr>
        <w:t>CHANGE IN CONTROL</w:t>
      </w:r>
    </w:p>
    <w:p>
      <w:pPr>
        <w:spacing w:after="0" w:line="7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Company's CIC Severance Plan provides for "double-trigger" severance benefits for our NEOs following a change in control. See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 Elements of Executive Compensation Program — Other Important Governance and Executive Compensation Policies —</w:t>
      </w:r>
    </w:p>
    <w:p>
      <w:pPr>
        <w:jc w:val="both"/>
        <w:spacing w:after="0" w:line="258" w:lineRule="auto"/>
        <w:rPr>
          <w:sz w:val="20"/>
          <w:szCs w:val="20"/>
          <w:color w:val="auto"/>
        </w:rPr>
      </w:pPr>
      <w:r>
        <w:rPr>
          <w:rFonts w:ascii="Arial" w:cs="Arial" w:eastAsia="Arial" w:hAnsi="Arial"/>
          <w:sz w:val="16"/>
          <w:szCs w:val="16"/>
          <w:i w:val="1"/>
          <w:iCs w:val="1"/>
          <w:color w:val="auto"/>
        </w:rPr>
        <w:t>Change in Control Severance Plan (CIC Severance Plan),</w:t>
      </w:r>
      <w:r>
        <w:rPr>
          <w:rFonts w:ascii="Arial" w:cs="Arial" w:eastAsia="Arial" w:hAnsi="Arial"/>
          <w:sz w:val="16"/>
          <w:szCs w:val="16"/>
          <w:color w:val="auto"/>
        </w:rPr>
        <w:t>" above. Under the CIC Severance Plan, if an NEO's employment is terminated without cause or</w:t>
      </w:r>
      <w:r>
        <w:rPr>
          <w:rFonts w:ascii="Arial" w:cs="Arial" w:eastAsia="Arial" w:hAnsi="Arial"/>
          <w:sz w:val="16"/>
          <w:szCs w:val="16"/>
          <w:i w:val="1"/>
          <w:iCs w:val="1"/>
          <w:color w:val="auto"/>
        </w:rPr>
        <w:t xml:space="preserve"> </w:t>
      </w:r>
      <w:r>
        <w:rPr>
          <w:rFonts w:ascii="Arial" w:cs="Arial" w:eastAsia="Arial" w:hAnsi="Arial"/>
          <w:sz w:val="16"/>
          <w:szCs w:val="16"/>
          <w:color w:val="auto"/>
        </w:rPr>
        <w:t>for good reason, within 24 months after a change in control, or six months before a change in control (if the termination within that six month period occurs after a definitive agreement that contemplates such change in control is executed and the change in control occurs), such participant shall be entitled to the following lump sum cash payments, subject to the NEO's execution and non-revocation of a separation agreement and release of claims in favor of the Company:</w:t>
      </w:r>
    </w:p>
    <w:p>
      <w:pPr>
        <w:spacing w:after="0" w:line="277" w:lineRule="exact"/>
        <w:rPr>
          <w:sz w:val="20"/>
          <w:szCs w:val="20"/>
          <w:color w:val="auto"/>
        </w:rPr>
      </w:pPr>
    </w:p>
    <w:p>
      <w:pPr>
        <w:ind w:left="260" w:right="160" w:hanging="252"/>
        <w:spacing w:after="0" w:line="286" w:lineRule="auto"/>
        <w:tabs>
          <w:tab w:leader="none" w:pos="2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lump sum cash payment equal to (A) the sum of the NEO's base salary and target annual incentive bonus, in each case, as in effect immediately prior to the termination, multiplied by (B) the participant's Severance Multiple;</w:t>
      </w:r>
    </w:p>
    <w:p>
      <w:pPr>
        <w:spacing w:after="0" w:line="34" w:lineRule="exact"/>
        <w:rPr>
          <w:rFonts w:ascii="Arial" w:cs="Arial" w:eastAsia="Arial" w:hAnsi="Arial"/>
          <w:sz w:val="16"/>
          <w:szCs w:val="16"/>
          <w:color w:val="auto"/>
        </w:rPr>
      </w:pPr>
    </w:p>
    <w:p>
      <w:pPr>
        <w:ind w:left="260" w:right="160" w:hanging="252"/>
        <w:spacing w:after="0" w:line="286" w:lineRule="auto"/>
        <w:tabs>
          <w:tab w:leader="none" w:pos="255"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lump sum cash payment equal to the cost of monthly healthcare premiums in effect as of the date of termination for the duration of the NEO's COBRA Period;</w:t>
      </w:r>
    </w:p>
    <w:p>
      <w:pPr>
        <w:spacing w:after="0" w:line="34" w:lineRule="exact"/>
        <w:rPr>
          <w:rFonts w:ascii="Arial" w:cs="Arial" w:eastAsia="Arial" w:hAnsi="Arial"/>
          <w:sz w:val="16"/>
          <w:szCs w:val="16"/>
          <w:color w:val="auto"/>
        </w:rPr>
      </w:pPr>
    </w:p>
    <w:p>
      <w:pPr>
        <w:ind w:left="260" w:right="180" w:hanging="252"/>
        <w:spacing w:after="0" w:line="304" w:lineRule="auto"/>
        <w:tabs>
          <w:tab w:leader="none" w:pos="2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a lump sum cash payment equal to the NEO's target annual incentive bonus for the fiscal year in which the NEO is terminated, pro-rated through the date of termination as described in the CIC Severance Plan; and</w:t>
      </w:r>
    </w:p>
    <w:p>
      <w:pPr>
        <w:spacing w:after="0" w:line="33" w:lineRule="exact"/>
        <w:rPr>
          <w:rFonts w:ascii="Arial" w:cs="Arial" w:eastAsia="Arial" w:hAnsi="Arial"/>
          <w:sz w:val="16"/>
          <w:szCs w:val="16"/>
          <w:color w:val="auto"/>
        </w:rPr>
      </w:pPr>
    </w:p>
    <w:p>
      <w:pPr>
        <w:ind w:left="240" w:hanging="232"/>
        <w:spacing w:after="0"/>
        <w:tabs>
          <w:tab w:leader="none" w:pos="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Accrued Compensation and Accrued Benefits.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pursuant to the terms of the applicable award agreements, upon a "change in control" (as defined in the applicable equity plan), all outstanding stock options and RSUs granted to our NEOs will immediately vest and options would become exercisable. If an NEO's employment is terminated for any reason (other than for "cause" as defined in the applicable equity plan) during the two years following a change in control, all vested stock options shall remain outstanding and exercisable until the earlier of the tenth anniversary of the date of grant or the fifth anniversary of the employment termination.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Under our NEOs' 2025 PRSU award agreements, if a change in control occurs:</w:t>
      </w:r>
    </w:p>
    <w:p>
      <w:pPr>
        <w:spacing w:after="0" w:line="127" w:lineRule="exact"/>
        <w:rPr>
          <w:sz w:val="20"/>
          <w:szCs w:val="20"/>
          <w:color w:val="auto"/>
        </w:rPr>
      </w:pPr>
    </w:p>
    <w:p>
      <w:pPr>
        <w:jc w:val="both"/>
        <w:ind w:left="260" w:right="160" w:hanging="252"/>
        <w:spacing w:after="0" w:line="266" w:lineRule="auto"/>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on or following the completion of the Performance Period, then (A) the Compensation Committee would determine the number of earned shares which is equal to the level of achievement that would result by determining the Company's BVPS Vesting Percentage through the completion of the Performance Period, and (B) all earned shares would immediately vest and any unvested PRSUs as of such date would be forfeited, or</w:t>
      </w:r>
    </w:p>
    <w:p>
      <w:pPr>
        <w:spacing w:after="0" w:line="49" w:lineRule="exact"/>
        <w:rPr>
          <w:rFonts w:ascii="Arial" w:cs="Arial" w:eastAsia="Arial" w:hAnsi="Arial"/>
          <w:sz w:val="16"/>
          <w:szCs w:val="16"/>
          <w:color w:val="auto"/>
        </w:rPr>
      </w:pPr>
    </w:p>
    <w:p>
      <w:pPr>
        <w:jc w:val="both"/>
        <w:ind w:left="260" w:right="160" w:hanging="252"/>
        <w:spacing w:after="0" w:line="271" w:lineRule="auto"/>
        <w:tabs>
          <w:tab w:leader="none" w:pos="255"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prior to the expiration of the Performance Period, then (A) the last day of the calendar quarter prior to the date of the change in control shall be deemed to be the last day of the Performance Period, (B) the Compensation Committee would determine that the number of earned shares is equal to the greater of (x) the level of achievement that would result by determining the BVPS Vesting Percentage through such date and (y) the total number of shares at target achievement, and (C) all earned shares would immediately vest and any unvested PRSUs as of such date would be forfeited.</w:t>
      </w:r>
    </w:p>
    <w:p>
      <w:pPr>
        <w:spacing w:after="0" w:line="313"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54</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NEO TERMINATION PAYMENTS</w:t>
      </w:r>
    </w:p>
    <w:p>
      <w:pPr>
        <w:spacing w:after="0" w:line="59"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following table reflects the estimated payments to our NEOs that would have been made upon certain hypothetical terminations of employment or a change in control, with such payments based on the assumption that such an event occurred on December 31, 2025.</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closing price of our common stock on December 31, 2025 on NASDAQ was $40.79 per share (the Closing Price).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0C2940"/>
        </w:rPr>
        <w:t>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66732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667321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4"/>
          <w:szCs w:val="14"/>
          <w:color w:val="FFFFFF"/>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Adam S. Pollitzer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Bradley M.</w:t>
      </w:r>
    </w:p>
    <w:p>
      <w:pPr>
        <w:spacing w:after="0" w:line="2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Shuster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0" w:right="280"/>
        <w:spacing w:after="0" w:line="314" w:lineRule="auto"/>
        <w:rPr>
          <w:sz w:val="20"/>
          <w:szCs w:val="20"/>
          <w:color w:val="auto"/>
        </w:rPr>
      </w:pPr>
      <w:r>
        <w:rPr>
          <w:rFonts w:ascii="Arial" w:cs="Arial" w:eastAsia="Arial" w:hAnsi="Arial"/>
          <w:sz w:val="14"/>
          <w:szCs w:val="14"/>
          <w:b w:val="1"/>
          <w:bCs w:val="1"/>
          <w:color w:val="005388"/>
        </w:rPr>
        <w:t>Aurora Swithenbank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40" w:right="300"/>
        <w:spacing w:after="0" w:line="314" w:lineRule="auto"/>
        <w:rPr>
          <w:sz w:val="20"/>
          <w:szCs w:val="20"/>
          <w:color w:val="auto"/>
        </w:rPr>
      </w:pPr>
      <w:r>
        <w:rPr>
          <w:rFonts w:ascii="Arial" w:cs="Arial" w:eastAsia="Arial" w:hAnsi="Arial"/>
          <w:sz w:val="14"/>
          <w:szCs w:val="14"/>
          <w:b w:val="1"/>
          <w:bCs w:val="1"/>
          <w:color w:val="005388"/>
        </w:rPr>
        <w:t>William J. Leatherberry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005388"/>
        </w:rPr>
        <w:t>Robert Smith</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FFFFFF"/>
              </w:rPr>
              <w:t>CASH</w:t>
            </w:r>
          </w:p>
        </w:tc>
        <w:tc>
          <w:tcPr>
            <w:tcW w:w="1960" w:type="dxa"/>
            <w:vAlign w:val="bottom"/>
            <w:gridSpan w:val="2"/>
          </w:tcPr>
          <w:p>
            <w:pPr>
              <w:jc w:val="right"/>
              <w:spacing w:after="0"/>
              <w:rPr>
                <w:sz w:val="20"/>
                <w:szCs w:val="20"/>
                <w:color w:val="auto"/>
              </w:rPr>
            </w:pPr>
            <w:r>
              <w:rPr>
                <w:rFonts w:ascii="Arial" w:cs="Arial" w:eastAsia="Arial" w:hAnsi="Arial"/>
                <w:sz w:val="14"/>
                <w:szCs w:val="14"/>
                <w:color w:val="FFFFFF"/>
              </w:rPr>
              <w:t>RESTRICTED STOCK UNIT</w:t>
            </w:r>
          </w:p>
        </w:tc>
        <w:tc>
          <w:tcPr>
            <w:tcW w:w="0" w:type="dxa"/>
            <w:vAlign w:val="bottom"/>
          </w:tcPr>
          <w:p>
            <w:pPr>
              <w:spacing w:after="0"/>
              <w:rPr>
                <w:sz w:val="1"/>
                <w:szCs w:val="1"/>
                <w:color w:val="auto"/>
              </w:rPr>
            </w:pPr>
          </w:p>
        </w:tc>
      </w:tr>
      <w:tr>
        <w:trPr>
          <w:trHeight w:val="175"/>
        </w:trPr>
        <w:tc>
          <w:tcPr>
            <w:tcW w:w="3920" w:type="dxa"/>
            <w:vAlign w:val="bottom"/>
            <w:vMerge w:val="restart"/>
          </w:tcPr>
          <w:p>
            <w:pPr>
              <w:spacing w:after="0"/>
              <w:rPr>
                <w:sz w:val="20"/>
                <w:szCs w:val="20"/>
                <w:color w:val="auto"/>
              </w:rPr>
            </w:pPr>
            <w:r>
              <w:rPr>
                <w:rFonts w:ascii="Arial" w:cs="Arial" w:eastAsia="Arial" w:hAnsi="Arial"/>
                <w:sz w:val="14"/>
                <w:szCs w:val="14"/>
                <w:color w:val="FFFFFF"/>
              </w:rPr>
              <w:t>SCENARIO</w:t>
            </w:r>
          </w:p>
        </w:tc>
        <w:tc>
          <w:tcPr>
            <w:tcW w:w="1260" w:type="dxa"/>
            <w:vAlign w:val="bottom"/>
          </w:tcPr>
          <w:p>
            <w:pPr>
              <w:jc w:val="right"/>
              <w:spacing w:after="0"/>
              <w:rPr>
                <w:sz w:val="20"/>
                <w:szCs w:val="20"/>
                <w:color w:val="auto"/>
              </w:rPr>
            </w:pPr>
            <w:r>
              <w:rPr>
                <w:rFonts w:ascii="Arial" w:cs="Arial" w:eastAsia="Arial" w:hAnsi="Arial"/>
                <w:sz w:val="14"/>
                <w:szCs w:val="14"/>
                <w:color w:val="FFFFFF"/>
              </w:rPr>
              <w:t>SEVERANCE</w:t>
            </w:r>
          </w:p>
        </w:tc>
        <w:tc>
          <w:tcPr>
            <w:tcW w:w="1960" w:type="dxa"/>
            <w:vAlign w:val="bottom"/>
            <w:gridSpan w:val="2"/>
          </w:tcPr>
          <w:p>
            <w:pPr>
              <w:jc w:val="right"/>
              <w:ind w:right="13"/>
              <w:spacing w:after="0"/>
              <w:rPr>
                <w:sz w:val="20"/>
                <w:szCs w:val="20"/>
                <w:color w:val="auto"/>
              </w:rPr>
            </w:pPr>
            <w:r>
              <w:rPr>
                <w:rFonts w:ascii="Arial" w:cs="Arial" w:eastAsia="Arial" w:hAnsi="Arial"/>
                <w:sz w:val="14"/>
                <w:szCs w:val="14"/>
                <w:color w:val="FFFFFF"/>
              </w:rPr>
              <w:t>VESTING</w:t>
            </w:r>
          </w:p>
        </w:tc>
        <w:tc>
          <w:tcPr>
            <w:tcW w:w="0" w:type="dxa"/>
            <w:vAlign w:val="bottom"/>
          </w:tcPr>
          <w:p>
            <w:pPr>
              <w:spacing w:after="0"/>
              <w:rPr>
                <w:sz w:val="1"/>
                <w:szCs w:val="1"/>
                <w:color w:val="auto"/>
              </w:rPr>
            </w:pPr>
          </w:p>
        </w:tc>
      </w:tr>
      <w:tr>
        <w:trPr>
          <w:trHeight w:val="190"/>
        </w:trPr>
        <w:tc>
          <w:tcPr>
            <w:tcW w:w="3920" w:type="dxa"/>
            <w:vAlign w:val="bottom"/>
            <w:vMerge w:val="continue"/>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FFFFFF"/>
              </w:rPr>
              <w:t>($)</w:t>
            </w:r>
          </w:p>
        </w:tc>
        <w:tc>
          <w:tcPr>
            <w:tcW w:w="1960" w:type="dxa"/>
            <w:vAlign w:val="bottom"/>
            <w:gridSpan w:val="2"/>
          </w:tcPr>
          <w:p>
            <w:pPr>
              <w:jc w:val="right"/>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Arial" w:cs="Arial" w:eastAsia="Arial" w:hAnsi="Arial"/>
                <w:sz w:val="14"/>
                <w:szCs w:val="14"/>
                <w:color w:val="auto"/>
              </w:rPr>
              <w:t>Voluntary Resignation</w:t>
            </w: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Termination without Cause</w:t>
            </w:r>
          </w:p>
        </w:tc>
        <w:tc>
          <w:tcPr>
            <w:tcW w:w="1260" w:type="dxa"/>
            <w:vAlign w:val="bottom"/>
          </w:tcPr>
          <w:p>
            <w:pPr>
              <w:spacing w:after="0"/>
              <w:rPr>
                <w:sz w:val="6"/>
                <w:szCs w:val="6"/>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6,595,702</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1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3920" w:type="dxa"/>
            <w:vAlign w:val="bottom"/>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19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920" w:type="dxa"/>
            <w:vAlign w:val="bottom"/>
          </w:tcPr>
          <w:p>
            <w:pPr>
              <w:ind w:left="20"/>
              <w:spacing w:after="0"/>
              <w:rPr>
                <w:sz w:val="20"/>
                <w:szCs w:val="20"/>
                <w:color w:val="auto"/>
              </w:rPr>
            </w:pPr>
            <w:r>
              <w:rPr>
                <w:rFonts w:ascii="Arial" w:cs="Arial" w:eastAsia="Arial" w:hAnsi="Arial"/>
                <w:sz w:val="14"/>
                <w:szCs w:val="14"/>
                <w:color w:val="auto"/>
              </w:rPr>
              <w:t>Severance Termination</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5,362,500 </w:t>
            </w:r>
            <w:r>
              <w:rPr>
                <w:rFonts w:ascii="Arial" w:cs="Arial" w:eastAsia="Arial" w:hAnsi="Arial"/>
                <w:sz w:val="18"/>
                <w:szCs w:val="18"/>
                <w:color w:val="auto"/>
                <w:vertAlign w:val="superscript"/>
              </w:rPr>
              <w:t>(2)</w:t>
            </w:r>
          </w:p>
        </w:tc>
        <w:tc>
          <w:tcPr>
            <w:tcW w:w="1960" w:type="dxa"/>
            <w:vAlign w:val="bottom"/>
            <w:gridSpan w:val="2"/>
            <w:shd w:val="clear" w:color="auto" w:fill="F5F5F5"/>
          </w:tcPr>
          <w:p>
            <w:pPr>
              <w:jc w:val="right"/>
              <w:spacing w:after="0"/>
              <w:rPr>
                <w:sz w:val="20"/>
                <w:szCs w:val="20"/>
                <w:color w:val="auto"/>
              </w:rPr>
            </w:pPr>
            <w:r>
              <w:rPr>
                <w:rFonts w:ascii="Arial" w:cs="Arial" w:eastAsia="Arial" w:hAnsi="Arial"/>
                <w:sz w:val="14"/>
                <w:szCs w:val="14"/>
                <w:color w:val="auto"/>
              </w:rPr>
              <w:t xml:space="preserve">6,595,702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Involuntary Termination for Cause</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spacing w:after="0"/>
              <w:rPr>
                <w:sz w:val="19"/>
                <w:szCs w:val="19"/>
                <w:color w:val="auto"/>
              </w:rPr>
            </w:pPr>
          </w:p>
        </w:tc>
        <w:tc>
          <w:tcPr>
            <w:tcW w:w="160" w:type="dxa"/>
            <w:vAlign w:val="bottom"/>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Death or Disability</w:t>
            </w:r>
          </w:p>
        </w:tc>
        <w:tc>
          <w:tcPr>
            <w:tcW w:w="1260" w:type="dxa"/>
            <w:vAlign w:val="bottom"/>
            <w:shd w:val="clear" w:color="auto" w:fill="F5F5F5"/>
          </w:tcPr>
          <w:p>
            <w:pPr>
              <w:spacing w:after="0"/>
              <w:rPr>
                <w:sz w:val="24"/>
                <w:szCs w:val="24"/>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13,410,039</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40"/>
        </w:trPr>
        <w:tc>
          <w:tcPr>
            <w:tcW w:w="3920" w:type="dxa"/>
            <w:vAlign w:val="bottom"/>
          </w:tcPr>
          <w:p>
            <w:pPr>
              <w:ind w:left="20"/>
              <w:spacing w:after="0"/>
              <w:rPr>
                <w:sz w:val="20"/>
                <w:szCs w:val="20"/>
                <w:color w:val="auto"/>
              </w:rPr>
            </w:pPr>
            <w:r>
              <w:rPr>
                <w:rFonts w:ascii="Arial" w:cs="Arial" w:eastAsia="Arial" w:hAnsi="Arial"/>
                <w:sz w:val="14"/>
                <w:szCs w:val="14"/>
                <w:color w:val="auto"/>
              </w:rPr>
              <w:t>Termination Following Change in Control</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7,165,162 </w:t>
            </w:r>
            <w:r>
              <w:rPr>
                <w:rFonts w:ascii="Arial" w:cs="Arial" w:eastAsia="Arial" w:hAnsi="Arial"/>
                <w:sz w:val="18"/>
                <w:szCs w:val="18"/>
                <w:color w:val="auto"/>
                <w:vertAlign w:val="superscript"/>
              </w:rPr>
              <w:t>(4)</w:t>
            </w: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13,410,039</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7"/>
        </w:trPr>
        <w:tc>
          <w:tcPr>
            <w:tcW w:w="3920" w:type="dxa"/>
            <w:vAlign w:val="bottom"/>
          </w:tcPr>
          <w:p>
            <w:pPr>
              <w:ind w:left="20"/>
              <w:spacing w:after="0"/>
              <w:rPr>
                <w:sz w:val="20"/>
                <w:szCs w:val="20"/>
                <w:color w:val="auto"/>
              </w:rPr>
            </w:pPr>
            <w:r>
              <w:rPr>
                <w:rFonts w:ascii="Arial" w:cs="Arial" w:eastAsia="Arial" w:hAnsi="Arial"/>
                <w:sz w:val="14"/>
                <w:szCs w:val="14"/>
                <w:color w:val="auto"/>
              </w:rPr>
              <w:t>No Termination Following Change in Control</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13,410,039</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76"/>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Voluntary Resignation</w:t>
            </w:r>
          </w:p>
        </w:tc>
        <w:tc>
          <w:tcPr>
            <w:tcW w:w="1260" w:type="dxa"/>
            <w:vAlign w:val="bottom"/>
            <w:shd w:val="clear" w:color="auto" w:fill="F5F5F5"/>
          </w:tcPr>
          <w:p>
            <w:pPr>
              <w:spacing w:after="0"/>
              <w:rPr>
                <w:sz w:val="6"/>
                <w:szCs w:val="6"/>
                <w:color w:val="auto"/>
              </w:rPr>
            </w:pPr>
          </w:p>
        </w:tc>
        <w:tc>
          <w:tcPr>
            <w:tcW w:w="1800" w:type="dxa"/>
            <w:vAlign w:val="bottom"/>
            <w:shd w:val="clear" w:color="auto" w:fill="F5F5F5"/>
          </w:tcPr>
          <w:p>
            <w:pPr>
              <w:spacing w:after="0"/>
              <w:rPr>
                <w:sz w:val="6"/>
                <w:szCs w:val="6"/>
                <w:color w:val="auto"/>
              </w:rPr>
            </w:pPr>
          </w:p>
        </w:tc>
        <w:tc>
          <w:tcPr>
            <w:tcW w:w="16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20"/>
              <w:spacing w:after="0"/>
              <w:rPr>
                <w:sz w:val="20"/>
                <w:szCs w:val="20"/>
                <w:color w:val="auto"/>
              </w:rPr>
            </w:pPr>
            <w:r>
              <w:rPr>
                <w:rFonts w:ascii="Arial" w:cs="Arial" w:eastAsia="Arial" w:hAnsi="Arial"/>
                <w:sz w:val="14"/>
                <w:szCs w:val="14"/>
                <w:color w:val="auto"/>
              </w:rPr>
              <w:t>Termination without Cause or for Good Reason</w:t>
            </w:r>
          </w:p>
        </w:tc>
        <w:tc>
          <w:tcPr>
            <w:tcW w:w="1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1,151,991</w:t>
            </w: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341"/>
        </w:trPr>
        <w:tc>
          <w:tcPr>
            <w:tcW w:w="3920" w:type="dxa"/>
            <w:vAlign w:val="bottom"/>
          </w:tcPr>
          <w:p>
            <w:pPr>
              <w:ind w:left="20"/>
              <w:spacing w:after="0"/>
              <w:rPr>
                <w:sz w:val="20"/>
                <w:szCs w:val="20"/>
                <w:color w:val="auto"/>
              </w:rPr>
            </w:pPr>
            <w:r>
              <w:rPr>
                <w:rFonts w:ascii="Arial" w:cs="Arial" w:eastAsia="Arial" w:hAnsi="Arial"/>
                <w:sz w:val="14"/>
                <w:szCs w:val="14"/>
                <w:color w:val="auto"/>
              </w:rPr>
              <w:t>Severance Termination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 xml:space="preserve">2,600,000 </w:t>
            </w:r>
            <w:r>
              <w:rPr>
                <w:rFonts w:ascii="Arial" w:cs="Arial" w:eastAsia="Arial" w:hAnsi="Arial"/>
                <w:sz w:val="18"/>
                <w:szCs w:val="18"/>
                <w:color w:val="auto"/>
                <w:vertAlign w:val="superscript"/>
              </w:rPr>
              <w:t>(2)</w:t>
            </w:r>
          </w:p>
        </w:tc>
        <w:tc>
          <w:tcPr>
            <w:tcW w:w="1800" w:type="dxa"/>
            <w:vAlign w:val="bottom"/>
          </w:tcPr>
          <w:p>
            <w:pPr>
              <w:jc w:val="right"/>
              <w:spacing w:after="0"/>
              <w:rPr>
                <w:sz w:val="20"/>
                <w:szCs w:val="20"/>
                <w:color w:val="auto"/>
              </w:rPr>
            </w:pPr>
            <w:r>
              <w:rPr>
                <w:rFonts w:ascii="Arial" w:cs="Arial" w:eastAsia="Arial" w:hAnsi="Arial"/>
                <w:sz w:val="14"/>
                <w:szCs w:val="14"/>
                <w:color w:val="auto"/>
              </w:rPr>
              <w:t>1,151,991</w:t>
            </w: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Involuntary Termination for Cause</w:t>
            </w: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20"/>
              <w:spacing w:after="0"/>
              <w:rPr>
                <w:sz w:val="20"/>
                <w:szCs w:val="20"/>
                <w:color w:val="auto"/>
              </w:rPr>
            </w:pPr>
            <w:r>
              <w:rPr>
                <w:rFonts w:ascii="Arial" w:cs="Arial" w:eastAsia="Arial" w:hAnsi="Arial"/>
                <w:sz w:val="14"/>
                <w:szCs w:val="14"/>
                <w:color w:val="auto"/>
              </w:rPr>
              <w:t>Death or Disability</w:t>
            </w:r>
          </w:p>
        </w:tc>
        <w:tc>
          <w:tcPr>
            <w:tcW w:w="1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3,618,317</w:t>
            </w:r>
          </w:p>
        </w:tc>
        <w:tc>
          <w:tcPr>
            <w:tcW w:w="16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41"/>
        </w:trPr>
        <w:tc>
          <w:tcPr>
            <w:tcW w:w="3920" w:type="dxa"/>
            <w:vAlign w:val="bottom"/>
          </w:tcPr>
          <w:p>
            <w:pPr>
              <w:ind w:left="20"/>
              <w:spacing w:after="0"/>
              <w:rPr>
                <w:sz w:val="20"/>
                <w:szCs w:val="20"/>
                <w:color w:val="auto"/>
              </w:rPr>
            </w:pPr>
            <w:r>
              <w:rPr>
                <w:rFonts w:ascii="Arial" w:cs="Arial" w:eastAsia="Arial" w:hAnsi="Arial"/>
                <w:sz w:val="14"/>
                <w:szCs w:val="14"/>
                <w:color w:val="auto"/>
              </w:rPr>
              <w:t>Termination Following Change in Control</w:t>
            </w:r>
          </w:p>
        </w:tc>
        <w:tc>
          <w:tcPr>
            <w:tcW w:w="1260" w:type="dxa"/>
            <w:vAlign w:val="bottom"/>
          </w:tcPr>
          <w:p>
            <w:pPr>
              <w:jc w:val="right"/>
              <w:spacing w:after="0"/>
              <w:rPr>
                <w:sz w:val="20"/>
                <w:szCs w:val="20"/>
                <w:color w:val="auto"/>
              </w:rPr>
            </w:pPr>
            <w:r>
              <w:rPr>
                <w:rFonts w:ascii="Arial" w:cs="Arial" w:eastAsia="Arial" w:hAnsi="Arial"/>
                <w:sz w:val="14"/>
                <w:szCs w:val="14"/>
                <w:color w:val="auto"/>
              </w:rPr>
              <w:t xml:space="preserve">3,317,158 </w:t>
            </w:r>
            <w:r>
              <w:rPr>
                <w:rFonts w:ascii="Arial" w:cs="Arial" w:eastAsia="Arial" w:hAnsi="Arial"/>
                <w:sz w:val="18"/>
                <w:szCs w:val="18"/>
                <w:color w:val="auto"/>
                <w:vertAlign w:val="superscript"/>
              </w:rPr>
              <w:t>(4)</w:t>
            </w:r>
          </w:p>
        </w:tc>
        <w:tc>
          <w:tcPr>
            <w:tcW w:w="1800" w:type="dxa"/>
            <w:vAlign w:val="bottom"/>
          </w:tcPr>
          <w:p>
            <w:pPr>
              <w:jc w:val="right"/>
              <w:spacing w:after="0"/>
              <w:rPr>
                <w:sz w:val="20"/>
                <w:szCs w:val="20"/>
                <w:color w:val="auto"/>
              </w:rPr>
            </w:pPr>
            <w:r>
              <w:rPr>
                <w:rFonts w:ascii="Arial" w:cs="Arial" w:eastAsia="Arial" w:hAnsi="Arial"/>
                <w:sz w:val="14"/>
                <w:szCs w:val="14"/>
                <w:color w:val="auto"/>
              </w:rPr>
              <w:t>3,618,317</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No Termination Following Change in Control</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3,618,317</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Voluntary Resignation</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Termination without Cause</w:t>
            </w:r>
          </w:p>
        </w:tc>
        <w:tc>
          <w:tcPr>
            <w:tcW w:w="1260" w:type="dxa"/>
            <w:vAlign w:val="bottom"/>
          </w:tcPr>
          <w:p>
            <w:pPr>
              <w:spacing w:after="0"/>
              <w:rPr>
                <w:sz w:val="6"/>
                <w:szCs w:val="6"/>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1,419,288</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1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3920" w:type="dxa"/>
            <w:vAlign w:val="bottom"/>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920" w:type="dxa"/>
            <w:vAlign w:val="bottom"/>
          </w:tcPr>
          <w:p>
            <w:pPr>
              <w:ind w:left="20"/>
              <w:spacing w:after="0"/>
              <w:rPr>
                <w:sz w:val="20"/>
                <w:szCs w:val="20"/>
                <w:color w:val="auto"/>
              </w:rPr>
            </w:pPr>
            <w:r>
              <w:rPr>
                <w:rFonts w:ascii="Arial" w:cs="Arial" w:eastAsia="Arial" w:hAnsi="Arial"/>
                <w:sz w:val="14"/>
                <w:szCs w:val="14"/>
                <w:color w:val="auto"/>
              </w:rPr>
              <w:t>Severance Termination</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530,000 </w:t>
            </w:r>
            <w:r>
              <w:rPr>
                <w:rFonts w:ascii="Arial" w:cs="Arial" w:eastAsia="Arial" w:hAnsi="Arial"/>
                <w:sz w:val="18"/>
                <w:szCs w:val="18"/>
                <w:color w:val="auto"/>
                <w:vertAlign w:val="superscript"/>
              </w:rPr>
              <w:t>(2)</w:t>
            </w: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1,419,288</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Involuntary Termination for Cause</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spacing w:after="0"/>
              <w:rPr>
                <w:sz w:val="19"/>
                <w:szCs w:val="19"/>
                <w:color w:val="auto"/>
              </w:rPr>
            </w:pPr>
          </w:p>
        </w:tc>
        <w:tc>
          <w:tcPr>
            <w:tcW w:w="160" w:type="dxa"/>
            <w:vAlign w:val="bottom"/>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920" w:type="dxa"/>
            <w:vAlign w:val="bottom"/>
          </w:tcPr>
          <w:p>
            <w:pPr>
              <w:ind w:left="20"/>
              <w:spacing w:after="0"/>
              <w:rPr>
                <w:sz w:val="20"/>
                <w:szCs w:val="20"/>
                <w:color w:val="auto"/>
              </w:rPr>
            </w:pPr>
            <w:r>
              <w:rPr>
                <w:rFonts w:ascii="Arial" w:cs="Arial" w:eastAsia="Arial" w:hAnsi="Arial"/>
                <w:sz w:val="14"/>
                <w:szCs w:val="14"/>
                <w:color w:val="auto"/>
              </w:rPr>
              <w:t>Death or Disability</w:t>
            </w:r>
          </w:p>
        </w:tc>
        <w:tc>
          <w:tcPr>
            <w:tcW w:w="1260" w:type="dxa"/>
            <w:vAlign w:val="bottom"/>
            <w:shd w:val="clear" w:color="auto" w:fill="F5F5F5"/>
          </w:tcPr>
          <w:p>
            <w:pPr>
              <w:spacing w:after="0"/>
              <w:rPr>
                <w:sz w:val="24"/>
                <w:szCs w:val="24"/>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3,326,506</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41"/>
        </w:trPr>
        <w:tc>
          <w:tcPr>
            <w:tcW w:w="3920" w:type="dxa"/>
            <w:vAlign w:val="bottom"/>
          </w:tcPr>
          <w:p>
            <w:pPr>
              <w:ind w:left="20"/>
              <w:spacing w:after="0"/>
              <w:rPr>
                <w:sz w:val="20"/>
                <w:szCs w:val="20"/>
                <w:color w:val="auto"/>
              </w:rPr>
            </w:pPr>
            <w:r>
              <w:rPr>
                <w:rFonts w:ascii="Arial" w:cs="Arial" w:eastAsia="Arial" w:hAnsi="Arial"/>
                <w:sz w:val="14"/>
                <w:szCs w:val="14"/>
                <w:color w:val="auto"/>
              </w:rPr>
              <w:t>Termination Following Change in Control</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2,144,032 </w:t>
            </w:r>
            <w:r>
              <w:rPr>
                <w:rFonts w:ascii="Arial" w:cs="Arial" w:eastAsia="Arial" w:hAnsi="Arial"/>
                <w:sz w:val="18"/>
                <w:szCs w:val="18"/>
                <w:color w:val="auto"/>
                <w:vertAlign w:val="superscript"/>
              </w:rPr>
              <w:t>(6)</w:t>
            </w: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3,326,506</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No Termination Following Change in Control</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3,326,506</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75"/>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Voluntary Resignation</w:t>
            </w:r>
          </w:p>
        </w:tc>
        <w:tc>
          <w:tcPr>
            <w:tcW w:w="1260" w:type="dxa"/>
            <w:vAlign w:val="bottom"/>
            <w:shd w:val="clear" w:color="auto" w:fill="F5F5F5"/>
          </w:tcPr>
          <w:p>
            <w:pPr>
              <w:spacing w:after="0"/>
              <w:rPr>
                <w:sz w:val="6"/>
                <w:szCs w:val="6"/>
                <w:color w:val="auto"/>
              </w:rPr>
            </w:pPr>
          </w:p>
        </w:tc>
        <w:tc>
          <w:tcPr>
            <w:tcW w:w="1800" w:type="dxa"/>
            <w:vAlign w:val="bottom"/>
            <w:shd w:val="clear" w:color="auto" w:fill="F5F5F5"/>
          </w:tcPr>
          <w:p>
            <w:pPr>
              <w:spacing w:after="0"/>
              <w:rPr>
                <w:sz w:val="6"/>
                <w:szCs w:val="6"/>
                <w:color w:val="auto"/>
              </w:rPr>
            </w:pPr>
          </w:p>
        </w:tc>
        <w:tc>
          <w:tcPr>
            <w:tcW w:w="16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Termination without Cause</w:t>
            </w:r>
          </w:p>
        </w:tc>
        <w:tc>
          <w:tcPr>
            <w:tcW w:w="1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1,493,811</w:t>
            </w: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341"/>
        </w:trPr>
        <w:tc>
          <w:tcPr>
            <w:tcW w:w="3920" w:type="dxa"/>
            <w:vAlign w:val="bottom"/>
          </w:tcPr>
          <w:p>
            <w:pPr>
              <w:ind w:left="20"/>
              <w:spacing w:after="0"/>
              <w:rPr>
                <w:sz w:val="20"/>
                <w:szCs w:val="20"/>
                <w:color w:val="auto"/>
              </w:rPr>
            </w:pPr>
            <w:r>
              <w:rPr>
                <w:rFonts w:ascii="Arial" w:cs="Arial" w:eastAsia="Arial" w:hAnsi="Arial"/>
                <w:sz w:val="14"/>
                <w:szCs w:val="14"/>
                <w:color w:val="auto"/>
              </w:rPr>
              <w:t>Severance Termination</w:t>
            </w:r>
          </w:p>
        </w:tc>
        <w:tc>
          <w:tcPr>
            <w:tcW w:w="1260" w:type="dxa"/>
            <w:vAlign w:val="bottom"/>
          </w:tcPr>
          <w:p>
            <w:pPr>
              <w:jc w:val="right"/>
              <w:spacing w:after="0"/>
              <w:rPr>
                <w:sz w:val="20"/>
                <w:szCs w:val="20"/>
                <w:color w:val="auto"/>
              </w:rPr>
            </w:pPr>
            <w:r>
              <w:rPr>
                <w:rFonts w:ascii="Arial" w:cs="Arial" w:eastAsia="Arial" w:hAnsi="Arial"/>
                <w:sz w:val="14"/>
                <w:szCs w:val="14"/>
                <w:color w:val="auto"/>
              </w:rPr>
              <w:t xml:space="preserve">1,845,000 </w:t>
            </w:r>
            <w:r>
              <w:rPr>
                <w:rFonts w:ascii="Arial" w:cs="Arial" w:eastAsia="Arial" w:hAnsi="Arial"/>
                <w:sz w:val="18"/>
                <w:szCs w:val="18"/>
                <w:color w:val="auto"/>
                <w:vertAlign w:val="superscript"/>
              </w:rPr>
              <w:t>(2)</w:t>
            </w:r>
          </w:p>
        </w:tc>
        <w:tc>
          <w:tcPr>
            <w:tcW w:w="1800" w:type="dxa"/>
            <w:vAlign w:val="bottom"/>
          </w:tcPr>
          <w:p>
            <w:pPr>
              <w:jc w:val="right"/>
              <w:spacing w:after="0"/>
              <w:rPr>
                <w:sz w:val="20"/>
                <w:szCs w:val="20"/>
                <w:color w:val="auto"/>
              </w:rPr>
            </w:pPr>
            <w:r>
              <w:rPr>
                <w:rFonts w:ascii="Arial" w:cs="Arial" w:eastAsia="Arial" w:hAnsi="Arial"/>
                <w:sz w:val="14"/>
                <w:szCs w:val="14"/>
                <w:color w:val="auto"/>
              </w:rPr>
              <w:t>1,493,811</w:t>
            </w:r>
          </w:p>
        </w:tc>
        <w:tc>
          <w:tcPr>
            <w:tcW w:w="160" w:type="dxa"/>
            <w:vAlign w:val="bottom"/>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Involuntary Termination for Cause</w:t>
            </w:r>
          </w:p>
        </w:tc>
        <w:tc>
          <w:tcPr>
            <w:tcW w:w="12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Death or Disability</w:t>
            </w:r>
          </w:p>
        </w:tc>
        <w:tc>
          <w:tcPr>
            <w:tcW w:w="12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3,244,274</w:t>
            </w:r>
          </w:p>
        </w:tc>
        <w:tc>
          <w:tcPr>
            <w:tcW w:w="160" w:type="dxa"/>
            <w:vAlign w:val="bottom"/>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40"/>
        </w:trPr>
        <w:tc>
          <w:tcPr>
            <w:tcW w:w="3920" w:type="dxa"/>
            <w:vAlign w:val="bottom"/>
          </w:tcPr>
          <w:p>
            <w:pPr>
              <w:ind w:left="20"/>
              <w:spacing w:after="0"/>
              <w:rPr>
                <w:sz w:val="20"/>
                <w:szCs w:val="20"/>
                <w:color w:val="auto"/>
              </w:rPr>
            </w:pPr>
            <w:r>
              <w:rPr>
                <w:rFonts w:ascii="Arial" w:cs="Arial" w:eastAsia="Arial" w:hAnsi="Arial"/>
                <w:sz w:val="14"/>
                <w:szCs w:val="14"/>
                <w:color w:val="auto"/>
              </w:rPr>
              <w:t>Termination Following Change in Control</w:t>
            </w:r>
          </w:p>
        </w:tc>
        <w:tc>
          <w:tcPr>
            <w:tcW w:w="1260" w:type="dxa"/>
            <w:vAlign w:val="bottom"/>
          </w:tcPr>
          <w:p>
            <w:pPr>
              <w:jc w:val="right"/>
              <w:spacing w:after="0"/>
              <w:rPr>
                <w:sz w:val="20"/>
                <w:szCs w:val="20"/>
                <w:color w:val="auto"/>
              </w:rPr>
            </w:pPr>
            <w:r>
              <w:rPr>
                <w:rFonts w:ascii="Arial" w:cs="Arial" w:eastAsia="Arial" w:hAnsi="Arial"/>
                <w:sz w:val="14"/>
                <w:szCs w:val="14"/>
                <w:color w:val="auto"/>
              </w:rPr>
              <w:t xml:space="preserve">2,506,549 </w:t>
            </w:r>
            <w:r>
              <w:rPr>
                <w:rFonts w:ascii="Arial" w:cs="Arial" w:eastAsia="Arial" w:hAnsi="Arial"/>
                <w:sz w:val="18"/>
                <w:szCs w:val="18"/>
                <w:color w:val="auto"/>
                <w:vertAlign w:val="superscript"/>
              </w:rPr>
              <w:t>(6)</w:t>
            </w:r>
          </w:p>
        </w:tc>
        <w:tc>
          <w:tcPr>
            <w:tcW w:w="1800" w:type="dxa"/>
            <w:vAlign w:val="bottom"/>
          </w:tcPr>
          <w:p>
            <w:pPr>
              <w:jc w:val="right"/>
              <w:spacing w:after="0"/>
              <w:rPr>
                <w:sz w:val="20"/>
                <w:szCs w:val="20"/>
                <w:color w:val="auto"/>
              </w:rPr>
            </w:pPr>
            <w:r>
              <w:rPr>
                <w:rFonts w:ascii="Arial" w:cs="Arial" w:eastAsia="Arial" w:hAnsi="Arial"/>
                <w:sz w:val="14"/>
                <w:szCs w:val="14"/>
                <w:color w:val="auto"/>
              </w:rPr>
              <w:t>3,244,274</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No Termination Following Change in Control</w:t>
            </w:r>
          </w:p>
        </w:tc>
        <w:tc>
          <w:tcPr>
            <w:tcW w:w="12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3,244,274</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Voluntary Resignation</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3920" w:type="dxa"/>
            <w:vAlign w:val="bottom"/>
            <w:vMerge w:val="restart"/>
          </w:tcPr>
          <w:p>
            <w:pPr>
              <w:ind w:left="20"/>
              <w:spacing w:after="0"/>
              <w:rPr>
                <w:sz w:val="20"/>
                <w:szCs w:val="20"/>
                <w:color w:val="auto"/>
              </w:rPr>
            </w:pPr>
            <w:r>
              <w:rPr>
                <w:rFonts w:ascii="Arial" w:cs="Arial" w:eastAsia="Arial" w:hAnsi="Arial"/>
                <w:sz w:val="14"/>
                <w:szCs w:val="14"/>
                <w:color w:val="auto"/>
              </w:rPr>
              <w:t>Termination without Cause</w:t>
            </w:r>
          </w:p>
        </w:tc>
        <w:tc>
          <w:tcPr>
            <w:tcW w:w="1260" w:type="dxa"/>
            <w:vAlign w:val="bottom"/>
          </w:tcPr>
          <w:p>
            <w:pPr>
              <w:spacing w:after="0"/>
              <w:rPr>
                <w:sz w:val="6"/>
                <w:szCs w:val="6"/>
                <w:color w:val="auto"/>
              </w:rPr>
            </w:pPr>
          </w:p>
        </w:tc>
        <w:tc>
          <w:tcPr>
            <w:tcW w:w="1800" w:type="dxa"/>
            <w:vAlign w:val="bottom"/>
            <w:vMerge w:val="restart"/>
          </w:tcPr>
          <w:p>
            <w:pPr>
              <w:jc w:val="right"/>
              <w:spacing w:after="0"/>
              <w:rPr>
                <w:sz w:val="20"/>
                <w:szCs w:val="20"/>
                <w:color w:val="auto"/>
              </w:rPr>
            </w:pPr>
            <w:r>
              <w:rPr>
                <w:rFonts w:ascii="Arial" w:cs="Arial" w:eastAsia="Arial" w:hAnsi="Arial"/>
                <w:sz w:val="14"/>
                <w:szCs w:val="14"/>
                <w:color w:val="auto"/>
              </w:rPr>
              <w:t>1,088,155</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1260" w:type="dxa"/>
            <w:vAlign w:val="bottom"/>
            <w:shd w:val="clear" w:color="auto" w:fill="F5F5F5"/>
          </w:tcPr>
          <w:p>
            <w:pPr>
              <w:spacing w:after="0"/>
              <w:rPr>
                <w:sz w:val="18"/>
                <w:szCs w:val="18"/>
                <w:color w:val="auto"/>
              </w:rPr>
            </w:pPr>
          </w:p>
        </w:tc>
        <w:tc>
          <w:tcPr>
            <w:tcW w:w="18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3920" w:type="dxa"/>
            <w:vAlign w:val="bottom"/>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18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3920" w:type="dxa"/>
            <w:vAlign w:val="bottom"/>
          </w:tcPr>
          <w:p>
            <w:pPr>
              <w:ind w:left="20"/>
              <w:spacing w:after="0"/>
              <w:rPr>
                <w:sz w:val="20"/>
                <w:szCs w:val="20"/>
                <w:color w:val="auto"/>
              </w:rPr>
            </w:pPr>
            <w:r>
              <w:rPr>
                <w:rFonts w:ascii="Arial" w:cs="Arial" w:eastAsia="Arial" w:hAnsi="Arial"/>
                <w:sz w:val="14"/>
                <w:szCs w:val="14"/>
                <w:color w:val="auto"/>
              </w:rPr>
              <w:t>Severance Termination</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1,545,000 </w:t>
            </w:r>
            <w:r>
              <w:rPr>
                <w:rFonts w:ascii="Arial" w:cs="Arial" w:eastAsia="Arial" w:hAnsi="Arial"/>
                <w:sz w:val="18"/>
                <w:szCs w:val="18"/>
                <w:color w:val="auto"/>
                <w:vertAlign w:val="superscript"/>
              </w:rPr>
              <w:t>(2)</w:t>
            </w: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1,088,155</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(1)</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Involuntary Termination for Cause</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spacing w:after="0"/>
              <w:rPr>
                <w:sz w:val="19"/>
                <w:szCs w:val="19"/>
                <w:color w:val="auto"/>
              </w:rPr>
            </w:pPr>
          </w:p>
        </w:tc>
        <w:tc>
          <w:tcPr>
            <w:tcW w:w="160" w:type="dxa"/>
            <w:vAlign w:val="bottom"/>
            <w:shd w:val="clear" w:color="auto" w:fill="F5F5F5"/>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920" w:type="dxa"/>
            <w:vAlign w:val="bottom"/>
          </w:tcPr>
          <w:p>
            <w:pPr>
              <w:ind w:left="20"/>
              <w:spacing w:after="0"/>
              <w:rPr>
                <w:sz w:val="20"/>
                <w:szCs w:val="20"/>
                <w:color w:val="auto"/>
              </w:rPr>
            </w:pPr>
            <w:r>
              <w:rPr>
                <w:rFonts w:ascii="Arial" w:cs="Arial" w:eastAsia="Arial" w:hAnsi="Arial"/>
                <w:sz w:val="14"/>
                <w:szCs w:val="14"/>
                <w:color w:val="auto"/>
              </w:rPr>
              <w:t>Death or Disability</w:t>
            </w:r>
          </w:p>
        </w:tc>
        <w:tc>
          <w:tcPr>
            <w:tcW w:w="1260" w:type="dxa"/>
            <w:vAlign w:val="bottom"/>
            <w:shd w:val="clear" w:color="auto" w:fill="F5F5F5"/>
          </w:tcPr>
          <w:p>
            <w:pPr>
              <w:spacing w:after="0"/>
              <w:rPr>
                <w:sz w:val="24"/>
                <w:szCs w:val="24"/>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2,381,361</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(3)</w:t>
            </w:r>
          </w:p>
        </w:tc>
        <w:tc>
          <w:tcPr>
            <w:tcW w:w="0" w:type="dxa"/>
            <w:vAlign w:val="bottom"/>
          </w:tcPr>
          <w:p>
            <w:pPr>
              <w:spacing w:after="0"/>
              <w:rPr>
                <w:sz w:val="1"/>
                <w:szCs w:val="1"/>
                <w:color w:val="auto"/>
              </w:rPr>
            </w:pPr>
          </w:p>
        </w:tc>
      </w:tr>
      <w:tr>
        <w:trPr>
          <w:trHeight w:val="341"/>
        </w:trPr>
        <w:tc>
          <w:tcPr>
            <w:tcW w:w="3920" w:type="dxa"/>
            <w:vAlign w:val="bottom"/>
          </w:tcPr>
          <w:p>
            <w:pPr>
              <w:ind w:left="20"/>
              <w:spacing w:after="0"/>
              <w:rPr>
                <w:sz w:val="20"/>
                <w:szCs w:val="20"/>
                <w:color w:val="auto"/>
              </w:rPr>
            </w:pPr>
            <w:r>
              <w:rPr>
                <w:rFonts w:ascii="Arial" w:cs="Arial" w:eastAsia="Arial" w:hAnsi="Arial"/>
                <w:sz w:val="14"/>
                <w:szCs w:val="14"/>
                <w:color w:val="auto"/>
              </w:rPr>
              <w:t>Termination Following Change in Control</w:t>
            </w:r>
          </w:p>
        </w:tc>
        <w:tc>
          <w:tcPr>
            <w:tcW w:w="1260" w:type="dxa"/>
            <w:vAlign w:val="bottom"/>
            <w:shd w:val="clear" w:color="auto" w:fill="F5F5F5"/>
          </w:tcPr>
          <w:p>
            <w:pPr>
              <w:jc w:val="right"/>
              <w:spacing w:after="0"/>
              <w:rPr>
                <w:sz w:val="20"/>
                <w:szCs w:val="20"/>
                <w:color w:val="auto"/>
              </w:rPr>
            </w:pPr>
            <w:r>
              <w:rPr>
                <w:rFonts w:ascii="Arial" w:cs="Arial" w:eastAsia="Arial" w:hAnsi="Arial"/>
                <w:sz w:val="14"/>
                <w:szCs w:val="14"/>
                <w:color w:val="auto"/>
              </w:rPr>
              <w:t xml:space="preserve">2,105,853 </w:t>
            </w:r>
            <w:r>
              <w:rPr>
                <w:rFonts w:ascii="Arial" w:cs="Arial" w:eastAsia="Arial" w:hAnsi="Arial"/>
                <w:sz w:val="18"/>
                <w:szCs w:val="18"/>
                <w:color w:val="auto"/>
                <w:vertAlign w:val="superscript"/>
              </w:rPr>
              <w:t>(6)</w:t>
            </w: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2,381,361</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226"/>
        </w:trPr>
        <w:tc>
          <w:tcPr>
            <w:tcW w:w="3920" w:type="dxa"/>
            <w:vAlign w:val="bottom"/>
          </w:tcPr>
          <w:p>
            <w:pPr>
              <w:ind w:left="20"/>
              <w:spacing w:after="0"/>
              <w:rPr>
                <w:sz w:val="20"/>
                <w:szCs w:val="20"/>
                <w:color w:val="auto"/>
              </w:rPr>
            </w:pPr>
            <w:r>
              <w:rPr>
                <w:rFonts w:ascii="Arial" w:cs="Arial" w:eastAsia="Arial" w:hAnsi="Arial"/>
                <w:sz w:val="14"/>
                <w:szCs w:val="14"/>
                <w:color w:val="auto"/>
              </w:rPr>
              <w:t>No Termination Following Change in Control</w:t>
            </w:r>
          </w:p>
        </w:tc>
        <w:tc>
          <w:tcPr>
            <w:tcW w:w="1260" w:type="dxa"/>
            <w:vAlign w:val="bottom"/>
            <w:shd w:val="clear" w:color="auto" w:fill="F5F5F5"/>
          </w:tcPr>
          <w:p>
            <w:pPr>
              <w:spacing w:after="0"/>
              <w:rPr>
                <w:sz w:val="19"/>
                <w:szCs w:val="19"/>
                <w:color w:val="auto"/>
              </w:rPr>
            </w:pPr>
          </w:p>
        </w:tc>
        <w:tc>
          <w:tcPr>
            <w:tcW w:w="18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2,381,361</w:t>
            </w:r>
          </w:p>
        </w:tc>
        <w:tc>
          <w:tcPr>
            <w:tcW w:w="160" w:type="dxa"/>
            <w:vAlign w:val="bottom"/>
            <w:shd w:val="clear" w:color="auto" w:fill="F5F5F5"/>
          </w:tcPr>
          <w:p>
            <w:pPr>
              <w:jc w:val="right"/>
              <w:spacing w:after="0"/>
              <w:rPr>
                <w:sz w:val="20"/>
                <w:szCs w:val="20"/>
                <w:color w:val="auto"/>
              </w:rPr>
            </w:pPr>
            <w:r>
              <w:rPr>
                <w:rFonts w:ascii="Arial" w:cs="Arial" w:eastAsia="Arial" w:hAnsi="Arial"/>
                <w:sz w:val="9"/>
                <w:szCs w:val="9"/>
                <w:color w:val="auto"/>
              </w:rPr>
              <w:t>(5)</w:t>
            </w:r>
          </w:p>
        </w:tc>
        <w:tc>
          <w:tcPr>
            <w:tcW w:w="0" w:type="dxa"/>
            <w:vAlign w:val="bottom"/>
          </w:tcPr>
          <w:p>
            <w:pPr>
              <w:spacing w:after="0"/>
              <w:rPr>
                <w:sz w:val="1"/>
                <w:szCs w:val="1"/>
                <w:color w:val="auto"/>
              </w:rPr>
            </w:pPr>
          </w:p>
        </w:tc>
      </w:tr>
      <w:tr>
        <w:trPr>
          <w:trHeight w:val="76"/>
        </w:trPr>
        <w:tc>
          <w:tcPr>
            <w:tcW w:w="3920" w:type="dxa"/>
            <w:vAlign w:val="bottom"/>
          </w:tcPr>
          <w:p>
            <w:pPr>
              <w:spacing w:after="0"/>
              <w:rPr>
                <w:sz w:val="6"/>
                <w:szCs w:val="6"/>
                <w:color w:val="auto"/>
              </w:rPr>
            </w:pPr>
          </w:p>
        </w:tc>
        <w:tc>
          <w:tcPr>
            <w:tcW w:w="1260" w:type="dxa"/>
            <w:vAlign w:val="bottom"/>
            <w:shd w:val="clear" w:color="auto" w:fill="F5F5F5"/>
          </w:tcPr>
          <w:p>
            <w:pPr>
              <w:spacing w:after="0"/>
              <w:rPr>
                <w:sz w:val="6"/>
                <w:szCs w:val="6"/>
                <w:color w:val="auto"/>
              </w:rPr>
            </w:pPr>
          </w:p>
        </w:tc>
        <w:tc>
          <w:tcPr>
            <w:tcW w:w="1800" w:type="dxa"/>
            <w:vAlign w:val="bottom"/>
            <w:shd w:val="clear" w:color="auto" w:fill="F5F5F5"/>
          </w:tcPr>
          <w:p>
            <w:pPr>
              <w:spacing w:after="0"/>
              <w:rPr>
                <w:sz w:val="6"/>
                <w:szCs w:val="6"/>
                <w:color w:val="auto"/>
              </w:rPr>
            </w:pPr>
          </w:p>
        </w:tc>
        <w:tc>
          <w:tcPr>
            <w:tcW w:w="16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jc w:val="right"/>
              <w:spacing w:after="0"/>
              <w:rPr>
                <w:sz w:val="20"/>
                <w:szCs w:val="20"/>
                <w:color w:val="auto"/>
              </w:rPr>
            </w:pPr>
            <w:r>
              <w:rPr>
                <w:rFonts w:ascii="Arial" w:cs="Arial" w:eastAsia="Arial" w:hAnsi="Arial"/>
                <w:sz w:val="14"/>
                <w:szCs w:val="14"/>
                <w:color w:val="FFFFFF"/>
                <w:w w:val="99"/>
              </w:rPr>
              <w:t>BENEFITS</w:t>
            </w:r>
          </w:p>
        </w:tc>
        <w:tc>
          <w:tcPr>
            <w:tcW w:w="1320" w:type="dxa"/>
            <w:vAlign w:val="bottom"/>
          </w:tcPr>
          <w:p>
            <w:pPr>
              <w:jc w:val="right"/>
              <w:ind w:right="48"/>
              <w:spacing w:after="0"/>
              <w:rPr>
                <w:sz w:val="20"/>
                <w:szCs w:val="20"/>
                <w:color w:val="auto"/>
              </w:rPr>
            </w:pPr>
            <w:r>
              <w:rPr>
                <w:rFonts w:ascii="Arial" w:cs="Arial" w:eastAsia="Arial" w:hAnsi="Arial"/>
                <w:sz w:val="14"/>
                <w:szCs w:val="14"/>
                <w:color w:val="FFFFFF"/>
              </w:rPr>
              <w:t>TOTAL</w:t>
            </w:r>
          </w:p>
        </w:tc>
      </w:tr>
      <w:tr>
        <w:trPr>
          <w:trHeight w:val="190"/>
        </w:trPr>
        <w:tc>
          <w:tcPr>
            <w:tcW w:w="760" w:type="dxa"/>
            <w:vAlign w:val="bottom"/>
          </w:tcPr>
          <w:p>
            <w:pPr>
              <w:jc w:val="right"/>
              <w:spacing w:after="0"/>
              <w:rPr>
                <w:sz w:val="20"/>
                <w:szCs w:val="20"/>
                <w:color w:val="auto"/>
              </w:rPr>
            </w:pPr>
            <w:r>
              <w:rPr>
                <w:rFonts w:ascii="Arial" w:cs="Arial" w:eastAsia="Arial" w:hAnsi="Arial"/>
                <w:sz w:val="14"/>
                <w:szCs w:val="14"/>
                <w:color w:val="FFFFFF"/>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FFFFFF"/>
              </w:rPr>
              <w:t>($)</w:t>
            </w:r>
          </w:p>
        </w:tc>
      </w:tr>
      <w:tr>
        <w:trPr>
          <w:trHeight w:val="513"/>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6,595,702</w:t>
            </w:r>
          </w:p>
        </w:tc>
      </w:tr>
      <w:tr>
        <w:trPr>
          <w:trHeight w:val="341"/>
        </w:trPr>
        <w:tc>
          <w:tcPr>
            <w:tcW w:w="760" w:type="dxa"/>
            <w:vAlign w:val="bottom"/>
          </w:tcPr>
          <w:p>
            <w:pPr>
              <w:jc w:val="right"/>
              <w:spacing w:after="0"/>
              <w:rPr>
                <w:sz w:val="20"/>
                <w:szCs w:val="20"/>
                <w:color w:val="auto"/>
              </w:rPr>
            </w:pPr>
            <w:r>
              <w:rPr>
                <w:rFonts w:ascii="Arial" w:cs="Arial" w:eastAsia="Arial" w:hAnsi="Arial"/>
                <w:sz w:val="14"/>
                <w:szCs w:val="14"/>
                <w:color w:val="auto"/>
              </w:rPr>
              <w:t xml:space="preserve">72,309 </w:t>
            </w:r>
            <w:r>
              <w:rPr>
                <w:rFonts w:ascii="Arial" w:cs="Arial" w:eastAsia="Arial" w:hAnsi="Arial"/>
                <w:sz w:val="18"/>
                <w:szCs w:val="18"/>
                <w:color w:val="auto"/>
                <w:vertAlign w:val="superscript"/>
              </w:rPr>
              <w:t>(2)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12,030,511</w:t>
            </w:r>
          </w:p>
        </w:tc>
      </w:tr>
      <w:tr>
        <w:trPr>
          <w:trHeight w:val="302"/>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8"/>
        </w:trPr>
        <w:tc>
          <w:tcPr>
            <w:tcW w:w="760" w:type="dxa"/>
            <w:vAlign w:val="bottom"/>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13,410,039</w:t>
            </w:r>
          </w:p>
        </w:tc>
      </w:tr>
      <w:tr>
        <w:trPr>
          <w:trHeight w:val="283"/>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20,575,201</w:t>
            </w:r>
          </w:p>
        </w:tc>
      </w:tr>
      <w:tr>
        <w:trPr>
          <w:trHeight w:val="283"/>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13,410,039</w:t>
            </w:r>
          </w:p>
        </w:tc>
      </w:tr>
      <w:tr>
        <w:trPr>
          <w:trHeight w:val="76"/>
        </w:trPr>
        <w:tc>
          <w:tcPr>
            <w:tcW w:w="760" w:type="dxa"/>
            <w:vAlign w:val="bottom"/>
          </w:tcPr>
          <w:p>
            <w:pPr>
              <w:spacing w:after="0"/>
              <w:rPr>
                <w:sz w:val="6"/>
                <w:szCs w:val="6"/>
                <w:color w:val="auto"/>
              </w:rPr>
            </w:pPr>
          </w:p>
        </w:tc>
        <w:tc>
          <w:tcPr>
            <w:tcW w:w="1320" w:type="dxa"/>
            <w:vAlign w:val="bottom"/>
            <w:shd w:val="clear" w:color="auto" w:fill="F5F5F5"/>
          </w:tcPr>
          <w:p>
            <w:pPr>
              <w:spacing w:after="0"/>
              <w:rPr>
                <w:sz w:val="6"/>
                <w:szCs w:val="6"/>
                <w:color w:val="auto"/>
              </w:rPr>
            </w:pPr>
          </w:p>
        </w:tc>
      </w:tr>
      <w:tr>
        <w:trPr>
          <w:trHeight w:val="491"/>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1,151,991</w:t>
            </w:r>
          </w:p>
        </w:tc>
      </w:tr>
      <w:tr>
        <w:trPr>
          <w:trHeight w:val="341"/>
        </w:trPr>
        <w:tc>
          <w:tcPr>
            <w:tcW w:w="760" w:type="dxa"/>
            <w:vAlign w:val="bottom"/>
          </w:tcPr>
          <w:p>
            <w:pPr>
              <w:jc w:val="right"/>
              <w:spacing w:after="0"/>
              <w:rPr>
                <w:sz w:val="20"/>
                <w:szCs w:val="20"/>
                <w:color w:val="auto"/>
              </w:rPr>
            </w:pPr>
            <w:r>
              <w:rPr>
                <w:rFonts w:ascii="Arial" w:cs="Arial" w:eastAsia="Arial" w:hAnsi="Arial"/>
                <w:sz w:val="14"/>
                <w:szCs w:val="14"/>
                <w:color w:val="auto"/>
              </w:rPr>
              <w:t xml:space="preserve">50,368 </w:t>
            </w:r>
            <w:r>
              <w:rPr>
                <w:rFonts w:ascii="Arial" w:cs="Arial" w:eastAsia="Arial" w:hAnsi="Arial"/>
                <w:sz w:val="18"/>
                <w:szCs w:val="18"/>
                <w:color w:val="auto"/>
                <w:vertAlign w:val="superscript"/>
              </w:rPr>
              <w:t>(2)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3,802,359</w:t>
            </w:r>
          </w:p>
        </w:tc>
      </w:tr>
      <w:tr>
        <w:trPr>
          <w:trHeight w:val="510"/>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3,618,317</w:t>
            </w:r>
          </w:p>
        </w:tc>
      </w:tr>
      <w:tr>
        <w:trPr>
          <w:trHeight w:val="283"/>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6,935,475</w:t>
            </w:r>
          </w:p>
        </w:tc>
      </w:tr>
      <w:tr>
        <w:trPr>
          <w:trHeight w:val="283"/>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3,618,317</w:t>
            </w:r>
          </w:p>
        </w:tc>
      </w:tr>
      <w:tr>
        <w:trPr>
          <w:trHeight w:val="567"/>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1,419,288</w:t>
            </w:r>
          </w:p>
        </w:tc>
      </w:tr>
      <w:tr>
        <w:trPr>
          <w:trHeight w:val="341"/>
        </w:trPr>
        <w:tc>
          <w:tcPr>
            <w:tcW w:w="760" w:type="dxa"/>
            <w:vAlign w:val="bottom"/>
          </w:tcPr>
          <w:p>
            <w:pPr>
              <w:jc w:val="right"/>
              <w:spacing w:after="0"/>
              <w:rPr>
                <w:sz w:val="20"/>
                <w:szCs w:val="20"/>
                <w:color w:val="auto"/>
              </w:rPr>
            </w:pPr>
            <w:r>
              <w:rPr>
                <w:rFonts w:ascii="Arial" w:cs="Arial" w:eastAsia="Arial" w:hAnsi="Arial"/>
                <w:sz w:val="14"/>
                <w:szCs w:val="14"/>
                <w:color w:val="auto"/>
              </w:rPr>
              <w:t xml:space="preserve">8,011 </w:t>
            </w:r>
            <w:r>
              <w:rPr>
                <w:rFonts w:ascii="Arial" w:cs="Arial" w:eastAsia="Arial" w:hAnsi="Arial"/>
                <w:sz w:val="18"/>
                <w:szCs w:val="18"/>
                <w:color w:val="auto"/>
                <w:vertAlign w:val="superscript"/>
              </w:rPr>
              <w:t>(2)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1,957,299</w:t>
            </w:r>
          </w:p>
        </w:tc>
      </w:tr>
      <w:tr>
        <w:trPr>
          <w:trHeight w:val="302"/>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8"/>
        </w:trPr>
        <w:tc>
          <w:tcPr>
            <w:tcW w:w="760" w:type="dxa"/>
            <w:vAlign w:val="bottom"/>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3,326,506</w:t>
            </w:r>
          </w:p>
        </w:tc>
      </w:tr>
      <w:tr>
        <w:trPr>
          <w:trHeight w:val="284"/>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5,470,538</w:t>
            </w:r>
          </w:p>
        </w:tc>
      </w:tr>
      <w:tr>
        <w:trPr>
          <w:trHeight w:val="283"/>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3,326,506</w:t>
            </w:r>
          </w:p>
        </w:tc>
      </w:tr>
      <w:tr>
        <w:trPr>
          <w:trHeight w:val="75"/>
        </w:trPr>
        <w:tc>
          <w:tcPr>
            <w:tcW w:w="760" w:type="dxa"/>
            <w:vAlign w:val="bottom"/>
          </w:tcPr>
          <w:p>
            <w:pPr>
              <w:spacing w:after="0"/>
              <w:rPr>
                <w:sz w:val="6"/>
                <w:szCs w:val="6"/>
                <w:color w:val="auto"/>
              </w:rPr>
            </w:pPr>
          </w:p>
        </w:tc>
        <w:tc>
          <w:tcPr>
            <w:tcW w:w="1320" w:type="dxa"/>
            <w:vAlign w:val="bottom"/>
            <w:shd w:val="clear" w:color="auto" w:fill="F5F5F5"/>
          </w:tcPr>
          <w:p>
            <w:pPr>
              <w:spacing w:after="0"/>
              <w:rPr>
                <w:sz w:val="6"/>
                <w:szCs w:val="6"/>
                <w:color w:val="auto"/>
              </w:rPr>
            </w:pPr>
          </w:p>
        </w:tc>
      </w:tr>
      <w:tr>
        <w:trPr>
          <w:trHeight w:val="492"/>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1,493,811</w:t>
            </w:r>
          </w:p>
        </w:tc>
      </w:tr>
      <w:tr>
        <w:trPr>
          <w:trHeight w:val="341"/>
        </w:trPr>
        <w:tc>
          <w:tcPr>
            <w:tcW w:w="760" w:type="dxa"/>
            <w:vAlign w:val="bottom"/>
          </w:tcPr>
          <w:p>
            <w:pPr>
              <w:jc w:val="right"/>
              <w:spacing w:after="0"/>
              <w:rPr>
                <w:sz w:val="20"/>
                <w:szCs w:val="20"/>
                <w:color w:val="auto"/>
              </w:rPr>
            </w:pPr>
            <w:r>
              <w:rPr>
                <w:rFonts w:ascii="Arial" w:cs="Arial" w:eastAsia="Arial" w:hAnsi="Arial"/>
                <w:sz w:val="14"/>
                <w:szCs w:val="14"/>
                <w:color w:val="auto"/>
              </w:rPr>
              <w:t xml:space="preserve">31,032 </w:t>
            </w:r>
            <w:r>
              <w:rPr>
                <w:rFonts w:ascii="Arial" w:cs="Arial" w:eastAsia="Arial" w:hAnsi="Arial"/>
                <w:sz w:val="18"/>
                <w:szCs w:val="18"/>
                <w:color w:val="auto"/>
                <w:vertAlign w:val="superscript"/>
              </w:rPr>
              <w:t>(2)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3,369,843</w:t>
            </w:r>
          </w:p>
        </w:tc>
      </w:tr>
      <w:tr>
        <w:trPr>
          <w:trHeight w:val="510"/>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3,244,274</w:t>
            </w:r>
          </w:p>
        </w:tc>
      </w:tr>
      <w:tr>
        <w:trPr>
          <w:trHeight w:val="283"/>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5,750,823</w:t>
            </w:r>
          </w:p>
        </w:tc>
      </w:tr>
      <w:tr>
        <w:trPr>
          <w:trHeight w:val="283"/>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3,244,274</w:t>
            </w:r>
          </w:p>
        </w:tc>
      </w:tr>
      <w:tr>
        <w:trPr>
          <w:trHeight w:val="567"/>
        </w:trPr>
        <w:tc>
          <w:tcPr>
            <w:tcW w:w="760" w:type="dxa"/>
            <w:vAlign w:val="bottom"/>
          </w:tcPr>
          <w:p>
            <w:pPr>
              <w:spacing w:after="0"/>
              <w:rPr>
                <w:sz w:val="24"/>
                <w:szCs w:val="24"/>
                <w:color w:val="auto"/>
              </w:rPr>
            </w:pP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1,088,155</w:t>
            </w:r>
          </w:p>
        </w:tc>
      </w:tr>
      <w:tr>
        <w:trPr>
          <w:trHeight w:val="341"/>
        </w:trPr>
        <w:tc>
          <w:tcPr>
            <w:tcW w:w="760" w:type="dxa"/>
            <w:vAlign w:val="bottom"/>
          </w:tcPr>
          <w:p>
            <w:pPr>
              <w:jc w:val="right"/>
              <w:spacing w:after="0"/>
              <w:rPr>
                <w:sz w:val="20"/>
                <w:szCs w:val="20"/>
                <w:color w:val="auto"/>
              </w:rPr>
            </w:pPr>
            <w:r>
              <w:rPr>
                <w:rFonts w:ascii="Arial" w:cs="Arial" w:eastAsia="Arial" w:hAnsi="Arial"/>
                <w:sz w:val="14"/>
                <w:szCs w:val="14"/>
                <w:color w:val="auto"/>
              </w:rPr>
              <w:t xml:space="preserve">30,569 </w:t>
            </w:r>
            <w:r>
              <w:rPr>
                <w:rFonts w:ascii="Arial" w:cs="Arial" w:eastAsia="Arial" w:hAnsi="Arial"/>
                <w:sz w:val="18"/>
                <w:szCs w:val="18"/>
                <w:color w:val="auto"/>
                <w:vertAlign w:val="superscript"/>
              </w:rPr>
              <w:t>(2)</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2,663,724</w:t>
            </w:r>
          </w:p>
        </w:tc>
      </w:tr>
      <w:tr>
        <w:trPr>
          <w:trHeight w:val="302"/>
        </w:trPr>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8"/>
        </w:trPr>
        <w:tc>
          <w:tcPr>
            <w:tcW w:w="760" w:type="dxa"/>
            <w:vAlign w:val="bottom"/>
          </w:tcPr>
          <w:p>
            <w:pPr>
              <w:spacing w:after="0"/>
              <w:rPr>
                <w:sz w:val="18"/>
                <w:szCs w:val="18"/>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2,381,361</w:t>
            </w:r>
          </w:p>
        </w:tc>
      </w:tr>
      <w:tr>
        <w:trPr>
          <w:trHeight w:val="284"/>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4,487,214</w:t>
            </w:r>
          </w:p>
        </w:tc>
      </w:tr>
      <w:tr>
        <w:trPr>
          <w:trHeight w:val="283"/>
        </w:trPr>
        <w:tc>
          <w:tcPr>
            <w:tcW w:w="760" w:type="dxa"/>
            <w:vAlign w:val="bottom"/>
          </w:tcPr>
          <w:p>
            <w:pPr>
              <w:spacing w:after="0"/>
              <w:rPr>
                <w:sz w:val="24"/>
                <w:szCs w:val="24"/>
                <w:color w:val="auto"/>
              </w:rPr>
            </w:pPr>
          </w:p>
        </w:tc>
        <w:tc>
          <w:tcPr>
            <w:tcW w:w="132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2,381,361</w:t>
            </w:r>
          </w:p>
        </w:tc>
      </w:tr>
      <w:tr>
        <w:trPr>
          <w:trHeight w:val="76"/>
        </w:trPr>
        <w:tc>
          <w:tcPr>
            <w:tcW w:w="760" w:type="dxa"/>
            <w:vAlign w:val="bottom"/>
          </w:tcPr>
          <w:p>
            <w:pPr>
              <w:spacing w:after="0"/>
              <w:rPr>
                <w:sz w:val="6"/>
                <w:szCs w:val="6"/>
                <w:color w:val="auto"/>
              </w:rPr>
            </w:pPr>
          </w:p>
        </w:tc>
        <w:tc>
          <w:tcPr>
            <w:tcW w:w="1320" w:type="dxa"/>
            <w:vAlign w:val="bottom"/>
            <w:shd w:val="clear" w:color="auto" w:fill="F5F5F5"/>
          </w:tcPr>
          <w:p>
            <w:pPr>
              <w:spacing w:after="0"/>
              <w:rPr>
                <w:sz w:val="6"/>
                <w:szCs w:val="6"/>
                <w:color w:val="auto"/>
              </w:rPr>
            </w:pPr>
          </w:p>
        </w:tc>
      </w:tr>
    </w:tbl>
    <w:p>
      <w:pPr>
        <w:spacing w:after="0" w:line="200" w:lineRule="exact"/>
        <w:rPr>
          <w:sz w:val="20"/>
          <w:szCs w:val="20"/>
          <w:color w:val="auto"/>
        </w:rPr>
      </w:pPr>
    </w:p>
    <w:p>
      <w:pPr>
        <w:sectPr>
          <w:pgSz w:w="11900" w:h="16838" w:orient="portrait"/>
          <w:cols w:equalWidth="0" w:num="3">
            <w:col w:w="1320" w:space="160"/>
            <w:col w:w="7140" w:space="540"/>
            <w:col w:w="2080"/>
          </w:cols>
          <w:pgMar w:left="320" w:top="130" w:right="339" w:bottom="1440" w:gutter="0" w:footer="0" w:header="0"/>
          <w:type w:val="continuous"/>
        </w:sectPr>
      </w:pPr>
    </w:p>
    <w:p>
      <w:pPr>
        <w:spacing w:after="0" w:line="52" w:lineRule="exact"/>
        <w:rPr>
          <w:sz w:val="20"/>
          <w:szCs w:val="20"/>
          <w:color w:val="auto"/>
        </w:rPr>
      </w:pPr>
    </w:p>
    <w:p>
      <w:pPr>
        <w:jc w:val="both"/>
        <w:ind w:left="260" w:hanging="252"/>
        <w:spacing w:after="0" w:line="245" w:lineRule="auto"/>
        <w:tabs>
          <w:tab w:leader="none" w:pos="257" w:val="left"/>
        </w:tabs>
        <w:numPr>
          <w:ilvl w:val="0"/>
          <w:numId w:val="66"/>
        </w:numPr>
        <w:rPr>
          <w:rFonts w:ascii="Arial" w:cs="Arial" w:eastAsia="Arial" w:hAnsi="Arial"/>
          <w:sz w:val="13"/>
          <w:szCs w:val="13"/>
          <w:color w:val="6D6D6D"/>
        </w:rPr>
      </w:pPr>
      <w:r>
        <w:rPr>
          <w:rFonts w:ascii="Arial" w:cs="Arial" w:eastAsia="Arial" w:hAnsi="Arial"/>
          <w:sz w:val="13"/>
          <w:szCs w:val="13"/>
          <w:color w:val="6D6D6D"/>
        </w:rPr>
        <w:t>At December 31, 2025, each of Messrs. Pollitzer, Shuster, Leatherberry and Smith's 2023 and 2024 RSU grants provided for pro-rata vesting for a termination by us without cause, including a Severance Termination under the Severance Plan. Ms. Swithenbank received RSU grants in 2024 after joining the Company in 2024. No value is included in this table for pro-rata vesting under our NEOs' 2025 RSU grants, because pro-rata vesting of those RSU grants would only have been triggered on or after the first anniversary of the grant date. Each of Messrs. Pollitzer, Leatherberry and Smith and Ms. Swithenbank received PRSU awards in 2024. Mr. Shuster did not receive any PRSUs in 2024. With a hypothetical termination of employment without cause or severance termination at December 31,</w:t>
      </w:r>
    </w:p>
    <w:p>
      <w:pPr>
        <w:sectPr>
          <w:pgSz w:w="11900" w:h="16838" w:orient="portrait"/>
          <w:cols w:equalWidth="0" w:num="1">
            <w:col w:w="11240"/>
          </w:cols>
          <w:pgMar w:left="320" w:top="130" w:right="339" w:bottom="1440" w:gutter="0" w:footer="0" w:header="0"/>
          <w:type w:val="continuous"/>
        </w:sectPr>
      </w:pPr>
    </w:p>
    <w:p>
      <w:pPr>
        <w:spacing w:after="0" w:line="357"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55</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260"/>
        <w:spacing w:after="0" w:line="272" w:lineRule="auto"/>
        <w:rPr>
          <w:sz w:val="20"/>
          <w:szCs w:val="20"/>
          <w:color w:val="auto"/>
        </w:rPr>
      </w:pPr>
      <w:r>
        <w:rPr>
          <w:rFonts w:ascii="Arial" w:cs="Arial" w:eastAsia="Arial" w:hAnsi="Arial"/>
          <w:sz w:val="12"/>
          <w:szCs w:val="12"/>
          <w:color w:val="6D6D6D"/>
        </w:rPr>
        <w:t>2025 and prior to the end of the Performance Periods for each of the 2024 and 2025 PRSU grants for each of Messrs. Pollitzer, Leatherberry and Smith and Ms. Swithenbank, and for the 2025 PRSU grant for Mr. Shuster, the 2024 and 2025 PRSUs would have remained outstanding through the end of each PRSU's respective Performance Periods, after which the Compensation Committee would make its determination of which PRSUs, if any, would be earned and eligible to vest. Notwithstanding that the 2024 and 2025 PRSUs would not have been eligible to vest upon a termination of employment occurring on December 31, 2025, we included values for the 2024 and 2025 PRSUs for each of Messrs. Pollitzer, Leatherberry and Smith and Ms. Swithenbank and the value for the 2025 PRSUs for Mr. Shuster, assuming achievement of 147.5% and 100% of target levels, respectively, as of December 31, 2025. See "Compensation and Related Tables — Outstanding Equity Awards at 2025 Fiscal Year-End" and "— Termination of Employment without Cause or Resignation with Good Reason — NEOs' Unvested RSU and PRSU Awards" above.</w:t>
      </w:r>
    </w:p>
    <w:p>
      <w:pPr>
        <w:spacing w:after="0" w:line="74" w:lineRule="exact"/>
        <w:rPr>
          <w:sz w:val="20"/>
          <w:szCs w:val="20"/>
          <w:color w:val="auto"/>
        </w:rPr>
      </w:pPr>
    </w:p>
    <w:p>
      <w:pPr>
        <w:jc w:val="both"/>
        <w:ind w:left="260" w:hanging="252"/>
        <w:spacing w:after="0" w:line="254" w:lineRule="auto"/>
        <w:tabs>
          <w:tab w:leader="none" w:pos="257" w:val="left"/>
        </w:tabs>
        <w:numPr>
          <w:ilvl w:val="0"/>
          <w:numId w:val="67"/>
        </w:numPr>
        <w:rPr>
          <w:rFonts w:ascii="Arial" w:cs="Arial" w:eastAsia="Arial" w:hAnsi="Arial"/>
          <w:sz w:val="13"/>
          <w:szCs w:val="13"/>
          <w:color w:val="6D6D6D"/>
        </w:rPr>
      </w:pPr>
      <w:r>
        <w:rPr>
          <w:rFonts w:ascii="Arial" w:cs="Arial" w:eastAsia="Arial" w:hAnsi="Arial"/>
          <w:sz w:val="13"/>
          <w:szCs w:val="13"/>
          <w:color w:val="6D6D6D"/>
        </w:rPr>
        <w:t>Amounts payable under the Severance Plan upon a Severance Termination. At December 31, 2025, each of Messrs. Pollitzer and Shuster were eligible for 24 months of base salary and target annual incentive bonus and 18 months of health coverage contributions, each of Messrs. Leatherberry and Smith were eligible for 18 months of base salary and target annual incentive bonus and 12 months of health coverage contributions, and Ms. Swithenbank was eligible for 6 months of base salary, target annual incentive bonus and health coverage contributions. See "</w:t>
      </w:r>
      <w:r>
        <w:rPr>
          <w:rFonts w:ascii="Arial" w:cs="Arial" w:eastAsia="Arial" w:hAnsi="Arial"/>
          <w:sz w:val="13"/>
          <w:szCs w:val="13"/>
          <w:i w:val="1"/>
          <w:iCs w:val="1"/>
          <w:color w:val="6D6D6D"/>
        </w:rPr>
        <w:t>— Severance Plan</w:t>
      </w:r>
      <w:r>
        <w:rPr>
          <w:rFonts w:ascii="Arial" w:cs="Arial" w:eastAsia="Arial" w:hAnsi="Arial"/>
          <w:sz w:val="13"/>
          <w:szCs w:val="13"/>
          <w:color w:val="6D6D6D"/>
        </w:rPr>
        <w:t xml:space="preserve"> </w:t>
      </w:r>
      <w:r>
        <w:rPr>
          <w:rFonts w:ascii="Arial" w:cs="Arial" w:eastAsia="Arial" w:hAnsi="Arial"/>
          <w:sz w:val="13"/>
          <w:szCs w:val="13"/>
          <w:i w:val="1"/>
          <w:iCs w:val="1"/>
          <w:color w:val="6D6D6D"/>
        </w:rPr>
        <w:t>Termination</w:t>
      </w:r>
      <w:r>
        <w:rPr>
          <w:rFonts w:ascii="Arial" w:cs="Arial" w:eastAsia="Arial" w:hAnsi="Arial"/>
          <w:sz w:val="13"/>
          <w:szCs w:val="13"/>
          <w:color w:val="6D6D6D"/>
        </w:rPr>
        <w:t>" above.</w:t>
      </w:r>
    </w:p>
    <w:p>
      <w:pPr>
        <w:spacing w:after="0" w:line="28" w:lineRule="exact"/>
        <w:rPr>
          <w:rFonts w:ascii="Arial" w:cs="Arial" w:eastAsia="Arial" w:hAnsi="Arial"/>
          <w:sz w:val="13"/>
          <w:szCs w:val="13"/>
          <w:color w:val="6D6D6D"/>
        </w:rPr>
      </w:pPr>
    </w:p>
    <w:p>
      <w:pPr>
        <w:jc w:val="both"/>
        <w:ind w:left="260" w:hanging="252"/>
        <w:spacing w:after="0" w:line="251" w:lineRule="auto"/>
        <w:tabs>
          <w:tab w:leader="none" w:pos="257" w:val="left"/>
        </w:tabs>
        <w:numPr>
          <w:ilvl w:val="0"/>
          <w:numId w:val="67"/>
        </w:numPr>
        <w:rPr>
          <w:rFonts w:ascii="Arial" w:cs="Arial" w:eastAsia="Arial" w:hAnsi="Arial"/>
          <w:sz w:val="13"/>
          <w:szCs w:val="13"/>
          <w:color w:val="6D6D6D"/>
        </w:rPr>
      </w:pPr>
      <w:r>
        <w:rPr>
          <w:rFonts w:ascii="Arial" w:cs="Arial" w:eastAsia="Arial" w:hAnsi="Arial"/>
          <w:sz w:val="13"/>
          <w:szCs w:val="13"/>
          <w:color w:val="6D6D6D"/>
        </w:rPr>
        <w:t>At December 31, 2025, our NEOs' equity awards (other than 2024 and 2025 PRSUs granted to NEOs, except for Mr. Shuster who did not receive a 2024 PRSU grant) provided for full vesting if an NEO's employment had been terminated due to death or disability. Each NEO's unvested 2024 and 2025 PRSUs would have vested and been deemed to be earned in full at target performance if such NEO's employment had been terminated due to death or disability at December 31, 2025.</w:t>
      </w:r>
    </w:p>
    <w:p>
      <w:pPr>
        <w:spacing w:after="0" w:line="30" w:lineRule="exact"/>
        <w:rPr>
          <w:rFonts w:ascii="Arial" w:cs="Arial" w:eastAsia="Arial" w:hAnsi="Arial"/>
          <w:sz w:val="13"/>
          <w:szCs w:val="13"/>
          <w:color w:val="6D6D6D"/>
        </w:rPr>
      </w:pPr>
    </w:p>
    <w:p>
      <w:pPr>
        <w:jc w:val="both"/>
        <w:ind w:left="260" w:hanging="252"/>
        <w:spacing w:after="0" w:line="262" w:lineRule="auto"/>
        <w:tabs>
          <w:tab w:leader="none" w:pos="257" w:val="left"/>
        </w:tabs>
        <w:numPr>
          <w:ilvl w:val="0"/>
          <w:numId w:val="67"/>
        </w:numPr>
        <w:rPr>
          <w:rFonts w:ascii="Arial" w:cs="Arial" w:eastAsia="Arial" w:hAnsi="Arial"/>
          <w:sz w:val="13"/>
          <w:szCs w:val="13"/>
          <w:color w:val="6D6D6D"/>
        </w:rPr>
      </w:pPr>
      <w:r>
        <w:rPr>
          <w:rFonts w:ascii="Arial" w:cs="Arial" w:eastAsia="Arial" w:hAnsi="Arial"/>
          <w:sz w:val="13"/>
          <w:szCs w:val="13"/>
          <w:color w:val="6D6D6D"/>
        </w:rPr>
        <w:t>Under the CIC Severance Plan, upon a qualifying termination, at December 31, 2025, each of Messrs. Shuster and Pollitzer would have been entitled to a lump sum cash payment equal to the sum of (i) two times the sum of their 2025 annual base salary and 2025 target annual bonus; plus (ii) his 2025 target annual bonus; plus (iii) the cost of monthly healthcare premiums in effect as of the date of termination for the duration of his COBRA period. In 2025, the COBRA period was 24 months for each of Messrs. Shuster and Mr. Pollitzer.</w:t>
      </w:r>
    </w:p>
    <w:p>
      <w:pPr>
        <w:spacing w:after="0" w:line="23" w:lineRule="exact"/>
        <w:rPr>
          <w:rFonts w:ascii="Arial" w:cs="Arial" w:eastAsia="Arial" w:hAnsi="Arial"/>
          <w:sz w:val="13"/>
          <w:szCs w:val="13"/>
          <w:color w:val="6D6D6D"/>
        </w:rPr>
      </w:pPr>
    </w:p>
    <w:p>
      <w:pPr>
        <w:jc w:val="both"/>
        <w:ind w:left="260" w:hanging="252"/>
        <w:spacing w:after="0" w:line="250" w:lineRule="auto"/>
        <w:tabs>
          <w:tab w:leader="none" w:pos="257" w:val="left"/>
        </w:tabs>
        <w:numPr>
          <w:ilvl w:val="0"/>
          <w:numId w:val="67"/>
        </w:numPr>
        <w:rPr>
          <w:rFonts w:ascii="Arial" w:cs="Arial" w:eastAsia="Arial" w:hAnsi="Arial"/>
          <w:sz w:val="13"/>
          <w:szCs w:val="13"/>
          <w:color w:val="6D6D6D"/>
        </w:rPr>
      </w:pPr>
      <w:r>
        <w:rPr>
          <w:rFonts w:ascii="Arial" w:cs="Arial" w:eastAsia="Arial" w:hAnsi="Arial"/>
          <w:sz w:val="13"/>
          <w:szCs w:val="13"/>
          <w:color w:val="6D6D6D"/>
        </w:rPr>
        <w:t>Upon a change in control at December 31, 2025, any unvested RSUs would have fully vested. Each of our NEOs (other than Mr. Shuster) received a PRSU award in 2024, and each of our NEOs received a PRSU award in 2025. With a hypothetical change in control at December 31, 2025, the end of the Performance Period would have been deemed to be September 30, 2025, and each such NEO would have been eligible to earn a number of PRSUs based on the greater of (x) achievement of the BVPS Vesting Percentage for a performance period from January 1, 2025 to September 30, 2025, or (y) target achievement. The values shown for the 2024 and 2025 PRSUs both assume achievement of 100% of their respective target levels, and that 100% of the 2024 and 2025 PRSUs were deemed to be earned and vested.</w:t>
      </w:r>
    </w:p>
    <w:p>
      <w:pPr>
        <w:spacing w:after="0" w:line="31" w:lineRule="exact"/>
        <w:rPr>
          <w:rFonts w:ascii="Arial" w:cs="Arial" w:eastAsia="Arial" w:hAnsi="Arial"/>
          <w:sz w:val="13"/>
          <w:szCs w:val="13"/>
          <w:color w:val="6D6D6D"/>
        </w:rPr>
      </w:pPr>
    </w:p>
    <w:p>
      <w:pPr>
        <w:jc w:val="both"/>
        <w:ind w:left="260" w:hanging="252"/>
        <w:spacing w:after="0" w:line="254" w:lineRule="auto"/>
        <w:tabs>
          <w:tab w:leader="none" w:pos="257" w:val="left"/>
        </w:tabs>
        <w:numPr>
          <w:ilvl w:val="0"/>
          <w:numId w:val="67"/>
        </w:numPr>
        <w:rPr>
          <w:rFonts w:ascii="Arial" w:cs="Arial" w:eastAsia="Arial" w:hAnsi="Arial"/>
          <w:sz w:val="13"/>
          <w:szCs w:val="13"/>
          <w:color w:val="6D6D6D"/>
        </w:rPr>
      </w:pPr>
      <w:r>
        <w:rPr>
          <w:rFonts w:ascii="Arial" w:cs="Arial" w:eastAsia="Arial" w:hAnsi="Arial"/>
          <w:sz w:val="13"/>
          <w:szCs w:val="13"/>
          <w:color w:val="6D6D6D"/>
        </w:rPr>
        <w:t>Under our CIC Severance Plan, upon a qualifying termination, at December 31, 2025, each of Messrs. Leatherberry and Smith and Ms. Swithenbank would have been entitled to a lump sum cash payment equal to the sum of (i) one and one-half times the sum of the NEO's 2025 annual base salary and 2025 target annual bonus; (ii) the NEO's 2025 target annual bonus; and (iii) the cost of monthly healthcare premiums in effect as of the date of termination for the duration of the participant's COBRA period. In 2025, the COBRA period was 18 months for each of Messrs. Leatherberry and Smith and Ms. Swithenbank.</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DE762B"/>
        </w:rPr>
        <w:t>CEO PAY RATIO</w:t>
      </w:r>
    </w:p>
    <w:p>
      <w:pPr>
        <w:spacing w:after="0" w:line="117" w:lineRule="exact"/>
        <w:rPr>
          <w:sz w:val="20"/>
          <w:szCs w:val="20"/>
          <w:color w:val="auto"/>
        </w:rPr>
      </w:pPr>
    </w:p>
    <w:p>
      <w:pPr>
        <w:ind w:right="340"/>
        <w:spacing w:after="0" w:line="304" w:lineRule="auto"/>
        <w:rPr>
          <w:sz w:val="20"/>
          <w:szCs w:val="20"/>
          <w:color w:val="auto"/>
        </w:rPr>
      </w:pPr>
      <w:r>
        <w:rPr>
          <w:rFonts w:ascii="Arial" w:cs="Arial" w:eastAsia="Arial" w:hAnsi="Arial"/>
          <w:sz w:val="16"/>
          <w:szCs w:val="16"/>
          <w:color w:val="auto"/>
        </w:rPr>
        <w:t>Below is: (i) the 2025 annual total compensation of our CEO; (ii) the 2025 annual total compensation of our median employee; (iii) the ratio of the annual total compensation of our CEO to that of our median employee; and (iv) the methodology we used to calculate our CEO pay ratio.</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Mr. Pollitzer's 2025 Annual Total Compensation*</w:t>
            </w:r>
          </w:p>
        </w:tc>
        <w:tc>
          <w:tcPr>
            <w:tcW w:w="5260" w:type="dxa"/>
            <w:vAlign w:val="bottom"/>
            <w:shd w:val="clear" w:color="auto" w:fill="F5F5F5"/>
          </w:tcPr>
          <w:p>
            <w:pPr>
              <w:jc w:val="center"/>
              <w:ind w:left="508"/>
              <w:spacing w:after="0"/>
              <w:rPr>
                <w:sz w:val="20"/>
                <w:szCs w:val="20"/>
                <w:color w:val="auto"/>
              </w:rPr>
            </w:pPr>
            <w:r>
              <w:rPr>
                <w:rFonts w:ascii="Arial" w:cs="Arial" w:eastAsia="Arial" w:hAnsi="Arial"/>
                <w:sz w:val="14"/>
                <w:szCs w:val="14"/>
                <w:color w:val="auto"/>
              </w:rPr>
              <w:t>$10,209,615</w:t>
            </w:r>
          </w:p>
        </w:tc>
      </w:tr>
      <w:tr>
        <w:trPr>
          <w:trHeight w:val="73"/>
        </w:trPr>
        <w:tc>
          <w:tcPr>
            <w:tcW w:w="5980" w:type="dxa"/>
            <w:vAlign w:val="bottom"/>
            <w:shd w:val="clear" w:color="auto" w:fill="F5F5F5"/>
          </w:tcPr>
          <w:p>
            <w:pPr>
              <w:spacing w:after="0"/>
              <w:rPr>
                <w:sz w:val="6"/>
                <w:szCs w:val="6"/>
                <w:color w:val="auto"/>
              </w:rPr>
            </w:pPr>
          </w:p>
        </w:tc>
        <w:tc>
          <w:tcPr>
            <w:tcW w:w="5260" w:type="dxa"/>
            <w:vAlign w:val="bottom"/>
            <w:shd w:val="clear" w:color="auto" w:fill="F5F5F5"/>
          </w:tcPr>
          <w:p>
            <w:pPr>
              <w:spacing w:after="0"/>
              <w:rPr>
                <w:sz w:val="6"/>
                <w:szCs w:val="6"/>
                <w:color w:val="auto"/>
              </w:rPr>
            </w:pPr>
          </w:p>
        </w:tc>
      </w:tr>
      <w:tr>
        <w:trPr>
          <w:trHeight w:val="208"/>
        </w:trPr>
        <w:tc>
          <w:tcPr>
            <w:tcW w:w="5980" w:type="dxa"/>
            <w:vAlign w:val="bottom"/>
          </w:tcPr>
          <w:p>
            <w:pPr>
              <w:ind w:left="20"/>
              <w:spacing w:after="0"/>
              <w:rPr>
                <w:sz w:val="20"/>
                <w:szCs w:val="20"/>
                <w:color w:val="auto"/>
              </w:rPr>
            </w:pPr>
            <w:r>
              <w:rPr>
                <w:rFonts w:ascii="Arial" w:cs="Arial" w:eastAsia="Arial" w:hAnsi="Arial"/>
                <w:sz w:val="14"/>
                <w:szCs w:val="14"/>
                <w:color w:val="auto"/>
              </w:rPr>
              <w:t>Median Employee's 2025 Annual Total Compensation</w:t>
            </w:r>
          </w:p>
        </w:tc>
        <w:tc>
          <w:tcPr>
            <w:tcW w:w="5260" w:type="dxa"/>
            <w:vAlign w:val="bottom"/>
          </w:tcPr>
          <w:p>
            <w:pPr>
              <w:jc w:val="center"/>
              <w:ind w:left="508"/>
              <w:spacing w:after="0"/>
              <w:rPr>
                <w:sz w:val="20"/>
                <w:szCs w:val="20"/>
                <w:color w:val="auto"/>
              </w:rPr>
            </w:pPr>
            <w:r>
              <w:rPr>
                <w:rFonts w:ascii="Arial" w:cs="Arial" w:eastAsia="Arial" w:hAnsi="Arial"/>
                <w:sz w:val="14"/>
                <w:szCs w:val="14"/>
                <w:color w:val="auto"/>
              </w:rPr>
              <w:t>$186,455</w:t>
            </w:r>
          </w:p>
        </w:tc>
      </w:tr>
      <w:tr>
        <w:trPr>
          <w:trHeight w:val="75"/>
        </w:trPr>
        <w:tc>
          <w:tcPr>
            <w:tcW w:w="5980" w:type="dxa"/>
            <w:vAlign w:val="bottom"/>
          </w:tcPr>
          <w:p>
            <w:pPr>
              <w:spacing w:after="0"/>
              <w:rPr>
                <w:sz w:val="6"/>
                <w:szCs w:val="6"/>
                <w:color w:val="auto"/>
              </w:rPr>
            </w:pPr>
          </w:p>
        </w:tc>
        <w:tc>
          <w:tcPr>
            <w:tcW w:w="5260" w:type="dxa"/>
            <w:vAlign w:val="bottom"/>
          </w:tcPr>
          <w:p>
            <w:pPr>
              <w:spacing w:after="0"/>
              <w:rPr>
                <w:sz w:val="6"/>
                <w:szCs w:val="6"/>
                <w:color w:val="auto"/>
              </w:rPr>
            </w:pPr>
          </w:p>
        </w:tc>
      </w:tr>
      <w:tr>
        <w:trPr>
          <w:trHeight w:val="208"/>
        </w:trPr>
        <w:tc>
          <w:tcPr>
            <w:tcW w:w="5980" w:type="dxa"/>
            <w:vAlign w:val="bottom"/>
            <w:shd w:val="clear" w:color="auto" w:fill="F5F5F5"/>
          </w:tcPr>
          <w:p>
            <w:pPr>
              <w:ind w:left="20"/>
              <w:spacing w:after="0"/>
              <w:rPr>
                <w:sz w:val="20"/>
                <w:szCs w:val="20"/>
                <w:color w:val="auto"/>
              </w:rPr>
            </w:pPr>
            <w:r>
              <w:rPr>
                <w:rFonts w:ascii="Arial" w:cs="Arial" w:eastAsia="Arial" w:hAnsi="Arial"/>
                <w:sz w:val="14"/>
                <w:szCs w:val="14"/>
                <w:color w:val="auto"/>
              </w:rPr>
              <w:t>CEO to Median Employee Pay Ratio</w:t>
            </w:r>
          </w:p>
        </w:tc>
        <w:tc>
          <w:tcPr>
            <w:tcW w:w="5260" w:type="dxa"/>
            <w:vAlign w:val="bottom"/>
            <w:shd w:val="clear" w:color="auto" w:fill="F5F5F5"/>
          </w:tcPr>
          <w:p>
            <w:pPr>
              <w:jc w:val="center"/>
              <w:ind w:left="508"/>
              <w:spacing w:after="0"/>
              <w:rPr>
                <w:sz w:val="20"/>
                <w:szCs w:val="20"/>
                <w:color w:val="auto"/>
              </w:rPr>
            </w:pPr>
            <w:r>
              <w:rPr>
                <w:rFonts w:ascii="Arial" w:cs="Arial" w:eastAsia="Arial" w:hAnsi="Arial"/>
                <w:sz w:val="14"/>
                <w:szCs w:val="14"/>
                <w:color w:val="auto"/>
              </w:rPr>
              <w:t>55:1</w:t>
            </w:r>
          </w:p>
        </w:tc>
      </w:tr>
      <w:tr>
        <w:trPr>
          <w:trHeight w:val="76"/>
        </w:trPr>
        <w:tc>
          <w:tcPr>
            <w:tcW w:w="5980" w:type="dxa"/>
            <w:vAlign w:val="bottom"/>
            <w:shd w:val="clear" w:color="auto" w:fill="F5F5F5"/>
          </w:tcPr>
          <w:p>
            <w:pPr>
              <w:spacing w:after="0"/>
              <w:rPr>
                <w:sz w:val="6"/>
                <w:szCs w:val="6"/>
                <w:color w:val="auto"/>
              </w:rPr>
            </w:pPr>
          </w:p>
        </w:tc>
        <w:tc>
          <w:tcPr>
            <w:tcW w:w="5260" w:type="dxa"/>
            <w:vAlign w:val="bottom"/>
            <w:shd w:val="clear" w:color="auto" w:fill="F5F5F5"/>
          </w:tcPr>
          <w:p>
            <w:pPr>
              <w:spacing w:after="0"/>
              <w:rPr>
                <w:sz w:val="6"/>
                <w:szCs w:val="6"/>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3"/>
          <w:szCs w:val="13"/>
          <w:color w:val="6D6D6D"/>
        </w:rPr>
        <w:t>* Our CEO's 2025 annual total compensation is the same amount disclosed above in the 2025 Summary Compensation Table.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0C2940"/>
        </w:rPr>
        <w:t>METHODOLOGY</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Our CEO pay ratio is a reasonable estimate calculated in a manner consistent with SEC rules. We explain below our methodology and process for identifying our median employee and calculating our CEO to median employee pay ratio:</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005388"/>
        </w:rPr>
        <w:t>Determined Employee Population.</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employee population consisted of all full- and part-time employees (excluding Mr. Pollitzer) who were employed by the Company on December 31, 2025 (2025 Population). As of December 31, 2025 (the date we selected to identify our employees for purposes of the pay ratio calculation), our 2025 Population consisted of 224 individuals, all of whom were employed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005388"/>
        </w:rPr>
        <w:t>Identified Median Employee.</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then compiled compensation information for each employee in the 2025 Population for fiscal year 2025 using a consistently applied compensation measure (of our annual total compensation) in accordance with SEC rules. To identify the new median employee, we calculated the annual total compensation for each individual in the 2025 population, inclusive of the following elements of compensation: 2025 annual cash compensation (i.e., salary or wages, as applicable); cash bonuses and commissions paid in 2025; and the grant date fair value of equity awards granted in 2025. We included bonuses, commissions, and equity grants as these compensation components are widely distributed across our workforce. For all full- and part-time employees who worked for the Company less than the full year (e.g., new hires during the year), we annualized their 2025 cash compensation and assumed payment of bonuses and commissions at target levels. Because our 2025 Population was comprised of an even number of employees, we used the average of the annual total compensation of the two employees nearest the median when determining the annual total compensation of our median employee.</w:t>
      </w:r>
    </w:p>
    <w:p>
      <w:pPr>
        <w:spacing w:after="0" w:line="337"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56</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005388"/>
        </w:rPr>
        <w:t>Calculated CEO Pay Ratio.</w:t>
      </w:r>
    </w:p>
    <w:p>
      <w:pPr>
        <w:spacing w:after="0" w:line="3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We calculated our median employee's 2025 annual total compensation according to the SEC's instructions for preparing the Summary Compensation Table, including the value of all other compensation earned. We then calculated our CEO's 2025 annual total compensation using the same approach to determine the pay ratio shown above.</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0C2940"/>
        </w:rPr>
        <w:t>COMPARABILITY</w:t>
      </w:r>
    </w:p>
    <w:p>
      <w:pPr>
        <w:spacing w:after="0" w:line="7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believe the ratio above is a reasonable estimate, based on the methodology we have described. Given the different methodologies, exclusions, estimates and assumptions other companies may use to calculate their respective CEO pay ratios, as well as differences in employment and compensation practices between companies, the estimated ratio reported above may not be comparable to that reported by other companies.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0C2940"/>
        </w:rPr>
        <w:t>PAY VERSUS PERFORMANCE TABLE</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80" w:type="dxa"/>
            <w:vAlign w:val="bottom"/>
            <w:shd w:val="clear" w:color="auto" w:fill="0C2940"/>
          </w:tcPr>
          <w:p>
            <w:pPr>
              <w:spacing w:after="0"/>
              <w:rPr>
                <w:sz w:val="23"/>
                <w:szCs w:val="23"/>
                <w:color w:val="auto"/>
              </w:rPr>
            </w:pPr>
          </w:p>
        </w:tc>
        <w:tc>
          <w:tcPr>
            <w:tcW w:w="360" w:type="dxa"/>
            <w:vAlign w:val="bottom"/>
            <w:shd w:val="clear" w:color="auto" w:fill="0C2940"/>
          </w:tcPr>
          <w:p>
            <w:pPr>
              <w:spacing w:after="0"/>
              <w:rPr>
                <w:sz w:val="23"/>
                <w:szCs w:val="23"/>
                <w:color w:val="auto"/>
              </w:rPr>
            </w:pPr>
          </w:p>
        </w:tc>
        <w:tc>
          <w:tcPr>
            <w:tcW w:w="1020" w:type="dxa"/>
            <w:vAlign w:val="bottom"/>
            <w:shd w:val="clear" w:color="auto" w:fill="0C2940"/>
          </w:tcPr>
          <w:p>
            <w:pPr>
              <w:spacing w:after="0"/>
              <w:rPr>
                <w:sz w:val="23"/>
                <w:szCs w:val="23"/>
                <w:color w:val="auto"/>
              </w:rPr>
            </w:pPr>
          </w:p>
        </w:tc>
        <w:tc>
          <w:tcPr>
            <w:tcW w:w="280" w:type="dxa"/>
            <w:vAlign w:val="bottom"/>
            <w:shd w:val="clear" w:color="auto" w:fill="0C2940"/>
          </w:tcPr>
          <w:p>
            <w:pPr>
              <w:spacing w:after="0"/>
              <w:rPr>
                <w:sz w:val="23"/>
                <w:szCs w:val="23"/>
                <w:color w:val="auto"/>
              </w:rPr>
            </w:pPr>
          </w:p>
        </w:tc>
        <w:tc>
          <w:tcPr>
            <w:tcW w:w="1120" w:type="dxa"/>
            <w:vAlign w:val="bottom"/>
            <w:shd w:val="clear" w:color="auto" w:fill="0C2940"/>
          </w:tcPr>
          <w:p>
            <w:pPr>
              <w:spacing w:after="0"/>
              <w:rPr>
                <w:sz w:val="23"/>
                <w:szCs w:val="23"/>
                <w:color w:val="auto"/>
              </w:rPr>
            </w:pPr>
          </w:p>
        </w:tc>
        <w:tc>
          <w:tcPr>
            <w:tcW w:w="240" w:type="dxa"/>
            <w:vAlign w:val="bottom"/>
            <w:shd w:val="clear" w:color="auto" w:fill="0C2940"/>
          </w:tcPr>
          <w:p>
            <w:pPr>
              <w:spacing w:after="0"/>
              <w:rPr>
                <w:sz w:val="23"/>
                <w:szCs w:val="23"/>
                <w:color w:val="auto"/>
              </w:rPr>
            </w:pPr>
          </w:p>
        </w:tc>
        <w:tc>
          <w:tcPr>
            <w:tcW w:w="1080" w:type="dxa"/>
            <w:vAlign w:val="bottom"/>
            <w:shd w:val="clear" w:color="auto" w:fill="0C2940"/>
          </w:tcPr>
          <w:p>
            <w:pPr>
              <w:spacing w:after="0"/>
              <w:rPr>
                <w:sz w:val="23"/>
                <w:szCs w:val="23"/>
                <w:color w:val="auto"/>
              </w:rPr>
            </w:pPr>
          </w:p>
        </w:tc>
        <w:tc>
          <w:tcPr>
            <w:tcW w:w="220" w:type="dxa"/>
            <w:vAlign w:val="bottom"/>
            <w:shd w:val="clear" w:color="auto" w:fill="0C2940"/>
          </w:tcPr>
          <w:p>
            <w:pPr>
              <w:spacing w:after="0"/>
              <w:rPr>
                <w:sz w:val="23"/>
                <w:szCs w:val="23"/>
                <w:color w:val="auto"/>
              </w:rPr>
            </w:pPr>
          </w:p>
        </w:tc>
        <w:tc>
          <w:tcPr>
            <w:tcW w:w="1160" w:type="dxa"/>
            <w:vAlign w:val="bottom"/>
            <w:shd w:val="clear" w:color="auto" w:fill="0C2940"/>
          </w:tcPr>
          <w:p>
            <w:pPr>
              <w:spacing w:after="0"/>
              <w:rPr>
                <w:sz w:val="23"/>
                <w:szCs w:val="23"/>
                <w:color w:val="auto"/>
              </w:rPr>
            </w:pPr>
          </w:p>
        </w:tc>
        <w:tc>
          <w:tcPr>
            <w:tcW w:w="240" w:type="dxa"/>
            <w:vAlign w:val="bottom"/>
            <w:shd w:val="clear" w:color="auto" w:fill="0C2940"/>
          </w:tcPr>
          <w:p>
            <w:pPr>
              <w:spacing w:after="0"/>
              <w:rPr>
                <w:sz w:val="23"/>
                <w:szCs w:val="23"/>
                <w:color w:val="auto"/>
              </w:rPr>
            </w:pPr>
          </w:p>
        </w:tc>
        <w:tc>
          <w:tcPr>
            <w:tcW w:w="2120" w:type="dxa"/>
            <w:vAlign w:val="bottom"/>
            <w:gridSpan w:val="3"/>
            <w:shd w:val="clear" w:color="auto" w:fill="0C2940"/>
          </w:tcPr>
          <w:p>
            <w:pPr>
              <w:jc w:val="right"/>
              <w:ind w:right="288"/>
              <w:spacing w:after="0"/>
              <w:rPr>
                <w:sz w:val="20"/>
                <w:szCs w:val="20"/>
                <w:color w:val="auto"/>
              </w:rPr>
            </w:pPr>
            <w:r>
              <w:rPr>
                <w:rFonts w:ascii="Arial" w:cs="Arial" w:eastAsia="Arial" w:hAnsi="Arial"/>
                <w:sz w:val="14"/>
                <w:szCs w:val="14"/>
                <w:color w:val="FFFFFF"/>
              </w:rPr>
              <w:t>Value of Initial Fixed $100</w:t>
            </w:r>
          </w:p>
        </w:tc>
        <w:tc>
          <w:tcPr>
            <w:tcW w:w="460" w:type="dxa"/>
            <w:vAlign w:val="bottom"/>
            <w:shd w:val="clear" w:color="auto" w:fill="0C2940"/>
          </w:tcPr>
          <w:p>
            <w:pPr>
              <w:spacing w:after="0"/>
              <w:rPr>
                <w:sz w:val="23"/>
                <w:szCs w:val="23"/>
                <w:color w:val="auto"/>
              </w:rPr>
            </w:pPr>
          </w:p>
        </w:tc>
        <w:tc>
          <w:tcPr>
            <w:tcW w:w="740" w:type="dxa"/>
            <w:vAlign w:val="bottom"/>
            <w:shd w:val="clear" w:color="auto" w:fill="0C2940"/>
          </w:tcPr>
          <w:p>
            <w:pPr>
              <w:spacing w:after="0"/>
              <w:rPr>
                <w:sz w:val="23"/>
                <w:szCs w:val="23"/>
                <w:color w:val="auto"/>
              </w:rPr>
            </w:pPr>
          </w:p>
        </w:tc>
        <w:tc>
          <w:tcPr>
            <w:tcW w:w="220" w:type="dxa"/>
            <w:vAlign w:val="bottom"/>
            <w:shd w:val="clear" w:color="auto" w:fill="0C2940"/>
          </w:tcPr>
          <w:p>
            <w:pPr>
              <w:spacing w:after="0"/>
              <w:rPr>
                <w:sz w:val="23"/>
                <w:szCs w:val="23"/>
                <w:color w:val="auto"/>
              </w:rPr>
            </w:pPr>
          </w:p>
        </w:tc>
        <w:tc>
          <w:tcPr>
            <w:tcW w:w="1100" w:type="dxa"/>
            <w:vAlign w:val="bottom"/>
            <w:shd w:val="clear" w:color="auto" w:fill="0C2940"/>
          </w:tcPr>
          <w:p>
            <w:pPr>
              <w:spacing w:after="0"/>
              <w:rPr>
                <w:sz w:val="23"/>
                <w:szCs w:val="23"/>
                <w:color w:val="auto"/>
              </w:rPr>
            </w:pPr>
          </w:p>
        </w:tc>
        <w:tc>
          <w:tcPr>
            <w:tcW w:w="20" w:type="dxa"/>
            <w:vAlign w:val="bottom"/>
          </w:tcPr>
          <w:p>
            <w:pPr>
              <w:spacing w:after="0"/>
              <w:rPr>
                <w:sz w:val="23"/>
                <w:szCs w:val="23"/>
                <w:color w:val="auto"/>
              </w:rPr>
            </w:pPr>
          </w:p>
        </w:tc>
      </w:tr>
      <w:tr>
        <w:trPr>
          <w:trHeight w:val="190"/>
        </w:trPr>
        <w:tc>
          <w:tcPr>
            <w:tcW w:w="880" w:type="dxa"/>
            <w:vAlign w:val="bottom"/>
            <w:shd w:val="clear" w:color="auto" w:fill="0C2940"/>
          </w:tcPr>
          <w:p>
            <w:pPr>
              <w:spacing w:after="0"/>
              <w:rPr>
                <w:sz w:val="16"/>
                <w:szCs w:val="16"/>
                <w:color w:val="auto"/>
              </w:rPr>
            </w:pPr>
          </w:p>
        </w:tc>
        <w:tc>
          <w:tcPr>
            <w:tcW w:w="360" w:type="dxa"/>
            <w:vAlign w:val="bottom"/>
            <w:shd w:val="clear" w:color="auto" w:fill="0C2940"/>
          </w:tcPr>
          <w:p>
            <w:pPr>
              <w:spacing w:after="0"/>
              <w:rPr>
                <w:sz w:val="16"/>
                <w:szCs w:val="16"/>
                <w:color w:val="auto"/>
              </w:rPr>
            </w:pPr>
          </w:p>
        </w:tc>
        <w:tc>
          <w:tcPr>
            <w:tcW w:w="1020" w:type="dxa"/>
            <w:vAlign w:val="bottom"/>
            <w:shd w:val="clear" w:color="auto" w:fill="0C2940"/>
          </w:tcPr>
          <w:p>
            <w:pPr>
              <w:spacing w:after="0"/>
              <w:rPr>
                <w:sz w:val="16"/>
                <w:szCs w:val="16"/>
                <w:color w:val="auto"/>
              </w:rPr>
            </w:pPr>
          </w:p>
        </w:tc>
        <w:tc>
          <w:tcPr>
            <w:tcW w:w="280" w:type="dxa"/>
            <w:vAlign w:val="bottom"/>
            <w:shd w:val="clear" w:color="auto" w:fill="0C2940"/>
          </w:tcPr>
          <w:p>
            <w:pPr>
              <w:spacing w:after="0"/>
              <w:rPr>
                <w:sz w:val="16"/>
                <w:szCs w:val="16"/>
                <w:color w:val="auto"/>
              </w:rPr>
            </w:pPr>
          </w:p>
        </w:tc>
        <w:tc>
          <w:tcPr>
            <w:tcW w:w="1120" w:type="dxa"/>
            <w:vAlign w:val="bottom"/>
            <w:shd w:val="clear" w:color="auto" w:fill="0C2940"/>
          </w:tcPr>
          <w:p>
            <w:pPr>
              <w:spacing w:after="0"/>
              <w:rPr>
                <w:sz w:val="16"/>
                <w:szCs w:val="16"/>
                <w:color w:val="auto"/>
              </w:rPr>
            </w:pPr>
          </w:p>
        </w:tc>
        <w:tc>
          <w:tcPr>
            <w:tcW w:w="240" w:type="dxa"/>
            <w:vAlign w:val="bottom"/>
            <w:shd w:val="clear" w:color="auto" w:fill="0C2940"/>
          </w:tcPr>
          <w:p>
            <w:pPr>
              <w:spacing w:after="0"/>
              <w:rPr>
                <w:sz w:val="16"/>
                <w:szCs w:val="16"/>
                <w:color w:val="auto"/>
              </w:rPr>
            </w:pPr>
          </w:p>
        </w:tc>
        <w:tc>
          <w:tcPr>
            <w:tcW w:w="1080" w:type="dxa"/>
            <w:vAlign w:val="bottom"/>
            <w:shd w:val="clear" w:color="auto" w:fill="0C2940"/>
          </w:tcPr>
          <w:p>
            <w:pPr>
              <w:spacing w:after="0"/>
              <w:rPr>
                <w:sz w:val="16"/>
                <w:szCs w:val="16"/>
                <w:color w:val="auto"/>
              </w:rPr>
            </w:pPr>
          </w:p>
        </w:tc>
        <w:tc>
          <w:tcPr>
            <w:tcW w:w="220" w:type="dxa"/>
            <w:vAlign w:val="bottom"/>
            <w:shd w:val="clear" w:color="auto" w:fill="0C2940"/>
          </w:tcPr>
          <w:p>
            <w:pPr>
              <w:spacing w:after="0"/>
              <w:rPr>
                <w:sz w:val="16"/>
                <w:szCs w:val="16"/>
                <w:color w:val="auto"/>
              </w:rPr>
            </w:pPr>
          </w:p>
        </w:tc>
        <w:tc>
          <w:tcPr>
            <w:tcW w:w="1160" w:type="dxa"/>
            <w:vAlign w:val="bottom"/>
            <w:shd w:val="clear" w:color="auto" w:fill="0C2940"/>
          </w:tcPr>
          <w:p>
            <w:pPr>
              <w:spacing w:after="0"/>
              <w:rPr>
                <w:sz w:val="16"/>
                <w:szCs w:val="16"/>
                <w:color w:val="auto"/>
              </w:rPr>
            </w:pPr>
          </w:p>
        </w:tc>
        <w:tc>
          <w:tcPr>
            <w:tcW w:w="240" w:type="dxa"/>
            <w:vAlign w:val="bottom"/>
            <w:shd w:val="clear" w:color="auto" w:fill="0C2940"/>
          </w:tcPr>
          <w:p>
            <w:pPr>
              <w:spacing w:after="0"/>
              <w:rPr>
                <w:sz w:val="16"/>
                <w:szCs w:val="16"/>
                <w:color w:val="auto"/>
              </w:rPr>
            </w:pPr>
          </w:p>
        </w:tc>
        <w:tc>
          <w:tcPr>
            <w:tcW w:w="2120" w:type="dxa"/>
            <w:vAlign w:val="bottom"/>
            <w:gridSpan w:val="3"/>
            <w:shd w:val="clear" w:color="auto" w:fill="0C2940"/>
          </w:tcPr>
          <w:p>
            <w:pPr>
              <w:jc w:val="right"/>
              <w:ind w:right="388"/>
              <w:spacing w:after="0"/>
              <w:rPr>
                <w:sz w:val="20"/>
                <w:szCs w:val="20"/>
                <w:color w:val="auto"/>
              </w:rPr>
            </w:pPr>
            <w:r>
              <w:rPr>
                <w:rFonts w:ascii="Arial" w:cs="Arial" w:eastAsia="Arial" w:hAnsi="Arial"/>
                <w:sz w:val="14"/>
                <w:szCs w:val="14"/>
                <w:color w:val="FFFFFF"/>
              </w:rPr>
              <w:t>Investment Based On:</w:t>
            </w:r>
          </w:p>
        </w:tc>
        <w:tc>
          <w:tcPr>
            <w:tcW w:w="460" w:type="dxa"/>
            <w:vAlign w:val="bottom"/>
            <w:shd w:val="clear" w:color="auto" w:fill="0C2940"/>
          </w:tcPr>
          <w:p>
            <w:pPr>
              <w:spacing w:after="0"/>
              <w:rPr>
                <w:sz w:val="16"/>
                <w:szCs w:val="16"/>
                <w:color w:val="auto"/>
              </w:rPr>
            </w:pPr>
          </w:p>
        </w:tc>
        <w:tc>
          <w:tcPr>
            <w:tcW w:w="740" w:type="dxa"/>
            <w:vAlign w:val="bottom"/>
            <w:shd w:val="clear" w:color="auto" w:fill="0C2940"/>
          </w:tcPr>
          <w:p>
            <w:pPr>
              <w:spacing w:after="0"/>
              <w:rPr>
                <w:sz w:val="16"/>
                <w:szCs w:val="16"/>
                <w:color w:val="auto"/>
              </w:rPr>
            </w:pPr>
          </w:p>
        </w:tc>
        <w:tc>
          <w:tcPr>
            <w:tcW w:w="220" w:type="dxa"/>
            <w:vAlign w:val="bottom"/>
            <w:shd w:val="clear" w:color="auto" w:fill="0C2940"/>
          </w:tcPr>
          <w:p>
            <w:pPr>
              <w:spacing w:after="0"/>
              <w:rPr>
                <w:sz w:val="16"/>
                <w:szCs w:val="16"/>
                <w:color w:val="auto"/>
              </w:rPr>
            </w:pPr>
          </w:p>
        </w:tc>
        <w:tc>
          <w:tcPr>
            <w:tcW w:w="1100" w:type="dxa"/>
            <w:vAlign w:val="bottom"/>
            <w:shd w:val="clear" w:color="auto" w:fill="0C2940"/>
          </w:tcPr>
          <w:p>
            <w:pPr>
              <w:spacing w:after="0"/>
              <w:rPr>
                <w:sz w:val="16"/>
                <w:szCs w:val="16"/>
                <w:color w:val="auto"/>
              </w:rPr>
            </w:pPr>
          </w:p>
        </w:tc>
        <w:tc>
          <w:tcPr>
            <w:tcW w:w="20" w:type="dxa"/>
            <w:vAlign w:val="bottom"/>
          </w:tcPr>
          <w:p>
            <w:pPr>
              <w:spacing w:after="0"/>
              <w:rPr>
                <w:sz w:val="16"/>
                <w:szCs w:val="16"/>
                <w:color w:val="auto"/>
              </w:rPr>
            </w:pPr>
          </w:p>
        </w:tc>
      </w:tr>
      <w:tr>
        <w:trPr>
          <w:trHeight w:val="323"/>
        </w:trPr>
        <w:tc>
          <w:tcPr>
            <w:tcW w:w="880" w:type="dxa"/>
            <w:vAlign w:val="bottom"/>
            <w:shd w:val="clear" w:color="auto" w:fill="0C2940"/>
          </w:tcPr>
          <w:p>
            <w:pPr>
              <w:spacing w:after="0"/>
              <w:rPr>
                <w:sz w:val="24"/>
                <w:szCs w:val="24"/>
                <w:color w:val="auto"/>
              </w:rPr>
            </w:pPr>
          </w:p>
        </w:tc>
        <w:tc>
          <w:tcPr>
            <w:tcW w:w="360" w:type="dxa"/>
            <w:vAlign w:val="bottom"/>
            <w:shd w:val="clear" w:color="auto" w:fill="0C2940"/>
          </w:tcPr>
          <w:p>
            <w:pPr>
              <w:spacing w:after="0"/>
              <w:rPr>
                <w:sz w:val="24"/>
                <w:szCs w:val="24"/>
                <w:color w:val="auto"/>
              </w:rPr>
            </w:pPr>
          </w:p>
        </w:tc>
        <w:tc>
          <w:tcPr>
            <w:tcW w:w="10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Summary</w:t>
            </w:r>
          </w:p>
        </w:tc>
        <w:tc>
          <w:tcPr>
            <w:tcW w:w="280" w:type="dxa"/>
            <w:vAlign w:val="bottom"/>
            <w:shd w:val="clear" w:color="auto" w:fill="0C2940"/>
          </w:tcPr>
          <w:p>
            <w:pPr>
              <w:spacing w:after="0"/>
              <w:rPr>
                <w:sz w:val="24"/>
                <w:szCs w:val="24"/>
                <w:color w:val="auto"/>
              </w:rPr>
            </w:pPr>
          </w:p>
        </w:tc>
        <w:tc>
          <w:tcPr>
            <w:tcW w:w="1120" w:type="dxa"/>
            <w:vAlign w:val="bottom"/>
            <w:shd w:val="clear" w:color="auto" w:fill="0C2940"/>
          </w:tcPr>
          <w:p>
            <w:pPr>
              <w:spacing w:after="0"/>
              <w:rPr>
                <w:sz w:val="24"/>
                <w:szCs w:val="24"/>
                <w:color w:val="auto"/>
              </w:rPr>
            </w:pPr>
          </w:p>
        </w:tc>
        <w:tc>
          <w:tcPr>
            <w:tcW w:w="1320" w:type="dxa"/>
            <w:vAlign w:val="bottom"/>
            <w:gridSpan w:val="2"/>
            <w:shd w:val="clear" w:color="auto" w:fill="0C2940"/>
          </w:tcPr>
          <w:p>
            <w:pPr>
              <w:jc w:val="right"/>
              <w:spacing w:after="0"/>
              <w:rPr>
                <w:sz w:val="20"/>
                <w:szCs w:val="20"/>
                <w:color w:val="auto"/>
              </w:rPr>
            </w:pPr>
            <w:r>
              <w:rPr>
                <w:rFonts w:ascii="Arial" w:cs="Arial" w:eastAsia="Arial" w:hAnsi="Arial"/>
                <w:sz w:val="14"/>
                <w:szCs w:val="14"/>
                <w:color w:val="FFFFFF"/>
              </w:rPr>
              <w:t>Average Summary</w:t>
            </w:r>
          </w:p>
        </w:tc>
        <w:tc>
          <w:tcPr>
            <w:tcW w:w="220" w:type="dxa"/>
            <w:vAlign w:val="bottom"/>
            <w:shd w:val="clear" w:color="auto" w:fill="0C2940"/>
          </w:tcPr>
          <w:p>
            <w:pPr>
              <w:spacing w:after="0"/>
              <w:rPr>
                <w:sz w:val="24"/>
                <w:szCs w:val="24"/>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Average</w:t>
            </w:r>
          </w:p>
        </w:tc>
        <w:tc>
          <w:tcPr>
            <w:tcW w:w="240" w:type="dxa"/>
            <w:vAlign w:val="bottom"/>
            <w:shd w:val="clear" w:color="auto" w:fill="0C2940"/>
          </w:tcPr>
          <w:p>
            <w:pPr>
              <w:spacing w:after="0"/>
              <w:rPr>
                <w:sz w:val="24"/>
                <w:szCs w:val="24"/>
                <w:color w:val="auto"/>
              </w:rPr>
            </w:pPr>
          </w:p>
        </w:tc>
        <w:tc>
          <w:tcPr>
            <w:tcW w:w="940" w:type="dxa"/>
            <w:vAlign w:val="bottom"/>
            <w:shd w:val="clear" w:color="auto" w:fill="0C2940"/>
          </w:tcPr>
          <w:p>
            <w:pPr>
              <w:spacing w:after="0"/>
              <w:rPr>
                <w:sz w:val="24"/>
                <w:szCs w:val="24"/>
                <w:color w:val="auto"/>
              </w:rPr>
            </w:pPr>
          </w:p>
        </w:tc>
        <w:tc>
          <w:tcPr>
            <w:tcW w:w="260" w:type="dxa"/>
            <w:vAlign w:val="bottom"/>
            <w:shd w:val="clear" w:color="auto" w:fill="0C2940"/>
          </w:tcPr>
          <w:p>
            <w:pPr>
              <w:spacing w:after="0"/>
              <w:rPr>
                <w:sz w:val="24"/>
                <w:szCs w:val="24"/>
                <w:color w:val="auto"/>
              </w:rPr>
            </w:pPr>
          </w:p>
        </w:tc>
        <w:tc>
          <w:tcPr>
            <w:tcW w:w="920" w:type="dxa"/>
            <w:vAlign w:val="bottom"/>
            <w:shd w:val="clear" w:color="auto" w:fill="0C2940"/>
          </w:tcPr>
          <w:p>
            <w:pPr>
              <w:spacing w:after="0"/>
              <w:rPr>
                <w:sz w:val="24"/>
                <w:szCs w:val="24"/>
                <w:color w:val="auto"/>
              </w:rPr>
            </w:pPr>
          </w:p>
        </w:tc>
        <w:tc>
          <w:tcPr>
            <w:tcW w:w="460" w:type="dxa"/>
            <w:vAlign w:val="bottom"/>
            <w:shd w:val="clear" w:color="auto" w:fill="0C2940"/>
          </w:tcPr>
          <w:p>
            <w:pPr>
              <w:spacing w:after="0"/>
              <w:rPr>
                <w:sz w:val="24"/>
                <w:szCs w:val="24"/>
                <w:color w:val="auto"/>
              </w:rPr>
            </w:pPr>
          </w:p>
        </w:tc>
        <w:tc>
          <w:tcPr>
            <w:tcW w:w="740" w:type="dxa"/>
            <w:vAlign w:val="bottom"/>
            <w:shd w:val="clear" w:color="auto" w:fill="0C2940"/>
          </w:tcPr>
          <w:p>
            <w:pPr>
              <w:spacing w:after="0"/>
              <w:rPr>
                <w:sz w:val="24"/>
                <w:szCs w:val="24"/>
                <w:color w:val="auto"/>
              </w:rPr>
            </w:pPr>
          </w:p>
        </w:tc>
        <w:tc>
          <w:tcPr>
            <w:tcW w:w="220" w:type="dxa"/>
            <w:vAlign w:val="bottom"/>
            <w:shd w:val="clear" w:color="auto" w:fill="0C2940"/>
          </w:tcPr>
          <w:p>
            <w:pPr>
              <w:spacing w:after="0"/>
              <w:rPr>
                <w:sz w:val="24"/>
                <w:szCs w:val="24"/>
                <w:color w:val="auto"/>
              </w:rPr>
            </w:pPr>
          </w:p>
        </w:tc>
        <w:tc>
          <w:tcPr>
            <w:tcW w:w="1100" w:type="dxa"/>
            <w:vAlign w:val="bottom"/>
            <w:shd w:val="clear" w:color="auto" w:fill="0C2940"/>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880" w:type="dxa"/>
            <w:vAlign w:val="bottom"/>
            <w:shd w:val="clear" w:color="auto" w:fill="0C2940"/>
          </w:tcPr>
          <w:p>
            <w:pPr>
              <w:spacing w:after="0"/>
              <w:rPr>
                <w:sz w:val="14"/>
                <w:szCs w:val="14"/>
                <w:color w:val="auto"/>
              </w:rPr>
            </w:pPr>
          </w:p>
        </w:tc>
        <w:tc>
          <w:tcPr>
            <w:tcW w:w="1380" w:type="dxa"/>
            <w:vAlign w:val="bottom"/>
            <w:gridSpan w:val="2"/>
            <w:shd w:val="clear" w:color="auto" w:fill="0C2940"/>
          </w:tcPr>
          <w:p>
            <w:pPr>
              <w:ind w:left="60"/>
              <w:spacing w:after="0"/>
              <w:rPr>
                <w:sz w:val="20"/>
                <w:szCs w:val="20"/>
                <w:color w:val="auto"/>
              </w:rPr>
            </w:pPr>
            <w:r>
              <w:rPr>
                <w:rFonts w:ascii="Arial" w:cs="Arial" w:eastAsia="Arial" w:hAnsi="Arial"/>
                <w:sz w:val="14"/>
                <w:szCs w:val="14"/>
                <w:color w:val="FFFFFF"/>
              </w:rPr>
              <w:t>Compensation Table</w:t>
            </w:r>
          </w:p>
        </w:tc>
        <w:tc>
          <w:tcPr>
            <w:tcW w:w="280" w:type="dxa"/>
            <w:vAlign w:val="bottom"/>
            <w:shd w:val="clear" w:color="auto" w:fill="0C2940"/>
          </w:tcPr>
          <w:p>
            <w:pPr>
              <w:spacing w:after="0"/>
              <w:rPr>
                <w:sz w:val="14"/>
                <w:szCs w:val="14"/>
                <w:color w:val="auto"/>
              </w:rPr>
            </w:pPr>
          </w:p>
        </w:tc>
        <w:tc>
          <w:tcPr>
            <w:tcW w:w="1120" w:type="dxa"/>
            <w:vAlign w:val="bottom"/>
            <w:shd w:val="clear" w:color="auto" w:fill="0C2940"/>
          </w:tcPr>
          <w:p>
            <w:pPr>
              <w:spacing w:after="0"/>
              <w:rPr>
                <w:sz w:val="14"/>
                <w:szCs w:val="14"/>
                <w:color w:val="auto"/>
              </w:rPr>
            </w:pPr>
          </w:p>
        </w:tc>
        <w:tc>
          <w:tcPr>
            <w:tcW w:w="240" w:type="dxa"/>
            <w:vAlign w:val="bottom"/>
            <w:shd w:val="clear" w:color="auto" w:fill="0C2940"/>
          </w:tcPr>
          <w:p>
            <w:pPr>
              <w:spacing w:after="0"/>
              <w:rPr>
                <w:sz w:val="14"/>
                <w:szCs w:val="14"/>
                <w:color w:val="auto"/>
              </w:rPr>
            </w:pPr>
          </w:p>
        </w:tc>
        <w:tc>
          <w:tcPr>
            <w:tcW w:w="10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Compensation</w:t>
            </w:r>
          </w:p>
        </w:tc>
        <w:tc>
          <w:tcPr>
            <w:tcW w:w="220" w:type="dxa"/>
            <w:vAlign w:val="bottom"/>
            <w:shd w:val="clear" w:color="auto" w:fill="0C2940"/>
          </w:tcPr>
          <w:p>
            <w:pPr>
              <w:spacing w:after="0"/>
              <w:rPr>
                <w:sz w:val="14"/>
                <w:szCs w:val="14"/>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Compensation</w:t>
            </w:r>
          </w:p>
        </w:tc>
        <w:tc>
          <w:tcPr>
            <w:tcW w:w="240" w:type="dxa"/>
            <w:vAlign w:val="bottom"/>
            <w:shd w:val="clear" w:color="auto" w:fill="0C2940"/>
          </w:tcPr>
          <w:p>
            <w:pPr>
              <w:spacing w:after="0"/>
              <w:rPr>
                <w:sz w:val="14"/>
                <w:szCs w:val="14"/>
                <w:color w:val="auto"/>
              </w:rPr>
            </w:pPr>
          </w:p>
        </w:tc>
        <w:tc>
          <w:tcPr>
            <w:tcW w:w="940" w:type="dxa"/>
            <w:vAlign w:val="bottom"/>
            <w:shd w:val="clear" w:color="auto" w:fill="0C2940"/>
          </w:tcPr>
          <w:p>
            <w:pPr>
              <w:spacing w:after="0"/>
              <w:rPr>
                <w:sz w:val="14"/>
                <w:szCs w:val="14"/>
                <w:color w:val="auto"/>
              </w:rPr>
            </w:pPr>
          </w:p>
        </w:tc>
        <w:tc>
          <w:tcPr>
            <w:tcW w:w="1180" w:type="dxa"/>
            <w:vAlign w:val="bottom"/>
            <w:gridSpan w:val="2"/>
            <w:shd w:val="clear" w:color="auto" w:fill="0C2940"/>
          </w:tcPr>
          <w:p>
            <w:pPr>
              <w:jc w:val="right"/>
              <w:spacing w:after="0"/>
              <w:rPr>
                <w:sz w:val="20"/>
                <w:szCs w:val="20"/>
                <w:color w:val="auto"/>
              </w:rPr>
            </w:pPr>
            <w:r>
              <w:rPr>
                <w:rFonts w:ascii="Arial" w:cs="Arial" w:eastAsia="Arial" w:hAnsi="Arial"/>
                <w:sz w:val="14"/>
                <w:szCs w:val="14"/>
                <w:color w:val="FFFFFF"/>
              </w:rPr>
              <w:t>Peer Group Total</w:t>
            </w:r>
          </w:p>
        </w:tc>
        <w:tc>
          <w:tcPr>
            <w:tcW w:w="460" w:type="dxa"/>
            <w:vAlign w:val="bottom"/>
            <w:shd w:val="clear" w:color="auto" w:fill="0C2940"/>
          </w:tcPr>
          <w:p>
            <w:pPr>
              <w:spacing w:after="0"/>
              <w:rPr>
                <w:sz w:val="14"/>
                <w:szCs w:val="14"/>
                <w:color w:val="auto"/>
              </w:rPr>
            </w:pPr>
          </w:p>
        </w:tc>
        <w:tc>
          <w:tcPr>
            <w:tcW w:w="740" w:type="dxa"/>
            <w:vAlign w:val="bottom"/>
            <w:shd w:val="clear" w:color="auto" w:fill="0C2940"/>
          </w:tcPr>
          <w:p>
            <w:pPr>
              <w:spacing w:after="0"/>
              <w:rPr>
                <w:sz w:val="14"/>
                <w:szCs w:val="14"/>
                <w:color w:val="auto"/>
              </w:rPr>
            </w:pPr>
          </w:p>
        </w:tc>
        <w:tc>
          <w:tcPr>
            <w:tcW w:w="220" w:type="dxa"/>
            <w:vAlign w:val="bottom"/>
            <w:shd w:val="clear" w:color="auto" w:fill="0C2940"/>
          </w:tcPr>
          <w:p>
            <w:pPr>
              <w:spacing w:after="0"/>
              <w:rPr>
                <w:sz w:val="14"/>
                <w:szCs w:val="14"/>
                <w:color w:val="auto"/>
              </w:rPr>
            </w:pPr>
          </w:p>
        </w:tc>
        <w:tc>
          <w:tcPr>
            <w:tcW w:w="1100" w:type="dxa"/>
            <w:vAlign w:val="bottom"/>
            <w:shd w:val="clear" w:color="auto" w:fill="0C2940"/>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880" w:type="dxa"/>
            <w:vAlign w:val="bottom"/>
            <w:shd w:val="clear" w:color="auto" w:fill="0C2940"/>
          </w:tcPr>
          <w:p>
            <w:pPr>
              <w:spacing w:after="0"/>
              <w:rPr>
                <w:sz w:val="15"/>
                <w:szCs w:val="15"/>
                <w:color w:val="auto"/>
              </w:rPr>
            </w:pPr>
          </w:p>
        </w:tc>
        <w:tc>
          <w:tcPr>
            <w:tcW w:w="360" w:type="dxa"/>
            <w:vAlign w:val="bottom"/>
            <w:shd w:val="clear" w:color="auto" w:fill="0C2940"/>
          </w:tcPr>
          <w:p>
            <w:pPr>
              <w:spacing w:after="0"/>
              <w:rPr>
                <w:sz w:val="15"/>
                <w:szCs w:val="15"/>
                <w:color w:val="auto"/>
              </w:rPr>
            </w:pPr>
          </w:p>
        </w:tc>
        <w:tc>
          <w:tcPr>
            <w:tcW w:w="10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Total</w:t>
            </w:r>
          </w:p>
        </w:tc>
        <w:tc>
          <w:tcPr>
            <w:tcW w:w="280" w:type="dxa"/>
            <w:vAlign w:val="bottom"/>
            <w:shd w:val="clear" w:color="auto" w:fill="0C2940"/>
          </w:tcPr>
          <w:p>
            <w:pPr>
              <w:spacing w:after="0"/>
              <w:rPr>
                <w:sz w:val="15"/>
                <w:szCs w:val="15"/>
                <w:color w:val="auto"/>
              </w:rPr>
            </w:pPr>
          </w:p>
        </w:tc>
        <w:tc>
          <w:tcPr>
            <w:tcW w:w="2440" w:type="dxa"/>
            <w:vAlign w:val="bottom"/>
            <w:gridSpan w:val="3"/>
            <w:shd w:val="clear" w:color="auto" w:fill="0C2940"/>
          </w:tcPr>
          <w:p>
            <w:pPr>
              <w:jc w:val="right"/>
              <w:spacing w:after="0"/>
              <w:rPr>
                <w:sz w:val="20"/>
                <w:szCs w:val="20"/>
                <w:color w:val="auto"/>
              </w:rPr>
            </w:pPr>
            <w:r>
              <w:rPr>
                <w:rFonts w:ascii="Arial" w:cs="Arial" w:eastAsia="Arial" w:hAnsi="Arial"/>
                <w:sz w:val="14"/>
                <w:szCs w:val="14"/>
                <w:color w:val="FFFFFF"/>
              </w:rPr>
              <w:t>Compensation Table Total for Non-</w:t>
            </w:r>
          </w:p>
        </w:tc>
        <w:tc>
          <w:tcPr>
            <w:tcW w:w="220" w:type="dxa"/>
            <w:vAlign w:val="bottom"/>
            <w:shd w:val="clear" w:color="auto" w:fill="0C2940"/>
          </w:tcPr>
          <w:p>
            <w:pPr>
              <w:spacing w:after="0"/>
              <w:rPr>
                <w:sz w:val="15"/>
                <w:szCs w:val="15"/>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Actually Paid to</w:t>
            </w:r>
          </w:p>
        </w:tc>
        <w:tc>
          <w:tcPr>
            <w:tcW w:w="1180" w:type="dxa"/>
            <w:vAlign w:val="bottom"/>
            <w:gridSpan w:val="2"/>
            <w:shd w:val="clear" w:color="auto" w:fill="0C2940"/>
          </w:tcPr>
          <w:p>
            <w:pPr>
              <w:ind w:left="40"/>
              <w:spacing w:after="0"/>
              <w:rPr>
                <w:sz w:val="20"/>
                <w:szCs w:val="20"/>
                <w:color w:val="auto"/>
              </w:rPr>
            </w:pPr>
            <w:r>
              <w:rPr>
                <w:rFonts w:ascii="Arial" w:cs="Arial" w:eastAsia="Arial" w:hAnsi="Arial"/>
                <w:sz w:val="14"/>
                <w:szCs w:val="14"/>
                <w:color w:val="FFFFFF"/>
              </w:rPr>
              <w:t>Total Shareholder</w:t>
            </w:r>
          </w:p>
        </w:tc>
        <w:tc>
          <w:tcPr>
            <w:tcW w:w="260" w:type="dxa"/>
            <w:vAlign w:val="bottom"/>
            <w:shd w:val="clear" w:color="auto" w:fill="0C2940"/>
          </w:tcPr>
          <w:p>
            <w:pPr>
              <w:spacing w:after="0"/>
              <w:rPr>
                <w:sz w:val="15"/>
                <w:szCs w:val="15"/>
                <w:color w:val="auto"/>
              </w:rPr>
            </w:pPr>
          </w:p>
        </w:tc>
        <w:tc>
          <w:tcPr>
            <w:tcW w:w="9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Shareholder</w:t>
            </w:r>
          </w:p>
        </w:tc>
        <w:tc>
          <w:tcPr>
            <w:tcW w:w="460" w:type="dxa"/>
            <w:vAlign w:val="bottom"/>
            <w:shd w:val="clear" w:color="auto" w:fill="0C2940"/>
          </w:tcPr>
          <w:p>
            <w:pPr>
              <w:spacing w:after="0"/>
              <w:rPr>
                <w:sz w:val="15"/>
                <w:szCs w:val="15"/>
                <w:color w:val="auto"/>
              </w:rPr>
            </w:pPr>
          </w:p>
        </w:tc>
        <w:tc>
          <w:tcPr>
            <w:tcW w:w="74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Net</w:t>
            </w:r>
          </w:p>
        </w:tc>
        <w:tc>
          <w:tcPr>
            <w:tcW w:w="220" w:type="dxa"/>
            <w:vAlign w:val="bottom"/>
            <w:shd w:val="clear" w:color="auto" w:fill="0C2940"/>
          </w:tcPr>
          <w:p>
            <w:pPr>
              <w:spacing w:after="0"/>
              <w:rPr>
                <w:sz w:val="15"/>
                <w:szCs w:val="15"/>
                <w:color w:val="auto"/>
              </w:rPr>
            </w:pPr>
          </w:p>
        </w:tc>
        <w:tc>
          <w:tcPr>
            <w:tcW w:w="110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Book Value per</w:t>
            </w:r>
          </w:p>
        </w:tc>
        <w:tc>
          <w:tcPr>
            <w:tcW w:w="20" w:type="dxa"/>
            <w:vAlign w:val="bottom"/>
          </w:tcPr>
          <w:p>
            <w:pPr>
              <w:spacing w:after="0"/>
              <w:rPr>
                <w:sz w:val="15"/>
                <w:szCs w:val="15"/>
                <w:color w:val="auto"/>
              </w:rPr>
            </w:pPr>
          </w:p>
        </w:tc>
      </w:tr>
      <w:tr>
        <w:trPr>
          <w:trHeight w:val="214"/>
        </w:trPr>
        <w:tc>
          <w:tcPr>
            <w:tcW w:w="880" w:type="dxa"/>
            <w:vAlign w:val="bottom"/>
            <w:shd w:val="clear" w:color="auto" w:fill="0C2940"/>
          </w:tcPr>
          <w:p>
            <w:pPr>
              <w:jc w:val="center"/>
              <w:spacing w:after="0"/>
              <w:rPr>
                <w:sz w:val="20"/>
                <w:szCs w:val="20"/>
                <w:color w:val="auto"/>
              </w:rPr>
            </w:pPr>
            <w:r>
              <w:rPr>
                <w:rFonts w:ascii="Arial" w:cs="Arial" w:eastAsia="Arial" w:hAnsi="Arial"/>
                <w:sz w:val="14"/>
                <w:szCs w:val="14"/>
                <w:color w:val="FFFFFF"/>
                <w:w w:val="98"/>
              </w:rPr>
              <w:t xml:space="preserve">Year </w:t>
            </w:r>
            <w:r>
              <w:rPr>
                <w:rFonts w:ascii="Arial" w:cs="Arial" w:eastAsia="Arial" w:hAnsi="Arial"/>
                <w:sz w:val="9"/>
                <w:szCs w:val="9"/>
                <w:color w:val="FFFFFF"/>
                <w:w w:val="98"/>
              </w:rPr>
              <w:t>(1)</w:t>
            </w:r>
          </w:p>
        </w:tc>
        <w:tc>
          <w:tcPr>
            <w:tcW w:w="360" w:type="dxa"/>
            <w:vAlign w:val="bottom"/>
            <w:shd w:val="clear" w:color="auto" w:fill="0C2940"/>
          </w:tcPr>
          <w:p>
            <w:pPr>
              <w:spacing w:after="0"/>
              <w:rPr>
                <w:sz w:val="18"/>
                <w:szCs w:val="18"/>
                <w:color w:val="auto"/>
              </w:rPr>
            </w:pPr>
          </w:p>
        </w:tc>
        <w:tc>
          <w:tcPr>
            <w:tcW w:w="10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 xml:space="preserve">for PEO </w:t>
            </w:r>
            <w:r>
              <w:rPr>
                <w:rFonts w:ascii="Arial" w:cs="Arial" w:eastAsia="Arial" w:hAnsi="Arial"/>
                <w:sz w:val="18"/>
                <w:szCs w:val="18"/>
                <w:color w:val="FFFFFF"/>
                <w:vertAlign w:val="superscript"/>
              </w:rPr>
              <w:t>(2)</w:t>
            </w:r>
          </w:p>
        </w:tc>
        <w:tc>
          <w:tcPr>
            <w:tcW w:w="1400" w:type="dxa"/>
            <w:vAlign w:val="bottom"/>
            <w:gridSpan w:val="2"/>
            <w:shd w:val="clear" w:color="auto" w:fill="0C2940"/>
          </w:tcPr>
          <w:p>
            <w:pPr>
              <w:ind w:left="40"/>
              <w:spacing w:after="0"/>
              <w:rPr>
                <w:sz w:val="20"/>
                <w:szCs w:val="20"/>
                <w:color w:val="auto"/>
              </w:rPr>
            </w:pPr>
            <w:r>
              <w:rPr>
                <w:rFonts w:ascii="Arial" w:cs="Arial" w:eastAsia="Arial" w:hAnsi="Arial"/>
                <w:sz w:val="14"/>
                <w:szCs w:val="14"/>
                <w:color w:val="FFFFFF"/>
              </w:rPr>
              <w:t>Actually Paid to PEO</w:t>
            </w:r>
          </w:p>
        </w:tc>
        <w:tc>
          <w:tcPr>
            <w:tcW w:w="240" w:type="dxa"/>
            <w:vAlign w:val="bottom"/>
            <w:shd w:val="clear" w:color="auto" w:fill="0C2940"/>
          </w:tcPr>
          <w:p>
            <w:pPr>
              <w:spacing w:after="0"/>
              <w:rPr>
                <w:sz w:val="18"/>
                <w:szCs w:val="18"/>
                <w:color w:val="auto"/>
              </w:rPr>
            </w:pPr>
          </w:p>
        </w:tc>
        <w:tc>
          <w:tcPr>
            <w:tcW w:w="10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 xml:space="preserve">PEO NEOs </w:t>
            </w:r>
            <w:r>
              <w:rPr>
                <w:rFonts w:ascii="Arial" w:cs="Arial" w:eastAsia="Arial" w:hAnsi="Arial"/>
                <w:sz w:val="18"/>
                <w:szCs w:val="18"/>
                <w:color w:val="FFFFFF"/>
                <w:vertAlign w:val="superscript"/>
              </w:rPr>
              <w:t>(2)</w:t>
            </w:r>
          </w:p>
        </w:tc>
        <w:tc>
          <w:tcPr>
            <w:tcW w:w="220" w:type="dxa"/>
            <w:vAlign w:val="bottom"/>
            <w:shd w:val="clear" w:color="auto" w:fill="0C2940"/>
          </w:tcPr>
          <w:p>
            <w:pPr>
              <w:spacing w:after="0"/>
              <w:rPr>
                <w:sz w:val="18"/>
                <w:szCs w:val="18"/>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Non-PEO NEOs</w:t>
            </w:r>
          </w:p>
        </w:tc>
        <w:tc>
          <w:tcPr>
            <w:tcW w:w="240" w:type="dxa"/>
            <w:vAlign w:val="bottom"/>
            <w:shd w:val="clear" w:color="auto" w:fill="0C2940"/>
          </w:tcPr>
          <w:p>
            <w:pPr>
              <w:spacing w:after="0"/>
              <w:rPr>
                <w:sz w:val="18"/>
                <w:szCs w:val="18"/>
                <w:color w:val="auto"/>
              </w:rPr>
            </w:pPr>
          </w:p>
        </w:tc>
        <w:tc>
          <w:tcPr>
            <w:tcW w:w="94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Return</w:t>
            </w:r>
          </w:p>
        </w:tc>
        <w:tc>
          <w:tcPr>
            <w:tcW w:w="260" w:type="dxa"/>
            <w:vAlign w:val="bottom"/>
            <w:shd w:val="clear" w:color="auto" w:fill="0C2940"/>
          </w:tcPr>
          <w:p>
            <w:pPr>
              <w:spacing w:after="0"/>
              <w:rPr>
                <w:sz w:val="18"/>
                <w:szCs w:val="18"/>
                <w:color w:val="auto"/>
              </w:rPr>
            </w:pPr>
          </w:p>
        </w:tc>
        <w:tc>
          <w:tcPr>
            <w:tcW w:w="9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 xml:space="preserve">Return </w:t>
            </w:r>
            <w:r>
              <w:rPr>
                <w:rFonts w:ascii="Arial" w:cs="Arial" w:eastAsia="Arial" w:hAnsi="Arial"/>
                <w:sz w:val="18"/>
                <w:szCs w:val="18"/>
                <w:color w:val="FFFFFF"/>
                <w:vertAlign w:val="superscript"/>
              </w:rPr>
              <w:t>(3)</w:t>
            </w:r>
          </w:p>
        </w:tc>
        <w:tc>
          <w:tcPr>
            <w:tcW w:w="1200" w:type="dxa"/>
            <w:vAlign w:val="bottom"/>
            <w:gridSpan w:val="2"/>
            <w:shd w:val="clear" w:color="auto" w:fill="0C2940"/>
          </w:tcPr>
          <w:p>
            <w:pPr>
              <w:jc w:val="right"/>
              <w:spacing w:after="0"/>
              <w:rPr>
                <w:sz w:val="20"/>
                <w:szCs w:val="20"/>
                <w:color w:val="auto"/>
              </w:rPr>
            </w:pPr>
            <w:r>
              <w:rPr>
                <w:rFonts w:ascii="Arial" w:cs="Arial" w:eastAsia="Arial" w:hAnsi="Arial"/>
                <w:sz w:val="14"/>
                <w:szCs w:val="14"/>
                <w:color w:val="FFFFFF"/>
              </w:rPr>
              <w:t>Income (millions)</w:t>
            </w:r>
          </w:p>
        </w:tc>
        <w:tc>
          <w:tcPr>
            <w:tcW w:w="220" w:type="dxa"/>
            <w:vAlign w:val="bottom"/>
            <w:shd w:val="clear" w:color="auto" w:fill="0C2940"/>
          </w:tcPr>
          <w:p>
            <w:pPr>
              <w:spacing w:after="0"/>
              <w:rPr>
                <w:sz w:val="18"/>
                <w:szCs w:val="18"/>
                <w:color w:val="auto"/>
              </w:rPr>
            </w:pPr>
          </w:p>
        </w:tc>
        <w:tc>
          <w:tcPr>
            <w:tcW w:w="110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 xml:space="preserve">Share </w:t>
            </w:r>
            <w:r>
              <w:rPr>
                <w:rFonts w:ascii="Arial" w:cs="Arial" w:eastAsia="Arial" w:hAnsi="Arial"/>
                <w:sz w:val="18"/>
                <w:szCs w:val="18"/>
                <w:color w:val="FFFFFF"/>
                <w:vertAlign w:val="superscript"/>
              </w:rPr>
              <w:t>(4)</w:t>
            </w:r>
          </w:p>
        </w:tc>
        <w:tc>
          <w:tcPr>
            <w:tcW w:w="20" w:type="dxa"/>
            <w:vAlign w:val="bottom"/>
          </w:tcPr>
          <w:p>
            <w:pPr>
              <w:spacing w:after="0"/>
              <w:rPr>
                <w:sz w:val="18"/>
                <w:szCs w:val="18"/>
                <w:color w:val="auto"/>
              </w:rPr>
            </w:pPr>
          </w:p>
        </w:tc>
      </w:tr>
      <w:tr>
        <w:trPr>
          <w:trHeight w:val="208"/>
        </w:trPr>
        <w:tc>
          <w:tcPr>
            <w:tcW w:w="880" w:type="dxa"/>
            <w:vAlign w:val="bottom"/>
            <w:shd w:val="clear" w:color="auto" w:fill="0C2940"/>
          </w:tcPr>
          <w:p>
            <w:pPr>
              <w:jc w:val="center"/>
              <w:spacing w:after="0"/>
              <w:rPr>
                <w:sz w:val="20"/>
                <w:szCs w:val="20"/>
                <w:color w:val="auto"/>
              </w:rPr>
            </w:pPr>
            <w:r>
              <w:rPr>
                <w:rFonts w:ascii="Arial" w:cs="Arial" w:eastAsia="Arial" w:hAnsi="Arial"/>
                <w:sz w:val="14"/>
                <w:szCs w:val="14"/>
                <w:color w:val="FFFFFF"/>
              </w:rPr>
              <w:t>(a)</w:t>
            </w:r>
          </w:p>
        </w:tc>
        <w:tc>
          <w:tcPr>
            <w:tcW w:w="360" w:type="dxa"/>
            <w:vAlign w:val="bottom"/>
            <w:shd w:val="clear" w:color="auto" w:fill="0C2940"/>
          </w:tcPr>
          <w:p>
            <w:pPr>
              <w:spacing w:after="0"/>
              <w:rPr>
                <w:sz w:val="18"/>
                <w:szCs w:val="18"/>
                <w:color w:val="auto"/>
              </w:rPr>
            </w:pPr>
          </w:p>
        </w:tc>
        <w:tc>
          <w:tcPr>
            <w:tcW w:w="10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(b)</w:t>
            </w:r>
          </w:p>
        </w:tc>
        <w:tc>
          <w:tcPr>
            <w:tcW w:w="280" w:type="dxa"/>
            <w:vAlign w:val="bottom"/>
            <w:shd w:val="clear" w:color="auto" w:fill="0C2940"/>
          </w:tcPr>
          <w:p>
            <w:pPr>
              <w:spacing w:after="0"/>
              <w:rPr>
                <w:sz w:val="18"/>
                <w:szCs w:val="18"/>
                <w:color w:val="auto"/>
              </w:rPr>
            </w:pPr>
          </w:p>
        </w:tc>
        <w:tc>
          <w:tcPr>
            <w:tcW w:w="11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(c)</w:t>
            </w:r>
          </w:p>
        </w:tc>
        <w:tc>
          <w:tcPr>
            <w:tcW w:w="240" w:type="dxa"/>
            <w:vAlign w:val="bottom"/>
            <w:shd w:val="clear" w:color="auto" w:fill="0C2940"/>
          </w:tcPr>
          <w:p>
            <w:pPr>
              <w:spacing w:after="0"/>
              <w:rPr>
                <w:sz w:val="18"/>
                <w:szCs w:val="18"/>
                <w:color w:val="auto"/>
              </w:rPr>
            </w:pPr>
          </w:p>
        </w:tc>
        <w:tc>
          <w:tcPr>
            <w:tcW w:w="10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(d)</w:t>
            </w:r>
          </w:p>
        </w:tc>
        <w:tc>
          <w:tcPr>
            <w:tcW w:w="220" w:type="dxa"/>
            <w:vAlign w:val="bottom"/>
            <w:shd w:val="clear" w:color="auto" w:fill="0C2940"/>
          </w:tcPr>
          <w:p>
            <w:pPr>
              <w:spacing w:after="0"/>
              <w:rPr>
                <w:sz w:val="18"/>
                <w:szCs w:val="18"/>
                <w:color w:val="auto"/>
              </w:rPr>
            </w:pPr>
          </w:p>
        </w:tc>
        <w:tc>
          <w:tcPr>
            <w:tcW w:w="116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(e)</w:t>
            </w:r>
          </w:p>
        </w:tc>
        <w:tc>
          <w:tcPr>
            <w:tcW w:w="240" w:type="dxa"/>
            <w:vAlign w:val="bottom"/>
            <w:shd w:val="clear" w:color="auto" w:fill="0C2940"/>
          </w:tcPr>
          <w:p>
            <w:pPr>
              <w:spacing w:after="0"/>
              <w:rPr>
                <w:sz w:val="18"/>
                <w:szCs w:val="18"/>
                <w:color w:val="auto"/>
              </w:rPr>
            </w:pPr>
          </w:p>
        </w:tc>
        <w:tc>
          <w:tcPr>
            <w:tcW w:w="94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(f)</w:t>
            </w:r>
          </w:p>
        </w:tc>
        <w:tc>
          <w:tcPr>
            <w:tcW w:w="260" w:type="dxa"/>
            <w:vAlign w:val="bottom"/>
            <w:shd w:val="clear" w:color="auto" w:fill="0C2940"/>
          </w:tcPr>
          <w:p>
            <w:pPr>
              <w:spacing w:after="0"/>
              <w:rPr>
                <w:sz w:val="18"/>
                <w:szCs w:val="18"/>
                <w:color w:val="auto"/>
              </w:rPr>
            </w:pPr>
          </w:p>
        </w:tc>
        <w:tc>
          <w:tcPr>
            <w:tcW w:w="92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(g)</w:t>
            </w:r>
          </w:p>
        </w:tc>
        <w:tc>
          <w:tcPr>
            <w:tcW w:w="460" w:type="dxa"/>
            <w:vAlign w:val="bottom"/>
            <w:shd w:val="clear" w:color="auto" w:fill="0C2940"/>
          </w:tcPr>
          <w:p>
            <w:pPr>
              <w:spacing w:after="0"/>
              <w:rPr>
                <w:sz w:val="18"/>
                <w:szCs w:val="18"/>
                <w:color w:val="auto"/>
              </w:rPr>
            </w:pPr>
          </w:p>
        </w:tc>
        <w:tc>
          <w:tcPr>
            <w:tcW w:w="74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(h)</w:t>
            </w:r>
          </w:p>
        </w:tc>
        <w:tc>
          <w:tcPr>
            <w:tcW w:w="220" w:type="dxa"/>
            <w:vAlign w:val="bottom"/>
            <w:shd w:val="clear" w:color="auto" w:fill="0C2940"/>
          </w:tcPr>
          <w:p>
            <w:pPr>
              <w:spacing w:after="0"/>
              <w:rPr>
                <w:sz w:val="18"/>
                <w:szCs w:val="18"/>
                <w:color w:val="auto"/>
              </w:rPr>
            </w:pPr>
          </w:p>
        </w:tc>
        <w:tc>
          <w:tcPr>
            <w:tcW w:w="110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(i)</w:t>
            </w:r>
          </w:p>
        </w:tc>
        <w:tc>
          <w:tcPr>
            <w:tcW w:w="20" w:type="dxa"/>
            <w:vAlign w:val="bottom"/>
            <w:shd w:val="clear" w:color="auto" w:fill="000000"/>
          </w:tcPr>
          <w:p>
            <w:pPr>
              <w:spacing w:after="0"/>
              <w:rPr>
                <w:sz w:val="18"/>
                <w:szCs w:val="18"/>
                <w:color w:val="auto"/>
              </w:rPr>
            </w:pPr>
          </w:p>
        </w:tc>
      </w:tr>
      <w:tr>
        <w:trPr>
          <w:trHeight w:val="76"/>
        </w:trPr>
        <w:tc>
          <w:tcPr>
            <w:tcW w:w="880" w:type="dxa"/>
            <w:vAlign w:val="bottom"/>
            <w:shd w:val="clear" w:color="auto" w:fill="0C2940"/>
          </w:tcPr>
          <w:p>
            <w:pPr>
              <w:spacing w:after="0"/>
              <w:rPr>
                <w:sz w:val="6"/>
                <w:szCs w:val="6"/>
                <w:color w:val="auto"/>
              </w:rPr>
            </w:pPr>
          </w:p>
        </w:tc>
        <w:tc>
          <w:tcPr>
            <w:tcW w:w="360" w:type="dxa"/>
            <w:vAlign w:val="bottom"/>
            <w:shd w:val="clear" w:color="auto" w:fill="0C2940"/>
          </w:tcPr>
          <w:p>
            <w:pPr>
              <w:spacing w:after="0"/>
              <w:rPr>
                <w:sz w:val="6"/>
                <w:szCs w:val="6"/>
                <w:color w:val="auto"/>
              </w:rPr>
            </w:pPr>
          </w:p>
        </w:tc>
        <w:tc>
          <w:tcPr>
            <w:tcW w:w="1020" w:type="dxa"/>
            <w:vAlign w:val="bottom"/>
            <w:shd w:val="clear" w:color="auto" w:fill="0C2940"/>
          </w:tcPr>
          <w:p>
            <w:pPr>
              <w:spacing w:after="0"/>
              <w:rPr>
                <w:sz w:val="6"/>
                <w:szCs w:val="6"/>
                <w:color w:val="auto"/>
              </w:rPr>
            </w:pPr>
          </w:p>
        </w:tc>
        <w:tc>
          <w:tcPr>
            <w:tcW w:w="280" w:type="dxa"/>
            <w:vAlign w:val="bottom"/>
            <w:shd w:val="clear" w:color="auto" w:fill="0C2940"/>
          </w:tcPr>
          <w:p>
            <w:pPr>
              <w:spacing w:after="0"/>
              <w:rPr>
                <w:sz w:val="6"/>
                <w:szCs w:val="6"/>
                <w:color w:val="auto"/>
              </w:rPr>
            </w:pPr>
          </w:p>
        </w:tc>
        <w:tc>
          <w:tcPr>
            <w:tcW w:w="1120" w:type="dxa"/>
            <w:vAlign w:val="bottom"/>
            <w:shd w:val="clear" w:color="auto" w:fill="0C2940"/>
          </w:tcPr>
          <w:p>
            <w:pPr>
              <w:spacing w:after="0"/>
              <w:rPr>
                <w:sz w:val="6"/>
                <w:szCs w:val="6"/>
                <w:color w:val="auto"/>
              </w:rPr>
            </w:pPr>
          </w:p>
        </w:tc>
        <w:tc>
          <w:tcPr>
            <w:tcW w:w="240" w:type="dxa"/>
            <w:vAlign w:val="bottom"/>
            <w:shd w:val="clear" w:color="auto" w:fill="0C2940"/>
          </w:tcPr>
          <w:p>
            <w:pPr>
              <w:spacing w:after="0"/>
              <w:rPr>
                <w:sz w:val="6"/>
                <w:szCs w:val="6"/>
                <w:color w:val="auto"/>
              </w:rPr>
            </w:pPr>
          </w:p>
        </w:tc>
        <w:tc>
          <w:tcPr>
            <w:tcW w:w="1080" w:type="dxa"/>
            <w:vAlign w:val="bottom"/>
            <w:shd w:val="clear" w:color="auto" w:fill="0C2940"/>
          </w:tcPr>
          <w:p>
            <w:pPr>
              <w:spacing w:after="0"/>
              <w:rPr>
                <w:sz w:val="6"/>
                <w:szCs w:val="6"/>
                <w:color w:val="auto"/>
              </w:rPr>
            </w:pPr>
          </w:p>
        </w:tc>
        <w:tc>
          <w:tcPr>
            <w:tcW w:w="220" w:type="dxa"/>
            <w:vAlign w:val="bottom"/>
            <w:shd w:val="clear" w:color="auto" w:fill="0C2940"/>
          </w:tcPr>
          <w:p>
            <w:pPr>
              <w:spacing w:after="0"/>
              <w:rPr>
                <w:sz w:val="6"/>
                <w:szCs w:val="6"/>
                <w:color w:val="auto"/>
              </w:rPr>
            </w:pPr>
          </w:p>
        </w:tc>
        <w:tc>
          <w:tcPr>
            <w:tcW w:w="1160" w:type="dxa"/>
            <w:vAlign w:val="bottom"/>
            <w:shd w:val="clear" w:color="auto" w:fill="0C2940"/>
          </w:tcPr>
          <w:p>
            <w:pPr>
              <w:spacing w:after="0"/>
              <w:rPr>
                <w:sz w:val="6"/>
                <w:szCs w:val="6"/>
                <w:color w:val="auto"/>
              </w:rPr>
            </w:pPr>
          </w:p>
        </w:tc>
        <w:tc>
          <w:tcPr>
            <w:tcW w:w="240" w:type="dxa"/>
            <w:vAlign w:val="bottom"/>
            <w:shd w:val="clear" w:color="auto" w:fill="0C2940"/>
          </w:tcPr>
          <w:p>
            <w:pPr>
              <w:spacing w:after="0"/>
              <w:rPr>
                <w:sz w:val="6"/>
                <w:szCs w:val="6"/>
                <w:color w:val="auto"/>
              </w:rPr>
            </w:pPr>
          </w:p>
        </w:tc>
        <w:tc>
          <w:tcPr>
            <w:tcW w:w="940" w:type="dxa"/>
            <w:vAlign w:val="bottom"/>
            <w:shd w:val="clear" w:color="auto" w:fill="0C2940"/>
          </w:tcPr>
          <w:p>
            <w:pPr>
              <w:spacing w:after="0"/>
              <w:rPr>
                <w:sz w:val="6"/>
                <w:szCs w:val="6"/>
                <w:color w:val="auto"/>
              </w:rPr>
            </w:pPr>
          </w:p>
        </w:tc>
        <w:tc>
          <w:tcPr>
            <w:tcW w:w="260" w:type="dxa"/>
            <w:vAlign w:val="bottom"/>
            <w:shd w:val="clear" w:color="auto" w:fill="0C2940"/>
          </w:tcPr>
          <w:p>
            <w:pPr>
              <w:spacing w:after="0"/>
              <w:rPr>
                <w:sz w:val="6"/>
                <w:szCs w:val="6"/>
                <w:color w:val="auto"/>
              </w:rPr>
            </w:pPr>
          </w:p>
        </w:tc>
        <w:tc>
          <w:tcPr>
            <w:tcW w:w="920" w:type="dxa"/>
            <w:vAlign w:val="bottom"/>
            <w:shd w:val="clear" w:color="auto" w:fill="0C2940"/>
          </w:tcPr>
          <w:p>
            <w:pPr>
              <w:spacing w:after="0"/>
              <w:rPr>
                <w:sz w:val="6"/>
                <w:szCs w:val="6"/>
                <w:color w:val="auto"/>
              </w:rPr>
            </w:pPr>
          </w:p>
        </w:tc>
        <w:tc>
          <w:tcPr>
            <w:tcW w:w="460" w:type="dxa"/>
            <w:vAlign w:val="bottom"/>
            <w:shd w:val="clear" w:color="auto" w:fill="0C2940"/>
          </w:tcPr>
          <w:p>
            <w:pPr>
              <w:spacing w:after="0"/>
              <w:rPr>
                <w:sz w:val="6"/>
                <w:szCs w:val="6"/>
                <w:color w:val="auto"/>
              </w:rPr>
            </w:pPr>
          </w:p>
        </w:tc>
        <w:tc>
          <w:tcPr>
            <w:tcW w:w="740" w:type="dxa"/>
            <w:vAlign w:val="bottom"/>
            <w:shd w:val="clear" w:color="auto" w:fill="0C2940"/>
          </w:tcPr>
          <w:p>
            <w:pPr>
              <w:spacing w:after="0"/>
              <w:rPr>
                <w:sz w:val="6"/>
                <w:szCs w:val="6"/>
                <w:color w:val="auto"/>
              </w:rPr>
            </w:pPr>
          </w:p>
        </w:tc>
        <w:tc>
          <w:tcPr>
            <w:tcW w:w="220" w:type="dxa"/>
            <w:vAlign w:val="bottom"/>
            <w:shd w:val="clear" w:color="auto" w:fill="0C2940"/>
          </w:tcPr>
          <w:p>
            <w:pPr>
              <w:spacing w:after="0"/>
              <w:rPr>
                <w:sz w:val="6"/>
                <w:szCs w:val="6"/>
                <w:color w:val="auto"/>
              </w:rPr>
            </w:pPr>
          </w:p>
        </w:tc>
        <w:tc>
          <w:tcPr>
            <w:tcW w:w="1100" w:type="dxa"/>
            <w:vAlign w:val="bottom"/>
            <w:shd w:val="clear" w:color="auto" w:fill="0C2940"/>
          </w:tcPr>
          <w:p>
            <w:pPr>
              <w:spacing w:after="0"/>
              <w:rPr>
                <w:sz w:val="6"/>
                <w:szCs w:val="6"/>
                <w:color w:val="auto"/>
              </w:rPr>
            </w:pPr>
          </w:p>
        </w:tc>
        <w:tc>
          <w:tcPr>
            <w:tcW w:w="20" w:type="dxa"/>
            <w:vAlign w:val="bottom"/>
            <w:shd w:val="clear" w:color="auto" w:fill="000000"/>
          </w:tcPr>
          <w:p>
            <w:pPr>
              <w:spacing w:after="0"/>
              <w:rPr>
                <w:sz w:val="6"/>
                <w:szCs w:val="6"/>
                <w:color w:val="auto"/>
              </w:rPr>
            </w:pPr>
          </w:p>
        </w:tc>
      </w:tr>
      <w:tr>
        <w:trPr>
          <w:trHeight w:val="208"/>
        </w:trPr>
        <w:tc>
          <w:tcPr>
            <w:tcW w:w="8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2025</w:t>
            </w:r>
          </w:p>
        </w:tc>
        <w:tc>
          <w:tcPr>
            <w:tcW w:w="36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10,209,615</w:t>
            </w:r>
          </w:p>
        </w:tc>
        <w:tc>
          <w:tcPr>
            <w:tcW w:w="28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14,181,268</w:t>
            </w:r>
          </w:p>
        </w:tc>
        <w:tc>
          <w:tcPr>
            <w:tcW w:w="24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2,897,416</w:t>
            </w:r>
          </w:p>
        </w:tc>
        <w:tc>
          <w:tcPr>
            <w:tcW w:w="220" w:type="dxa"/>
            <w:vAlign w:val="bottom"/>
            <w:shd w:val="clear" w:color="auto" w:fill="F5F5F5"/>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3,616,594</w:t>
            </w:r>
          </w:p>
        </w:tc>
        <w:tc>
          <w:tcPr>
            <w:tcW w:w="24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180</w:t>
            </w:r>
          </w:p>
        </w:tc>
        <w:tc>
          <w:tcPr>
            <w:tcW w:w="26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166</w:t>
            </w:r>
          </w:p>
        </w:tc>
        <w:tc>
          <w:tcPr>
            <w:tcW w:w="460" w:type="dxa"/>
            <w:vAlign w:val="bottom"/>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388.9</w:t>
            </w:r>
          </w:p>
        </w:tc>
        <w:tc>
          <w:tcPr>
            <w:tcW w:w="220" w:type="dxa"/>
            <w:vAlign w:val="bottom"/>
            <w:shd w:val="clear" w:color="auto" w:fill="F5F5F5"/>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34.58</w:t>
            </w:r>
          </w:p>
        </w:tc>
        <w:tc>
          <w:tcPr>
            <w:tcW w:w="20" w:type="dxa"/>
            <w:vAlign w:val="bottom"/>
          </w:tcPr>
          <w:p>
            <w:pPr>
              <w:spacing w:after="0"/>
              <w:rPr>
                <w:sz w:val="18"/>
                <w:szCs w:val="18"/>
                <w:color w:val="auto"/>
              </w:rPr>
            </w:pPr>
          </w:p>
        </w:tc>
      </w:tr>
      <w:tr>
        <w:trPr>
          <w:trHeight w:val="76"/>
        </w:trPr>
        <w:tc>
          <w:tcPr>
            <w:tcW w:w="880" w:type="dxa"/>
            <w:vAlign w:val="bottom"/>
            <w:shd w:val="clear" w:color="auto" w:fill="F5F5F5"/>
          </w:tcPr>
          <w:p>
            <w:pPr>
              <w:spacing w:after="0"/>
              <w:rPr>
                <w:sz w:val="6"/>
                <w:szCs w:val="6"/>
                <w:color w:val="auto"/>
              </w:rPr>
            </w:pPr>
          </w:p>
        </w:tc>
        <w:tc>
          <w:tcPr>
            <w:tcW w:w="360" w:type="dxa"/>
            <w:vAlign w:val="bottom"/>
            <w:shd w:val="clear" w:color="auto" w:fill="F5F5F5"/>
          </w:tcPr>
          <w:p>
            <w:pPr>
              <w:spacing w:after="0"/>
              <w:rPr>
                <w:sz w:val="6"/>
                <w:szCs w:val="6"/>
                <w:color w:val="auto"/>
              </w:rPr>
            </w:pPr>
          </w:p>
        </w:tc>
        <w:tc>
          <w:tcPr>
            <w:tcW w:w="1020" w:type="dxa"/>
            <w:vAlign w:val="bottom"/>
            <w:shd w:val="clear" w:color="auto" w:fill="F5F5F5"/>
          </w:tcPr>
          <w:p>
            <w:pPr>
              <w:spacing w:after="0"/>
              <w:rPr>
                <w:sz w:val="6"/>
                <w:szCs w:val="6"/>
                <w:color w:val="auto"/>
              </w:rPr>
            </w:pPr>
          </w:p>
        </w:tc>
        <w:tc>
          <w:tcPr>
            <w:tcW w:w="280" w:type="dxa"/>
            <w:vAlign w:val="bottom"/>
            <w:shd w:val="clear" w:color="auto" w:fill="F5F5F5"/>
          </w:tcPr>
          <w:p>
            <w:pPr>
              <w:spacing w:after="0"/>
              <w:rPr>
                <w:sz w:val="6"/>
                <w:szCs w:val="6"/>
                <w:color w:val="auto"/>
              </w:rPr>
            </w:pPr>
          </w:p>
        </w:tc>
        <w:tc>
          <w:tcPr>
            <w:tcW w:w="1120" w:type="dxa"/>
            <w:vAlign w:val="bottom"/>
            <w:shd w:val="clear" w:color="auto" w:fill="F5F5F5"/>
          </w:tcPr>
          <w:p>
            <w:pPr>
              <w:spacing w:after="0"/>
              <w:rPr>
                <w:sz w:val="6"/>
                <w:szCs w:val="6"/>
                <w:color w:val="auto"/>
              </w:rPr>
            </w:pPr>
          </w:p>
        </w:tc>
        <w:tc>
          <w:tcPr>
            <w:tcW w:w="240" w:type="dxa"/>
            <w:vAlign w:val="bottom"/>
            <w:shd w:val="clear" w:color="auto" w:fill="F5F5F5"/>
          </w:tcPr>
          <w:p>
            <w:pPr>
              <w:spacing w:after="0"/>
              <w:rPr>
                <w:sz w:val="6"/>
                <w:szCs w:val="6"/>
                <w:color w:val="auto"/>
              </w:rPr>
            </w:pPr>
          </w:p>
        </w:tc>
        <w:tc>
          <w:tcPr>
            <w:tcW w:w="1080" w:type="dxa"/>
            <w:vAlign w:val="bottom"/>
            <w:shd w:val="clear" w:color="auto" w:fill="F5F5F5"/>
          </w:tcPr>
          <w:p>
            <w:pPr>
              <w:spacing w:after="0"/>
              <w:rPr>
                <w:sz w:val="6"/>
                <w:szCs w:val="6"/>
                <w:color w:val="auto"/>
              </w:rPr>
            </w:pPr>
          </w:p>
        </w:tc>
        <w:tc>
          <w:tcPr>
            <w:tcW w:w="22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24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260" w:type="dxa"/>
            <w:vAlign w:val="bottom"/>
            <w:shd w:val="clear" w:color="auto" w:fill="F5F5F5"/>
          </w:tcPr>
          <w:p>
            <w:pPr>
              <w:spacing w:after="0"/>
              <w:rPr>
                <w:sz w:val="6"/>
                <w:szCs w:val="6"/>
                <w:color w:val="auto"/>
              </w:rPr>
            </w:pPr>
          </w:p>
        </w:tc>
        <w:tc>
          <w:tcPr>
            <w:tcW w:w="920" w:type="dxa"/>
            <w:vAlign w:val="bottom"/>
            <w:shd w:val="clear" w:color="auto" w:fill="F5F5F5"/>
          </w:tcPr>
          <w:p>
            <w:pPr>
              <w:spacing w:after="0"/>
              <w:rPr>
                <w:sz w:val="6"/>
                <w:szCs w:val="6"/>
                <w:color w:val="auto"/>
              </w:rPr>
            </w:pPr>
          </w:p>
        </w:tc>
        <w:tc>
          <w:tcPr>
            <w:tcW w:w="460" w:type="dxa"/>
            <w:vAlign w:val="bottom"/>
            <w:shd w:val="clear" w:color="auto" w:fill="F5F5F5"/>
          </w:tcPr>
          <w:p>
            <w:pPr>
              <w:spacing w:after="0"/>
              <w:rPr>
                <w:sz w:val="6"/>
                <w:szCs w:val="6"/>
                <w:color w:val="auto"/>
              </w:rPr>
            </w:pPr>
          </w:p>
        </w:tc>
        <w:tc>
          <w:tcPr>
            <w:tcW w:w="740" w:type="dxa"/>
            <w:vAlign w:val="bottom"/>
            <w:shd w:val="clear" w:color="auto" w:fill="F5F5F5"/>
          </w:tcPr>
          <w:p>
            <w:pPr>
              <w:spacing w:after="0"/>
              <w:rPr>
                <w:sz w:val="6"/>
                <w:szCs w:val="6"/>
                <w:color w:val="auto"/>
              </w:rPr>
            </w:pPr>
          </w:p>
        </w:tc>
        <w:tc>
          <w:tcPr>
            <w:tcW w:w="220" w:type="dxa"/>
            <w:vAlign w:val="bottom"/>
            <w:shd w:val="clear" w:color="auto" w:fill="F5F5F5"/>
          </w:tcPr>
          <w:p>
            <w:pPr>
              <w:spacing w:after="0"/>
              <w:rPr>
                <w:sz w:val="6"/>
                <w:szCs w:val="6"/>
                <w:color w:val="auto"/>
              </w:rPr>
            </w:pPr>
          </w:p>
        </w:tc>
        <w:tc>
          <w:tcPr>
            <w:tcW w:w="1100" w:type="dxa"/>
            <w:vAlign w:val="bottom"/>
            <w:shd w:val="clear" w:color="auto" w:fill="F5F5F5"/>
          </w:tcPr>
          <w:p>
            <w:pPr>
              <w:spacing w:after="0"/>
              <w:rPr>
                <w:sz w:val="6"/>
                <w:szCs w:val="6"/>
                <w:color w:val="auto"/>
              </w:rPr>
            </w:pPr>
          </w:p>
        </w:tc>
        <w:tc>
          <w:tcPr>
            <w:tcW w:w="20" w:type="dxa"/>
            <w:vAlign w:val="bottom"/>
          </w:tcPr>
          <w:p>
            <w:pPr>
              <w:spacing w:after="0"/>
              <w:rPr>
                <w:sz w:val="6"/>
                <w:szCs w:val="6"/>
                <w:color w:val="auto"/>
              </w:rPr>
            </w:pPr>
          </w:p>
        </w:tc>
      </w:tr>
      <w:tr>
        <w:trPr>
          <w:trHeight w:val="208"/>
        </w:trPr>
        <w:tc>
          <w:tcPr>
            <w:tcW w:w="880" w:type="dxa"/>
            <w:vAlign w:val="bottom"/>
          </w:tcPr>
          <w:p>
            <w:pPr>
              <w:jc w:val="center"/>
              <w:spacing w:after="0"/>
              <w:rPr>
                <w:sz w:val="20"/>
                <w:szCs w:val="20"/>
                <w:color w:val="auto"/>
              </w:rPr>
            </w:pPr>
            <w:r>
              <w:rPr>
                <w:rFonts w:ascii="Arial" w:cs="Arial" w:eastAsia="Arial" w:hAnsi="Arial"/>
                <w:sz w:val="14"/>
                <w:szCs w:val="14"/>
                <w:color w:val="auto"/>
              </w:rPr>
              <w:t>2024</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8,978,934</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15,261,772</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2,743,746</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3,279,985</w:t>
            </w:r>
          </w:p>
        </w:tc>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46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360.1</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29.80</w:t>
            </w:r>
          </w:p>
        </w:tc>
        <w:tc>
          <w:tcPr>
            <w:tcW w:w="20" w:type="dxa"/>
            <w:vAlign w:val="bottom"/>
          </w:tcPr>
          <w:p>
            <w:pPr>
              <w:spacing w:after="0"/>
              <w:rPr>
                <w:sz w:val="18"/>
                <w:szCs w:val="18"/>
                <w:color w:val="auto"/>
              </w:rPr>
            </w:pPr>
          </w:p>
        </w:tc>
      </w:tr>
      <w:tr>
        <w:trPr>
          <w:trHeight w:val="76"/>
        </w:trPr>
        <w:tc>
          <w:tcPr>
            <w:tcW w:w="8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08"/>
        </w:trPr>
        <w:tc>
          <w:tcPr>
            <w:tcW w:w="880" w:type="dxa"/>
            <w:vAlign w:val="bottom"/>
            <w:shd w:val="clear" w:color="auto" w:fill="F5F5F5"/>
          </w:tcPr>
          <w:p>
            <w:pPr>
              <w:jc w:val="center"/>
              <w:spacing w:after="0"/>
              <w:rPr>
                <w:sz w:val="20"/>
                <w:szCs w:val="20"/>
                <w:color w:val="auto"/>
              </w:rPr>
            </w:pPr>
            <w:r>
              <w:rPr>
                <w:rFonts w:ascii="Arial" w:cs="Arial" w:eastAsia="Arial" w:hAnsi="Arial"/>
                <w:sz w:val="14"/>
                <w:szCs w:val="14"/>
                <w:color w:val="auto"/>
              </w:rPr>
              <w:t>2023</w:t>
            </w:r>
          </w:p>
        </w:tc>
        <w:tc>
          <w:tcPr>
            <w:tcW w:w="36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0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7,931,487</w:t>
            </w:r>
          </w:p>
        </w:tc>
        <w:tc>
          <w:tcPr>
            <w:tcW w:w="28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12,238,436</w:t>
            </w:r>
          </w:p>
        </w:tc>
        <w:tc>
          <w:tcPr>
            <w:tcW w:w="240" w:type="dxa"/>
            <w:vAlign w:val="bottom"/>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2,515,877</w:t>
            </w:r>
          </w:p>
        </w:tc>
        <w:tc>
          <w:tcPr>
            <w:tcW w:w="220" w:type="dxa"/>
            <w:vAlign w:val="bottom"/>
            <w:shd w:val="clear" w:color="auto" w:fill="F5F5F5"/>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F5F5F5"/>
          </w:tcPr>
          <w:p>
            <w:pPr>
              <w:jc w:val="right"/>
              <w:ind w:right="8"/>
              <w:spacing w:after="0"/>
              <w:rPr>
                <w:sz w:val="20"/>
                <w:szCs w:val="20"/>
                <w:color w:val="auto"/>
              </w:rPr>
            </w:pPr>
            <w:r>
              <w:rPr>
                <w:rFonts w:ascii="Arial" w:cs="Arial" w:eastAsia="Arial" w:hAnsi="Arial"/>
                <w:sz w:val="14"/>
                <w:szCs w:val="14"/>
                <w:color w:val="auto"/>
              </w:rPr>
              <w:t>3,829,745</w:t>
            </w:r>
          </w:p>
        </w:tc>
        <w:tc>
          <w:tcPr>
            <w:tcW w:w="240" w:type="dxa"/>
            <w:vAlign w:val="bottom"/>
            <w:shd w:val="clear" w:color="auto" w:fill="F5F5F5"/>
          </w:tcPr>
          <w:p>
            <w:pPr>
              <w:ind w:left="40"/>
              <w:spacing w:after="0"/>
              <w:rPr>
                <w:sz w:val="20"/>
                <w:szCs w:val="20"/>
                <w:color w:val="auto"/>
              </w:rPr>
            </w:pPr>
            <w:r>
              <w:rPr>
                <w:rFonts w:ascii="Arial" w:cs="Arial" w:eastAsia="Arial" w:hAnsi="Arial"/>
                <w:sz w:val="14"/>
                <w:szCs w:val="14"/>
                <w:color w:val="auto"/>
              </w:rPr>
              <w:t>$</w:t>
            </w:r>
          </w:p>
        </w:tc>
        <w:tc>
          <w:tcPr>
            <w:tcW w:w="9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131</w:t>
            </w:r>
          </w:p>
        </w:tc>
        <w:tc>
          <w:tcPr>
            <w:tcW w:w="260" w:type="dxa"/>
            <w:vAlign w:val="bottom"/>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130</w:t>
            </w:r>
          </w:p>
        </w:tc>
        <w:tc>
          <w:tcPr>
            <w:tcW w:w="460" w:type="dxa"/>
            <w:vAlign w:val="bottom"/>
            <w:shd w:val="clear" w:color="auto" w:fill="F5F5F5"/>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F5F5F5"/>
          </w:tcPr>
          <w:p>
            <w:pPr>
              <w:jc w:val="right"/>
              <w:spacing w:after="0"/>
              <w:rPr>
                <w:sz w:val="20"/>
                <w:szCs w:val="20"/>
                <w:color w:val="auto"/>
              </w:rPr>
            </w:pPr>
            <w:r>
              <w:rPr>
                <w:rFonts w:ascii="Arial" w:cs="Arial" w:eastAsia="Arial" w:hAnsi="Arial"/>
                <w:sz w:val="14"/>
                <w:szCs w:val="14"/>
                <w:color w:val="auto"/>
              </w:rPr>
              <w:t>322.1</w:t>
            </w:r>
          </w:p>
        </w:tc>
        <w:tc>
          <w:tcPr>
            <w:tcW w:w="220" w:type="dxa"/>
            <w:vAlign w:val="bottom"/>
            <w:shd w:val="clear" w:color="auto" w:fill="F5F5F5"/>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25.54</w:t>
            </w:r>
          </w:p>
        </w:tc>
        <w:tc>
          <w:tcPr>
            <w:tcW w:w="20" w:type="dxa"/>
            <w:vAlign w:val="bottom"/>
          </w:tcPr>
          <w:p>
            <w:pPr>
              <w:spacing w:after="0"/>
              <w:rPr>
                <w:sz w:val="18"/>
                <w:szCs w:val="18"/>
                <w:color w:val="auto"/>
              </w:rPr>
            </w:pPr>
          </w:p>
        </w:tc>
      </w:tr>
      <w:tr>
        <w:trPr>
          <w:trHeight w:val="76"/>
        </w:trPr>
        <w:tc>
          <w:tcPr>
            <w:tcW w:w="880" w:type="dxa"/>
            <w:vAlign w:val="bottom"/>
            <w:shd w:val="clear" w:color="auto" w:fill="F5F5F5"/>
          </w:tcPr>
          <w:p>
            <w:pPr>
              <w:spacing w:after="0"/>
              <w:rPr>
                <w:sz w:val="6"/>
                <w:szCs w:val="6"/>
                <w:color w:val="auto"/>
              </w:rPr>
            </w:pPr>
          </w:p>
        </w:tc>
        <w:tc>
          <w:tcPr>
            <w:tcW w:w="360" w:type="dxa"/>
            <w:vAlign w:val="bottom"/>
            <w:shd w:val="clear" w:color="auto" w:fill="F5F5F5"/>
          </w:tcPr>
          <w:p>
            <w:pPr>
              <w:spacing w:after="0"/>
              <w:rPr>
                <w:sz w:val="6"/>
                <w:szCs w:val="6"/>
                <w:color w:val="auto"/>
              </w:rPr>
            </w:pPr>
          </w:p>
        </w:tc>
        <w:tc>
          <w:tcPr>
            <w:tcW w:w="1020" w:type="dxa"/>
            <w:vAlign w:val="bottom"/>
            <w:shd w:val="clear" w:color="auto" w:fill="F5F5F5"/>
          </w:tcPr>
          <w:p>
            <w:pPr>
              <w:spacing w:after="0"/>
              <w:rPr>
                <w:sz w:val="6"/>
                <w:szCs w:val="6"/>
                <w:color w:val="auto"/>
              </w:rPr>
            </w:pPr>
          </w:p>
        </w:tc>
        <w:tc>
          <w:tcPr>
            <w:tcW w:w="280" w:type="dxa"/>
            <w:vAlign w:val="bottom"/>
            <w:shd w:val="clear" w:color="auto" w:fill="F5F5F5"/>
          </w:tcPr>
          <w:p>
            <w:pPr>
              <w:spacing w:after="0"/>
              <w:rPr>
                <w:sz w:val="6"/>
                <w:szCs w:val="6"/>
                <w:color w:val="auto"/>
              </w:rPr>
            </w:pPr>
          </w:p>
        </w:tc>
        <w:tc>
          <w:tcPr>
            <w:tcW w:w="1120" w:type="dxa"/>
            <w:vAlign w:val="bottom"/>
            <w:shd w:val="clear" w:color="auto" w:fill="F5F5F5"/>
          </w:tcPr>
          <w:p>
            <w:pPr>
              <w:spacing w:after="0"/>
              <w:rPr>
                <w:sz w:val="6"/>
                <w:szCs w:val="6"/>
                <w:color w:val="auto"/>
              </w:rPr>
            </w:pPr>
          </w:p>
        </w:tc>
        <w:tc>
          <w:tcPr>
            <w:tcW w:w="240" w:type="dxa"/>
            <w:vAlign w:val="bottom"/>
            <w:shd w:val="clear" w:color="auto" w:fill="F5F5F5"/>
          </w:tcPr>
          <w:p>
            <w:pPr>
              <w:spacing w:after="0"/>
              <w:rPr>
                <w:sz w:val="6"/>
                <w:szCs w:val="6"/>
                <w:color w:val="auto"/>
              </w:rPr>
            </w:pPr>
          </w:p>
        </w:tc>
        <w:tc>
          <w:tcPr>
            <w:tcW w:w="1080" w:type="dxa"/>
            <w:vAlign w:val="bottom"/>
            <w:shd w:val="clear" w:color="auto" w:fill="F5F5F5"/>
          </w:tcPr>
          <w:p>
            <w:pPr>
              <w:spacing w:after="0"/>
              <w:rPr>
                <w:sz w:val="6"/>
                <w:szCs w:val="6"/>
                <w:color w:val="auto"/>
              </w:rPr>
            </w:pPr>
          </w:p>
        </w:tc>
        <w:tc>
          <w:tcPr>
            <w:tcW w:w="220" w:type="dxa"/>
            <w:vAlign w:val="bottom"/>
            <w:shd w:val="clear" w:color="auto" w:fill="F5F5F5"/>
          </w:tcPr>
          <w:p>
            <w:pPr>
              <w:spacing w:after="0"/>
              <w:rPr>
                <w:sz w:val="6"/>
                <w:szCs w:val="6"/>
                <w:color w:val="auto"/>
              </w:rPr>
            </w:pPr>
          </w:p>
        </w:tc>
        <w:tc>
          <w:tcPr>
            <w:tcW w:w="1160" w:type="dxa"/>
            <w:vAlign w:val="bottom"/>
            <w:shd w:val="clear" w:color="auto" w:fill="F5F5F5"/>
          </w:tcPr>
          <w:p>
            <w:pPr>
              <w:spacing w:after="0"/>
              <w:rPr>
                <w:sz w:val="6"/>
                <w:szCs w:val="6"/>
                <w:color w:val="auto"/>
              </w:rPr>
            </w:pPr>
          </w:p>
        </w:tc>
        <w:tc>
          <w:tcPr>
            <w:tcW w:w="240" w:type="dxa"/>
            <w:vAlign w:val="bottom"/>
            <w:shd w:val="clear" w:color="auto" w:fill="F5F5F5"/>
          </w:tcPr>
          <w:p>
            <w:pPr>
              <w:spacing w:after="0"/>
              <w:rPr>
                <w:sz w:val="6"/>
                <w:szCs w:val="6"/>
                <w:color w:val="auto"/>
              </w:rPr>
            </w:pPr>
          </w:p>
        </w:tc>
        <w:tc>
          <w:tcPr>
            <w:tcW w:w="940" w:type="dxa"/>
            <w:vAlign w:val="bottom"/>
            <w:shd w:val="clear" w:color="auto" w:fill="F5F5F5"/>
          </w:tcPr>
          <w:p>
            <w:pPr>
              <w:spacing w:after="0"/>
              <w:rPr>
                <w:sz w:val="6"/>
                <w:szCs w:val="6"/>
                <w:color w:val="auto"/>
              </w:rPr>
            </w:pPr>
          </w:p>
        </w:tc>
        <w:tc>
          <w:tcPr>
            <w:tcW w:w="260" w:type="dxa"/>
            <w:vAlign w:val="bottom"/>
            <w:shd w:val="clear" w:color="auto" w:fill="F5F5F5"/>
          </w:tcPr>
          <w:p>
            <w:pPr>
              <w:spacing w:after="0"/>
              <w:rPr>
                <w:sz w:val="6"/>
                <w:szCs w:val="6"/>
                <w:color w:val="auto"/>
              </w:rPr>
            </w:pPr>
          </w:p>
        </w:tc>
        <w:tc>
          <w:tcPr>
            <w:tcW w:w="920" w:type="dxa"/>
            <w:vAlign w:val="bottom"/>
            <w:shd w:val="clear" w:color="auto" w:fill="F5F5F5"/>
          </w:tcPr>
          <w:p>
            <w:pPr>
              <w:spacing w:after="0"/>
              <w:rPr>
                <w:sz w:val="6"/>
                <w:szCs w:val="6"/>
                <w:color w:val="auto"/>
              </w:rPr>
            </w:pPr>
          </w:p>
        </w:tc>
        <w:tc>
          <w:tcPr>
            <w:tcW w:w="460" w:type="dxa"/>
            <w:vAlign w:val="bottom"/>
            <w:shd w:val="clear" w:color="auto" w:fill="F5F5F5"/>
          </w:tcPr>
          <w:p>
            <w:pPr>
              <w:spacing w:after="0"/>
              <w:rPr>
                <w:sz w:val="6"/>
                <w:szCs w:val="6"/>
                <w:color w:val="auto"/>
              </w:rPr>
            </w:pPr>
          </w:p>
        </w:tc>
        <w:tc>
          <w:tcPr>
            <w:tcW w:w="740" w:type="dxa"/>
            <w:vAlign w:val="bottom"/>
            <w:shd w:val="clear" w:color="auto" w:fill="F5F5F5"/>
          </w:tcPr>
          <w:p>
            <w:pPr>
              <w:spacing w:after="0"/>
              <w:rPr>
                <w:sz w:val="6"/>
                <w:szCs w:val="6"/>
                <w:color w:val="auto"/>
              </w:rPr>
            </w:pPr>
          </w:p>
        </w:tc>
        <w:tc>
          <w:tcPr>
            <w:tcW w:w="220" w:type="dxa"/>
            <w:vAlign w:val="bottom"/>
            <w:shd w:val="clear" w:color="auto" w:fill="F5F5F5"/>
          </w:tcPr>
          <w:p>
            <w:pPr>
              <w:spacing w:after="0"/>
              <w:rPr>
                <w:sz w:val="6"/>
                <w:szCs w:val="6"/>
                <w:color w:val="auto"/>
              </w:rPr>
            </w:pPr>
          </w:p>
        </w:tc>
        <w:tc>
          <w:tcPr>
            <w:tcW w:w="1100" w:type="dxa"/>
            <w:vAlign w:val="bottom"/>
            <w:shd w:val="clear" w:color="auto" w:fill="F5F5F5"/>
          </w:tcPr>
          <w:p>
            <w:pPr>
              <w:spacing w:after="0"/>
              <w:rPr>
                <w:sz w:val="6"/>
                <w:szCs w:val="6"/>
                <w:color w:val="auto"/>
              </w:rPr>
            </w:pPr>
          </w:p>
        </w:tc>
        <w:tc>
          <w:tcPr>
            <w:tcW w:w="20" w:type="dxa"/>
            <w:vAlign w:val="bottom"/>
          </w:tcPr>
          <w:p>
            <w:pPr>
              <w:spacing w:after="0"/>
              <w:rPr>
                <w:sz w:val="6"/>
                <w:szCs w:val="6"/>
                <w:color w:val="auto"/>
              </w:rPr>
            </w:pPr>
          </w:p>
        </w:tc>
      </w:tr>
      <w:tr>
        <w:trPr>
          <w:trHeight w:val="235"/>
        </w:trPr>
        <w:tc>
          <w:tcPr>
            <w:tcW w:w="880" w:type="dxa"/>
            <w:vAlign w:val="bottom"/>
          </w:tcPr>
          <w:p>
            <w:pPr>
              <w:jc w:val="center"/>
              <w:spacing w:after="0"/>
              <w:rPr>
                <w:sz w:val="20"/>
                <w:szCs w:val="20"/>
                <w:color w:val="auto"/>
              </w:rPr>
            </w:pPr>
            <w:r>
              <w:rPr>
                <w:rFonts w:ascii="Arial" w:cs="Arial" w:eastAsia="Arial" w:hAnsi="Arial"/>
                <w:sz w:val="14"/>
                <w:szCs w:val="14"/>
                <w:color w:val="auto"/>
              </w:rPr>
              <w:t>2022</w:t>
            </w:r>
          </w:p>
        </w:tc>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5,474,844</w:t>
            </w:r>
          </w:p>
        </w:tc>
        <w:tc>
          <w:tcPr>
            <w:tcW w:w="28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5,004,886</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2,831,491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2,750,584</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93</w:t>
            </w:r>
          </w:p>
        </w:tc>
        <w:tc>
          <w:tcPr>
            <w:tcW w:w="4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292.9</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21.76</w:t>
            </w:r>
          </w:p>
        </w:tc>
        <w:tc>
          <w:tcPr>
            <w:tcW w:w="20" w:type="dxa"/>
            <w:vAlign w:val="bottom"/>
          </w:tcPr>
          <w:p>
            <w:pPr>
              <w:spacing w:after="0"/>
              <w:rPr>
                <w:sz w:val="20"/>
                <w:szCs w:val="20"/>
                <w:color w:val="auto"/>
              </w:rPr>
            </w:pPr>
          </w:p>
        </w:tc>
      </w:tr>
      <w:tr>
        <w:trPr>
          <w:trHeight w:val="48"/>
        </w:trPr>
        <w:tc>
          <w:tcPr>
            <w:tcW w:w="8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64"/>
        </w:trPr>
        <w:tc>
          <w:tcPr>
            <w:tcW w:w="880" w:type="dxa"/>
            <w:vAlign w:val="bottom"/>
            <w:tcBorders>
              <w:bottom w:val="single" w:sz="8" w:color="F5F5F5"/>
            </w:tcBorders>
            <w:shd w:val="clear" w:color="auto" w:fill="F5F5F5"/>
          </w:tcPr>
          <w:p>
            <w:pPr>
              <w:jc w:val="center"/>
              <w:spacing w:after="0"/>
              <w:rPr>
                <w:sz w:val="20"/>
                <w:szCs w:val="20"/>
                <w:color w:val="auto"/>
              </w:rPr>
            </w:pPr>
            <w:r>
              <w:rPr>
                <w:rFonts w:ascii="Arial" w:cs="Arial" w:eastAsia="Arial" w:hAnsi="Arial"/>
                <w:sz w:val="14"/>
                <w:szCs w:val="14"/>
                <w:color w:val="auto"/>
              </w:rPr>
              <w:t>2021</w:t>
            </w:r>
          </w:p>
        </w:tc>
        <w:tc>
          <w:tcPr>
            <w:tcW w:w="360" w:type="dxa"/>
            <w:vAlign w:val="bottom"/>
            <w:tcBorders>
              <w:bottom w:val="single" w:sz="8" w:color="F5F5F5"/>
            </w:tcBorders>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4,970,949</w:t>
            </w:r>
          </w:p>
        </w:tc>
        <w:tc>
          <w:tcPr>
            <w:tcW w:w="280" w:type="dxa"/>
            <w:vAlign w:val="bottom"/>
            <w:tcBorders>
              <w:bottom w:val="single" w:sz="8" w:color="F5F5F5"/>
            </w:tcBorders>
            <w:shd w:val="clear" w:color="auto" w:fill="F5F5F5"/>
          </w:tcPr>
          <w:p>
            <w:pPr>
              <w:ind w:left="4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F5F5F5"/>
            </w:tcBorders>
            <w:shd w:val="clear" w:color="auto" w:fill="F5F5F5"/>
          </w:tcPr>
          <w:p>
            <w:pPr>
              <w:jc w:val="right"/>
              <w:ind w:right="8"/>
              <w:spacing w:after="0"/>
              <w:rPr>
                <w:sz w:val="20"/>
                <w:szCs w:val="20"/>
                <w:color w:val="auto"/>
              </w:rPr>
            </w:pPr>
            <w:r>
              <w:rPr>
                <w:rFonts w:ascii="Arial" w:cs="Arial" w:eastAsia="Arial" w:hAnsi="Arial"/>
                <w:sz w:val="14"/>
                <w:szCs w:val="14"/>
                <w:color w:val="auto"/>
              </w:rPr>
              <w:t>4,032,083</w:t>
            </w:r>
          </w:p>
        </w:tc>
        <w:tc>
          <w:tcPr>
            <w:tcW w:w="240" w:type="dxa"/>
            <w:vAlign w:val="bottom"/>
            <w:tcBorders>
              <w:bottom w:val="single" w:sz="8" w:color="F5F5F5"/>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F5F5F5"/>
            </w:tcBorders>
            <w:shd w:val="clear" w:color="auto" w:fill="F5F5F5"/>
          </w:tcPr>
          <w:p>
            <w:pPr>
              <w:jc w:val="right"/>
              <w:ind w:right="8"/>
              <w:spacing w:after="0"/>
              <w:rPr>
                <w:sz w:val="20"/>
                <w:szCs w:val="20"/>
                <w:color w:val="auto"/>
              </w:rPr>
            </w:pPr>
            <w:r>
              <w:rPr>
                <w:rFonts w:ascii="Arial" w:cs="Arial" w:eastAsia="Arial" w:hAnsi="Arial"/>
                <w:sz w:val="14"/>
                <w:szCs w:val="14"/>
                <w:color w:val="auto"/>
              </w:rPr>
              <w:t>2,605,661</w:t>
            </w:r>
          </w:p>
        </w:tc>
        <w:tc>
          <w:tcPr>
            <w:tcW w:w="220" w:type="dxa"/>
            <w:vAlign w:val="bottom"/>
            <w:tcBorders>
              <w:bottom w:val="single" w:sz="8" w:color="F5F5F5"/>
            </w:tcBorders>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5F5F5"/>
            </w:tcBorders>
            <w:shd w:val="clear" w:color="auto" w:fill="F5F5F5"/>
          </w:tcPr>
          <w:p>
            <w:pPr>
              <w:jc w:val="right"/>
              <w:ind w:right="8"/>
              <w:spacing w:after="0"/>
              <w:rPr>
                <w:sz w:val="20"/>
                <w:szCs w:val="20"/>
                <w:color w:val="auto"/>
              </w:rPr>
            </w:pPr>
            <w:r>
              <w:rPr>
                <w:rFonts w:ascii="Arial" w:cs="Arial" w:eastAsia="Arial" w:hAnsi="Arial"/>
                <w:sz w:val="14"/>
                <w:szCs w:val="14"/>
                <w:color w:val="auto"/>
              </w:rPr>
              <w:t>2,534,488</w:t>
            </w:r>
          </w:p>
        </w:tc>
        <w:tc>
          <w:tcPr>
            <w:tcW w:w="240" w:type="dxa"/>
            <w:vAlign w:val="bottom"/>
            <w:tcBorders>
              <w:bottom w:val="single" w:sz="8" w:color="F5F5F5"/>
            </w:tcBorders>
            <w:shd w:val="clear" w:color="auto" w:fill="F5F5F5"/>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96</w:t>
            </w:r>
          </w:p>
        </w:tc>
        <w:tc>
          <w:tcPr>
            <w:tcW w:w="260" w:type="dxa"/>
            <w:vAlign w:val="bottom"/>
            <w:tcBorders>
              <w:bottom w:val="single" w:sz="8" w:color="F5F5F5"/>
            </w:tcBorders>
            <w:shd w:val="clear" w:color="auto" w:fill="F5F5F5"/>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106</w:t>
            </w:r>
          </w:p>
        </w:tc>
        <w:tc>
          <w:tcPr>
            <w:tcW w:w="460" w:type="dxa"/>
            <w:vAlign w:val="bottom"/>
            <w:tcBorders>
              <w:bottom w:val="single" w:sz="8" w:color="F5F5F5"/>
            </w:tcBorders>
            <w:shd w:val="clear" w:color="auto" w:fill="F5F5F5"/>
          </w:tcPr>
          <w:p>
            <w:pPr>
              <w:jc w:val="right"/>
              <w:ind w:right="2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231.1</w:t>
            </w:r>
          </w:p>
        </w:tc>
        <w:tc>
          <w:tcPr>
            <w:tcW w:w="220" w:type="dxa"/>
            <w:vAlign w:val="bottom"/>
            <w:tcBorders>
              <w:bottom w:val="single" w:sz="8" w:color="F5F5F5"/>
            </w:tcBorders>
            <w:shd w:val="clear" w:color="auto" w:fill="F5F5F5"/>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F5F5F5"/>
            </w:tcBorders>
            <w:shd w:val="clear" w:color="auto" w:fill="F5F5F5"/>
          </w:tcPr>
          <w:p>
            <w:pPr>
              <w:jc w:val="right"/>
              <w:spacing w:after="0"/>
              <w:rPr>
                <w:sz w:val="20"/>
                <w:szCs w:val="20"/>
                <w:color w:val="auto"/>
              </w:rPr>
            </w:pPr>
            <w:r>
              <w:rPr>
                <w:rFonts w:ascii="Arial" w:cs="Arial" w:eastAsia="Arial" w:hAnsi="Arial"/>
                <w:sz w:val="14"/>
                <w:szCs w:val="14"/>
                <w:color w:val="auto"/>
              </w:rPr>
              <w:t>18.23</w:t>
            </w:r>
          </w:p>
        </w:tc>
        <w:tc>
          <w:tcPr>
            <w:tcW w:w="20" w:type="dxa"/>
            <w:vAlign w:val="bottom"/>
          </w:tcPr>
          <w:p>
            <w:pPr>
              <w:spacing w:after="0"/>
              <w:rPr>
                <w:sz w:val="22"/>
                <w:szCs w:val="22"/>
                <w:color w:val="auto"/>
              </w:rPr>
            </w:pPr>
          </w:p>
        </w:tc>
      </w:tr>
      <w:tr>
        <w:trPr>
          <w:trHeight w:val="20"/>
        </w:trPr>
        <w:tc>
          <w:tcPr>
            <w:tcW w:w="880" w:type="dxa"/>
            <w:vAlign w:val="bottom"/>
            <w:shd w:val="clear" w:color="auto" w:fill="DE762B"/>
          </w:tcPr>
          <w:p>
            <w:pPr>
              <w:spacing w:after="0" w:line="20" w:lineRule="exact"/>
              <w:rPr>
                <w:sz w:val="1"/>
                <w:szCs w:val="1"/>
                <w:color w:val="auto"/>
              </w:rPr>
            </w:pPr>
          </w:p>
        </w:tc>
        <w:tc>
          <w:tcPr>
            <w:tcW w:w="360" w:type="dxa"/>
            <w:vAlign w:val="bottom"/>
            <w:shd w:val="clear" w:color="auto" w:fill="DE762B"/>
          </w:tcPr>
          <w:p>
            <w:pPr>
              <w:spacing w:after="0" w:line="20" w:lineRule="exact"/>
              <w:rPr>
                <w:sz w:val="1"/>
                <w:szCs w:val="1"/>
                <w:color w:val="auto"/>
              </w:rPr>
            </w:pPr>
          </w:p>
        </w:tc>
        <w:tc>
          <w:tcPr>
            <w:tcW w:w="1020" w:type="dxa"/>
            <w:vAlign w:val="bottom"/>
            <w:shd w:val="clear" w:color="auto" w:fill="DE762B"/>
          </w:tcPr>
          <w:p>
            <w:pPr>
              <w:spacing w:after="0" w:line="20" w:lineRule="exact"/>
              <w:rPr>
                <w:sz w:val="1"/>
                <w:szCs w:val="1"/>
                <w:color w:val="auto"/>
              </w:rPr>
            </w:pPr>
          </w:p>
        </w:tc>
        <w:tc>
          <w:tcPr>
            <w:tcW w:w="280" w:type="dxa"/>
            <w:vAlign w:val="bottom"/>
            <w:shd w:val="clear" w:color="auto" w:fill="DE762B"/>
          </w:tcPr>
          <w:p>
            <w:pPr>
              <w:spacing w:after="0" w:line="20" w:lineRule="exact"/>
              <w:rPr>
                <w:sz w:val="1"/>
                <w:szCs w:val="1"/>
                <w:color w:val="auto"/>
              </w:rPr>
            </w:pPr>
          </w:p>
        </w:tc>
        <w:tc>
          <w:tcPr>
            <w:tcW w:w="1120" w:type="dxa"/>
            <w:vAlign w:val="bottom"/>
            <w:shd w:val="clear" w:color="auto" w:fill="DE762B"/>
          </w:tcPr>
          <w:p>
            <w:pPr>
              <w:spacing w:after="0" w:line="20" w:lineRule="exact"/>
              <w:rPr>
                <w:sz w:val="1"/>
                <w:szCs w:val="1"/>
                <w:color w:val="auto"/>
              </w:rPr>
            </w:pPr>
          </w:p>
        </w:tc>
        <w:tc>
          <w:tcPr>
            <w:tcW w:w="240" w:type="dxa"/>
            <w:vAlign w:val="bottom"/>
            <w:shd w:val="clear" w:color="auto" w:fill="DE762B"/>
          </w:tcPr>
          <w:p>
            <w:pPr>
              <w:spacing w:after="0" w:line="20" w:lineRule="exact"/>
              <w:rPr>
                <w:sz w:val="1"/>
                <w:szCs w:val="1"/>
                <w:color w:val="auto"/>
              </w:rPr>
            </w:pPr>
          </w:p>
        </w:tc>
        <w:tc>
          <w:tcPr>
            <w:tcW w:w="1080" w:type="dxa"/>
            <w:vAlign w:val="bottom"/>
            <w:shd w:val="clear" w:color="auto" w:fill="DE762B"/>
          </w:tcPr>
          <w:p>
            <w:pPr>
              <w:spacing w:after="0" w:line="20" w:lineRule="exact"/>
              <w:rPr>
                <w:sz w:val="1"/>
                <w:szCs w:val="1"/>
                <w:color w:val="auto"/>
              </w:rPr>
            </w:pPr>
          </w:p>
        </w:tc>
        <w:tc>
          <w:tcPr>
            <w:tcW w:w="220" w:type="dxa"/>
            <w:vAlign w:val="bottom"/>
            <w:shd w:val="clear" w:color="auto" w:fill="DE762B"/>
          </w:tcPr>
          <w:p>
            <w:pPr>
              <w:spacing w:after="0" w:line="20" w:lineRule="exact"/>
              <w:rPr>
                <w:sz w:val="1"/>
                <w:szCs w:val="1"/>
                <w:color w:val="auto"/>
              </w:rPr>
            </w:pPr>
          </w:p>
        </w:tc>
        <w:tc>
          <w:tcPr>
            <w:tcW w:w="1160" w:type="dxa"/>
            <w:vAlign w:val="bottom"/>
            <w:shd w:val="clear" w:color="auto" w:fill="DE762B"/>
          </w:tcPr>
          <w:p>
            <w:pPr>
              <w:spacing w:after="0" w:line="20" w:lineRule="exact"/>
              <w:rPr>
                <w:sz w:val="1"/>
                <w:szCs w:val="1"/>
                <w:color w:val="auto"/>
              </w:rPr>
            </w:pPr>
          </w:p>
        </w:tc>
        <w:tc>
          <w:tcPr>
            <w:tcW w:w="240" w:type="dxa"/>
            <w:vAlign w:val="bottom"/>
            <w:shd w:val="clear" w:color="auto" w:fill="DE762B"/>
          </w:tcPr>
          <w:p>
            <w:pPr>
              <w:spacing w:after="0" w:line="20" w:lineRule="exact"/>
              <w:rPr>
                <w:sz w:val="1"/>
                <w:szCs w:val="1"/>
                <w:color w:val="auto"/>
              </w:rPr>
            </w:pPr>
          </w:p>
        </w:tc>
        <w:tc>
          <w:tcPr>
            <w:tcW w:w="940" w:type="dxa"/>
            <w:vAlign w:val="bottom"/>
            <w:shd w:val="clear" w:color="auto" w:fill="DE762B"/>
          </w:tcPr>
          <w:p>
            <w:pPr>
              <w:spacing w:after="0" w:line="20" w:lineRule="exact"/>
              <w:rPr>
                <w:sz w:val="1"/>
                <w:szCs w:val="1"/>
                <w:color w:val="auto"/>
              </w:rPr>
            </w:pPr>
          </w:p>
        </w:tc>
        <w:tc>
          <w:tcPr>
            <w:tcW w:w="260" w:type="dxa"/>
            <w:vAlign w:val="bottom"/>
            <w:shd w:val="clear" w:color="auto" w:fill="DE762B"/>
          </w:tcPr>
          <w:p>
            <w:pPr>
              <w:spacing w:after="0" w:line="20" w:lineRule="exact"/>
              <w:rPr>
                <w:sz w:val="1"/>
                <w:szCs w:val="1"/>
                <w:color w:val="auto"/>
              </w:rPr>
            </w:pPr>
          </w:p>
        </w:tc>
        <w:tc>
          <w:tcPr>
            <w:tcW w:w="920" w:type="dxa"/>
            <w:vAlign w:val="bottom"/>
            <w:shd w:val="clear" w:color="auto" w:fill="DE762B"/>
          </w:tcPr>
          <w:p>
            <w:pPr>
              <w:spacing w:after="0" w:line="20" w:lineRule="exact"/>
              <w:rPr>
                <w:sz w:val="1"/>
                <w:szCs w:val="1"/>
                <w:color w:val="auto"/>
              </w:rPr>
            </w:pPr>
          </w:p>
        </w:tc>
        <w:tc>
          <w:tcPr>
            <w:tcW w:w="460" w:type="dxa"/>
            <w:vAlign w:val="bottom"/>
            <w:shd w:val="clear" w:color="auto" w:fill="DE762B"/>
          </w:tcPr>
          <w:p>
            <w:pPr>
              <w:spacing w:after="0" w:line="20" w:lineRule="exact"/>
              <w:rPr>
                <w:sz w:val="1"/>
                <w:szCs w:val="1"/>
                <w:color w:val="auto"/>
              </w:rPr>
            </w:pPr>
          </w:p>
        </w:tc>
        <w:tc>
          <w:tcPr>
            <w:tcW w:w="740" w:type="dxa"/>
            <w:vAlign w:val="bottom"/>
            <w:shd w:val="clear" w:color="auto" w:fill="DE762B"/>
          </w:tcPr>
          <w:p>
            <w:pPr>
              <w:spacing w:after="0" w:line="20" w:lineRule="exact"/>
              <w:rPr>
                <w:sz w:val="1"/>
                <w:szCs w:val="1"/>
                <w:color w:val="auto"/>
              </w:rPr>
            </w:pPr>
          </w:p>
        </w:tc>
        <w:tc>
          <w:tcPr>
            <w:tcW w:w="220" w:type="dxa"/>
            <w:vAlign w:val="bottom"/>
            <w:shd w:val="clear" w:color="auto" w:fill="DE762B"/>
          </w:tcPr>
          <w:p>
            <w:pPr>
              <w:spacing w:after="0" w:line="20" w:lineRule="exact"/>
              <w:rPr>
                <w:sz w:val="1"/>
                <w:szCs w:val="1"/>
                <w:color w:val="auto"/>
              </w:rPr>
            </w:pPr>
          </w:p>
        </w:tc>
        <w:tc>
          <w:tcPr>
            <w:tcW w:w="1100" w:type="dxa"/>
            <w:vAlign w:val="bottom"/>
            <w:shd w:val="clear" w:color="auto" w:fill="DE762B"/>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6284595</wp:posOffset>
            </wp:positionH>
            <wp:positionV relativeFrom="paragraph">
              <wp:posOffset>-920750</wp:posOffset>
            </wp:positionV>
            <wp:extent cx="34290" cy="925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290" cy="925830"/>
                    </a:xfrm>
                    <a:prstGeom prst="rect">
                      <a:avLst/>
                    </a:prstGeom>
                    <a:noFill/>
                  </pic:spPr>
                </pic:pic>
              </a:graphicData>
            </a:graphic>
          </wp:anchor>
        </w:drawing>
        <w:drawing>
          <wp:anchor simplePos="0" relativeHeight="251657728" behindDoc="1" locked="0" layoutInCell="0" allowOverlap="1">
            <wp:simplePos x="0" y="0"/>
            <wp:positionH relativeFrom="column">
              <wp:posOffset>5530215</wp:posOffset>
            </wp:positionH>
            <wp:positionV relativeFrom="paragraph">
              <wp:posOffset>-920750</wp:posOffset>
            </wp:positionV>
            <wp:extent cx="33655" cy="925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925830"/>
                    </a:xfrm>
                    <a:prstGeom prst="rect">
                      <a:avLst/>
                    </a:prstGeom>
                    <a:noFill/>
                  </pic:spPr>
                </pic:pic>
              </a:graphicData>
            </a:graphic>
          </wp:anchor>
        </w:drawing>
        <w:drawing>
          <wp:anchor simplePos="0" relativeHeight="251657728" behindDoc="1" locked="0" layoutInCell="0" allowOverlap="1">
            <wp:simplePos x="0" y="0"/>
            <wp:positionH relativeFrom="column">
              <wp:posOffset>4775835</wp:posOffset>
            </wp:positionH>
            <wp:positionV relativeFrom="paragraph">
              <wp:posOffset>-920750</wp:posOffset>
            </wp:positionV>
            <wp:extent cx="33655" cy="9258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92583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-920750</wp:posOffset>
            </wp:positionV>
            <wp:extent cx="33655" cy="925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655" cy="925830"/>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-920750</wp:posOffset>
            </wp:positionV>
            <wp:extent cx="34290" cy="9258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290" cy="925830"/>
                    </a:xfrm>
                    <a:prstGeom prst="rect">
                      <a:avLst/>
                    </a:prstGeom>
                    <a:noFill/>
                  </pic:spPr>
                </pic:pic>
              </a:graphicData>
            </a:graphic>
          </wp:anchor>
        </w:drawing>
        <w:drawing>
          <wp:anchor simplePos="0" relativeHeight="251657728" behindDoc="1" locked="0" layoutInCell="0" allowOverlap="1">
            <wp:simplePos x="0" y="0"/>
            <wp:positionH relativeFrom="column">
              <wp:posOffset>2306955</wp:posOffset>
            </wp:positionH>
            <wp:positionV relativeFrom="paragraph">
              <wp:posOffset>-920750</wp:posOffset>
            </wp:positionV>
            <wp:extent cx="34290" cy="925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925830"/>
                    </a:xfrm>
                    <a:prstGeom prst="rect">
                      <a:avLst/>
                    </a:prstGeom>
                    <a:noFill/>
                  </pic:spPr>
                </pic:pic>
              </a:graphicData>
            </a:graphic>
          </wp:anchor>
        </w:drawing>
        <w:drawing>
          <wp:anchor simplePos="0" relativeHeight="251657728" behindDoc="1" locked="0" layoutInCell="0" allowOverlap="1">
            <wp:simplePos x="0" y="0"/>
            <wp:positionH relativeFrom="column">
              <wp:posOffset>1423670</wp:posOffset>
            </wp:positionH>
            <wp:positionV relativeFrom="paragraph">
              <wp:posOffset>-920750</wp:posOffset>
            </wp:positionV>
            <wp:extent cx="34290" cy="925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925830"/>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-920750</wp:posOffset>
            </wp:positionV>
            <wp:extent cx="33655" cy="925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92583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-1568450</wp:posOffset>
            </wp:positionV>
            <wp:extent cx="15087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165" w:lineRule="exact"/>
        <w:rPr>
          <w:sz w:val="20"/>
          <w:szCs w:val="20"/>
          <w:color w:val="auto"/>
        </w:rPr>
      </w:pPr>
    </w:p>
    <w:p>
      <w:pPr>
        <w:ind w:left="240" w:hanging="232"/>
        <w:spacing w:after="0"/>
        <w:tabs>
          <w:tab w:leader="none" w:pos="240" w:val="left"/>
        </w:tabs>
        <w:numPr>
          <w:ilvl w:val="0"/>
          <w:numId w:val="68"/>
        </w:numPr>
        <w:rPr>
          <w:rFonts w:ascii="Arial" w:cs="Arial" w:eastAsia="Arial" w:hAnsi="Arial"/>
          <w:sz w:val="13"/>
          <w:szCs w:val="13"/>
          <w:color w:val="6D6D6D"/>
        </w:rPr>
      </w:pPr>
      <w:r>
        <w:rPr>
          <w:rFonts w:ascii="Arial" w:cs="Arial" w:eastAsia="Arial" w:hAnsi="Arial"/>
          <w:sz w:val="13"/>
          <w:szCs w:val="13"/>
          <w:color w:val="6D6D6D"/>
        </w:rPr>
        <w:t>Our PEO and Non-PEO NEOs for each applicable year were as follows:</w:t>
      </w:r>
    </w:p>
    <w:p>
      <w:pPr>
        <w:spacing w:after="0" w:line="75" w:lineRule="exact"/>
        <w:rPr>
          <w:rFonts w:ascii="Arial" w:cs="Arial" w:eastAsia="Arial" w:hAnsi="Arial"/>
          <w:sz w:val="13"/>
          <w:szCs w:val="13"/>
          <w:color w:val="6D6D6D"/>
        </w:rPr>
      </w:pPr>
    </w:p>
    <w:p>
      <w:pPr>
        <w:ind w:left="620" w:hanging="207"/>
        <w:spacing w:after="0"/>
        <w:tabs>
          <w:tab w:leader="none" w:pos="620" w:val="left"/>
        </w:tabs>
        <w:numPr>
          <w:ilvl w:val="1"/>
          <w:numId w:val="68"/>
        </w:numPr>
        <w:rPr>
          <w:rFonts w:ascii="Arial" w:cs="Arial" w:eastAsia="Arial" w:hAnsi="Arial"/>
          <w:sz w:val="16"/>
          <w:szCs w:val="16"/>
          <w:color w:val="005388"/>
        </w:rPr>
      </w:pPr>
      <w:r>
        <w:rPr>
          <w:rFonts w:ascii="Arial" w:cs="Arial" w:eastAsia="Arial" w:hAnsi="Arial"/>
          <w:sz w:val="13"/>
          <w:szCs w:val="13"/>
          <w:color w:val="6D6D6D"/>
        </w:rPr>
        <w:t>2025: Mr. Pollitzer served as our PEO and Messrs. Shuster, Leatherberry and Smith and Ms. Swithenbank served as our non-PEO NEOs.</w:t>
      </w:r>
    </w:p>
    <w:p>
      <w:pPr>
        <w:spacing w:after="0" w:line="72" w:lineRule="exact"/>
        <w:rPr>
          <w:rFonts w:ascii="Arial" w:cs="Arial" w:eastAsia="Arial" w:hAnsi="Arial"/>
          <w:sz w:val="16"/>
          <w:szCs w:val="16"/>
          <w:color w:val="005388"/>
        </w:rPr>
      </w:pPr>
    </w:p>
    <w:p>
      <w:pPr>
        <w:ind w:left="620" w:hanging="207"/>
        <w:spacing w:after="0"/>
        <w:tabs>
          <w:tab w:leader="none" w:pos="620" w:val="left"/>
        </w:tabs>
        <w:numPr>
          <w:ilvl w:val="1"/>
          <w:numId w:val="68"/>
        </w:numPr>
        <w:rPr>
          <w:rFonts w:ascii="Arial" w:cs="Arial" w:eastAsia="Arial" w:hAnsi="Arial"/>
          <w:sz w:val="16"/>
          <w:szCs w:val="16"/>
          <w:color w:val="005388"/>
        </w:rPr>
      </w:pPr>
      <w:r>
        <w:rPr>
          <w:rFonts w:ascii="Arial" w:cs="Arial" w:eastAsia="Arial" w:hAnsi="Arial"/>
          <w:sz w:val="13"/>
          <w:szCs w:val="13"/>
          <w:color w:val="6D6D6D"/>
        </w:rPr>
        <w:t>2024: Mr. Pollitzer served as our PEO and Messrs. Shuster, Mallela, Leatherberry and Smith and Ms. Swithenbank served as our non-PEO NEOs.</w:t>
      </w:r>
    </w:p>
    <w:p>
      <w:pPr>
        <w:spacing w:after="0" w:line="59" w:lineRule="exact"/>
        <w:rPr>
          <w:rFonts w:ascii="Arial" w:cs="Arial" w:eastAsia="Arial" w:hAnsi="Arial"/>
          <w:sz w:val="16"/>
          <w:szCs w:val="16"/>
          <w:color w:val="005388"/>
        </w:rPr>
      </w:pPr>
    </w:p>
    <w:p>
      <w:pPr>
        <w:ind w:left="620" w:hanging="207"/>
        <w:spacing w:after="0"/>
        <w:tabs>
          <w:tab w:leader="none" w:pos="620" w:val="left"/>
        </w:tabs>
        <w:numPr>
          <w:ilvl w:val="1"/>
          <w:numId w:val="68"/>
        </w:numPr>
        <w:rPr>
          <w:rFonts w:ascii="Arial" w:cs="Arial" w:eastAsia="Arial" w:hAnsi="Arial"/>
          <w:sz w:val="16"/>
          <w:szCs w:val="16"/>
          <w:color w:val="005388"/>
        </w:rPr>
      </w:pPr>
      <w:r>
        <w:rPr>
          <w:rFonts w:ascii="Arial" w:cs="Arial" w:eastAsia="Arial" w:hAnsi="Arial"/>
          <w:sz w:val="13"/>
          <w:szCs w:val="13"/>
          <w:color w:val="6D6D6D"/>
        </w:rPr>
        <w:t>2023: Mr. Pollitzer served as our PEO and Messrs. Shuster, Mallela, Leatherberry and Smith served as our non-PEO NEOs.</w:t>
      </w:r>
    </w:p>
    <w:p>
      <w:pPr>
        <w:spacing w:after="0" w:line="59" w:lineRule="exact"/>
        <w:rPr>
          <w:rFonts w:ascii="Arial" w:cs="Arial" w:eastAsia="Arial" w:hAnsi="Arial"/>
          <w:sz w:val="16"/>
          <w:szCs w:val="16"/>
          <w:color w:val="005388"/>
        </w:rPr>
      </w:pPr>
    </w:p>
    <w:p>
      <w:pPr>
        <w:ind w:left="620" w:hanging="207"/>
        <w:spacing w:after="0"/>
        <w:tabs>
          <w:tab w:leader="none" w:pos="620" w:val="left"/>
        </w:tabs>
        <w:numPr>
          <w:ilvl w:val="1"/>
          <w:numId w:val="68"/>
        </w:numPr>
        <w:rPr>
          <w:rFonts w:ascii="Arial" w:cs="Arial" w:eastAsia="Arial" w:hAnsi="Arial"/>
          <w:sz w:val="16"/>
          <w:szCs w:val="16"/>
          <w:color w:val="005388"/>
        </w:rPr>
      </w:pPr>
      <w:r>
        <w:rPr>
          <w:rFonts w:ascii="Arial" w:cs="Arial" w:eastAsia="Arial" w:hAnsi="Arial"/>
          <w:sz w:val="13"/>
          <w:szCs w:val="13"/>
          <w:color w:val="6D6D6D"/>
        </w:rPr>
        <w:t>2022: Mr. Pollitzer served as our PEO and Messrs. Shuster, Mallela, Leatherberry and Smith served as our non-PEO NEOs.</w:t>
      </w:r>
    </w:p>
    <w:p>
      <w:pPr>
        <w:spacing w:after="0" w:line="72" w:lineRule="exact"/>
        <w:rPr>
          <w:rFonts w:ascii="Arial" w:cs="Arial" w:eastAsia="Arial" w:hAnsi="Arial"/>
          <w:sz w:val="16"/>
          <w:szCs w:val="16"/>
          <w:color w:val="005388"/>
        </w:rPr>
      </w:pPr>
    </w:p>
    <w:p>
      <w:pPr>
        <w:ind w:left="620" w:hanging="207"/>
        <w:spacing w:after="0"/>
        <w:tabs>
          <w:tab w:leader="none" w:pos="620" w:val="left"/>
        </w:tabs>
        <w:numPr>
          <w:ilvl w:val="1"/>
          <w:numId w:val="68"/>
        </w:numPr>
        <w:rPr>
          <w:rFonts w:ascii="Arial" w:cs="Arial" w:eastAsia="Arial" w:hAnsi="Arial"/>
          <w:sz w:val="16"/>
          <w:szCs w:val="16"/>
          <w:color w:val="005388"/>
        </w:rPr>
      </w:pPr>
      <w:r>
        <w:rPr>
          <w:rFonts w:ascii="Arial" w:cs="Arial" w:eastAsia="Arial" w:hAnsi="Arial"/>
          <w:sz w:val="13"/>
          <w:szCs w:val="13"/>
          <w:color w:val="6D6D6D"/>
        </w:rPr>
        <w:t>2021: Ms. Merkle served as our PEO and Messrs. Shuster, Pollitzer (as our Chief Financial Officer), Leatherberry, and Mathis served as our non-PEO NEOs.</w:t>
      </w:r>
    </w:p>
    <w:p>
      <w:pPr>
        <w:spacing w:after="0" w:line="36" w:lineRule="exact"/>
        <w:rPr>
          <w:rFonts w:ascii="Arial" w:cs="Arial" w:eastAsia="Arial" w:hAnsi="Arial"/>
          <w:sz w:val="16"/>
          <w:szCs w:val="16"/>
          <w:color w:val="005388"/>
        </w:rPr>
      </w:pPr>
    </w:p>
    <w:p>
      <w:pPr>
        <w:jc w:val="both"/>
        <w:ind w:left="260" w:right="20" w:hanging="252"/>
        <w:spacing w:after="0" w:line="251" w:lineRule="auto"/>
        <w:tabs>
          <w:tab w:leader="none" w:pos="257" w:val="left"/>
        </w:tabs>
        <w:numPr>
          <w:ilvl w:val="0"/>
          <w:numId w:val="68"/>
        </w:numPr>
        <w:rPr>
          <w:rFonts w:ascii="Arial" w:cs="Arial" w:eastAsia="Arial" w:hAnsi="Arial"/>
          <w:sz w:val="13"/>
          <w:szCs w:val="13"/>
          <w:color w:val="6D6D6D"/>
        </w:rPr>
      </w:pPr>
      <w:r>
        <w:rPr>
          <w:rFonts w:ascii="Arial" w:cs="Arial" w:eastAsia="Arial" w:hAnsi="Arial"/>
          <w:sz w:val="13"/>
          <w:szCs w:val="13"/>
          <w:color w:val="6D6D6D"/>
        </w:rPr>
        <w:t>The "</w:t>
      </w:r>
      <w:r>
        <w:rPr>
          <w:rFonts w:ascii="Arial" w:cs="Arial" w:eastAsia="Arial" w:hAnsi="Arial"/>
          <w:sz w:val="13"/>
          <w:szCs w:val="13"/>
          <w:i w:val="1"/>
          <w:iCs w:val="1"/>
          <w:color w:val="6D6D6D"/>
        </w:rPr>
        <w:t>2025 Summary Compensation Table</w:t>
      </w:r>
      <w:r>
        <w:rPr>
          <w:rFonts w:ascii="Arial" w:cs="Arial" w:eastAsia="Arial" w:hAnsi="Arial"/>
          <w:sz w:val="13"/>
          <w:szCs w:val="13"/>
          <w:color w:val="6D6D6D"/>
        </w:rPr>
        <w:t>" totals reported for the PEO and the average of the Non-PEO NEOs for each year were subject to the following adjustments as set forth in the below table, per Item 402(v)(2)(iii) of Regulation S-K to calculate “compensation actually paid.” We did not make any assumptions in valuation that differs materially from those disclosed as of the grant date of such equity awards with respect to the amounts added relative to stock and option awards.</w:t>
      </w:r>
    </w:p>
    <w:p>
      <w:pPr>
        <w:spacing w:after="0" w:line="300"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57</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Adjustments to Determine "Compensation Actually Paid”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 w:type="dxa"/>
            <w:vAlign w:val="bottom"/>
            <w:shd w:val="clear" w:color="auto" w:fill="082940"/>
          </w:tcPr>
          <w:p>
            <w:pPr>
              <w:spacing w:after="0"/>
              <w:rPr>
                <w:sz w:val="16"/>
                <w:szCs w:val="16"/>
                <w:color w:val="auto"/>
              </w:rPr>
            </w:pPr>
          </w:p>
        </w:tc>
        <w:tc>
          <w:tcPr>
            <w:tcW w:w="1700" w:type="dxa"/>
            <w:vAlign w:val="bottom"/>
            <w:shd w:val="clear" w:color="auto" w:fill="082940"/>
          </w:tcPr>
          <w:p>
            <w:pPr>
              <w:spacing w:after="0"/>
              <w:rPr>
                <w:sz w:val="16"/>
                <w:szCs w:val="16"/>
                <w:color w:val="auto"/>
              </w:rPr>
            </w:pPr>
          </w:p>
        </w:tc>
        <w:tc>
          <w:tcPr>
            <w:tcW w:w="1100" w:type="dxa"/>
            <w:vAlign w:val="bottom"/>
            <w:shd w:val="clear" w:color="auto" w:fill="082940"/>
          </w:tcPr>
          <w:p>
            <w:pPr>
              <w:jc w:val="right"/>
              <w:spacing w:after="0"/>
              <w:rPr>
                <w:sz w:val="20"/>
                <w:szCs w:val="20"/>
                <w:color w:val="auto"/>
              </w:rPr>
            </w:pPr>
            <w:r>
              <w:rPr>
                <w:rFonts w:ascii="Arial" w:cs="Arial" w:eastAsia="Arial" w:hAnsi="Arial"/>
                <w:sz w:val="13"/>
                <w:szCs w:val="13"/>
                <w:color w:val="FFFFFF"/>
              </w:rPr>
              <w:t>2025</w:t>
            </w:r>
          </w:p>
        </w:tc>
        <w:tc>
          <w:tcPr>
            <w:tcW w:w="840" w:type="dxa"/>
            <w:vAlign w:val="bottom"/>
            <w:shd w:val="clear" w:color="auto" w:fill="082940"/>
          </w:tcPr>
          <w:p>
            <w:pPr>
              <w:spacing w:after="0"/>
              <w:rPr>
                <w:sz w:val="16"/>
                <w:szCs w:val="16"/>
                <w:color w:val="auto"/>
              </w:rPr>
            </w:pPr>
          </w:p>
        </w:tc>
        <w:tc>
          <w:tcPr>
            <w:tcW w:w="1060" w:type="dxa"/>
            <w:vAlign w:val="bottom"/>
            <w:shd w:val="clear" w:color="auto" w:fill="082940"/>
          </w:tcPr>
          <w:p>
            <w:pPr>
              <w:jc w:val="right"/>
              <w:spacing w:after="0"/>
              <w:rPr>
                <w:sz w:val="20"/>
                <w:szCs w:val="20"/>
                <w:color w:val="auto"/>
              </w:rPr>
            </w:pPr>
            <w:r>
              <w:rPr>
                <w:rFonts w:ascii="Arial" w:cs="Arial" w:eastAsia="Arial" w:hAnsi="Arial"/>
                <w:sz w:val="13"/>
                <w:szCs w:val="13"/>
                <w:color w:val="FFFFFF"/>
              </w:rPr>
              <w:t>2024</w:t>
            </w:r>
          </w:p>
        </w:tc>
        <w:tc>
          <w:tcPr>
            <w:tcW w:w="860" w:type="dxa"/>
            <w:vAlign w:val="bottom"/>
            <w:shd w:val="clear" w:color="auto" w:fill="082940"/>
          </w:tcPr>
          <w:p>
            <w:pPr>
              <w:spacing w:after="0"/>
              <w:rPr>
                <w:sz w:val="16"/>
                <w:szCs w:val="16"/>
                <w:color w:val="auto"/>
              </w:rPr>
            </w:pPr>
          </w:p>
        </w:tc>
        <w:tc>
          <w:tcPr>
            <w:tcW w:w="1060" w:type="dxa"/>
            <w:vAlign w:val="bottom"/>
            <w:shd w:val="clear" w:color="auto" w:fill="082940"/>
          </w:tcPr>
          <w:p>
            <w:pPr>
              <w:jc w:val="right"/>
              <w:spacing w:after="0"/>
              <w:rPr>
                <w:sz w:val="20"/>
                <w:szCs w:val="20"/>
                <w:color w:val="auto"/>
              </w:rPr>
            </w:pPr>
            <w:r>
              <w:rPr>
                <w:rFonts w:ascii="Arial" w:cs="Arial" w:eastAsia="Arial" w:hAnsi="Arial"/>
                <w:sz w:val="13"/>
                <w:szCs w:val="13"/>
                <w:color w:val="FFFFFF"/>
              </w:rPr>
              <w:t>2023</w:t>
            </w:r>
          </w:p>
        </w:tc>
        <w:tc>
          <w:tcPr>
            <w:tcW w:w="820" w:type="dxa"/>
            <w:vAlign w:val="bottom"/>
            <w:shd w:val="clear" w:color="auto" w:fill="082940"/>
          </w:tcPr>
          <w:p>
            <w:pPr>
              <w:spacing w:after="0"/>
              <w:rPr>
                <w:sz w:val="16"/>
                <w:szCs w:val="16"/>
                <w:color w:val="auto"/>
              </w:rPr>
            </w:pPr>
          </w:p>
        </w:tc>
        <w:tc>
          <w:tcPr>
            <w:tcW w:w="1060" w:type="dxa"/>
            <w:vAlign w:val="bottom"/>
            <w:shd w:val="clear" w:color="auto" w:fill="082940"/>
          </w:tcPr>
          <w:p>
            <w:pPr>
              <w:jc w:val="right"/>
              <w:spacing w:after="0"/>
              <w:rPr>
                <w:sz w:val="20"/>
                <w:szCs w:val="20"/>
                <w:color w:val="auto"/>
              </w:rPr>
            </w:pPr>
            <w:r>
              <w:rPr>
                <w:rFonts w:ascii="Arial" w:cs="Arial" w:eastAsia="Arial" w:hAnsi="Arial"/>
                <w:sz w:val="13"/>
                <w:szCs w:val="13"/>
                <w:color w:val="FFFFFF"/>
              </w:rPr>
              <w:t>2022</w:t>
            </w:r>
          </w:p>
        </w:tc>
        <w:tc>
          <w:tcPr>
            <w:tcW w:w="820" w:type="dxa"/>
            <w:vAlign w:val="bottom"/>
            <w:shd w:val="clear" w:color="auto" w:fill="082940"/>
          </w:tcPr>
          <w:p>
            <w:pPr>
              <w:spacing w:after="0"/>
              <w:rPr>
                <w:sz w:val="16"/>
                <w:szCs w:val="16"/>
                <w:color w:val="auto"/>
              </w:rPr>
            </w:pPr>
          </w:p>
        </w:tc>
        <w:tc>
          <w:tcPr>
            <w:tcW w:w="1040" w:type="dxa"/>
            <w:vAlign w:val="bottom"/>
            <w:shd w:val="clear" w:color="auto" w:fill="082940"/>
          </w:tcPr>
          <w:p>
            <w:pPr>
              <w:jc w:val="right"/>
              <w:spacing w:after="0"/>
              <w:rPr>
                <w:sz w:val="20"/>
                <w:szCs w:val="20"/>
                <w:color w:val="auto"/>
              </w:rPr>
            </w:pPr>
            <w:r>
              <w:rPr>
                <w:rFonts w:ascii="Arial" w:cs="Arial" w:eastAsia="Arial" w:hAnsi="Arial"/>
                <w:sz w:val="13"/>
                <w:szCs w:val="13"/>
                <w:color w:val="FFFFFF"/>
              </w:rPr>
              <w:t>2021</w:t>
            </w:r>
          </w:p>
        </w:tc>
        <w:tc>
          <w:tcPr>
            <w:tcW w:w="800" w:type="dxa"/>
            <w:vAlign w:val="bottom"/>
            <w:shd w:val="clear" w:color="auto" w:fill="082940"/>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0" w:type="dxa"/>
            <w:vAlign w:val="bottom"/>
            <w:shd w:val="clear" w:color="auto" w:fill="082940"/>
          </w:tcPr>
          <w:p>
            <w:pPr>
              <w:spacing w:after="0"/>
              <w:rPr>
                <w:sz w:val="17"/>
                <w:szCs w:val="17"/>
                <w:color w:val="auto"/>
              </w:rPr>
            </w:pPr>
          </w:p>
        </w:tc>
        <w:tc>
          <w:tcPr>
            <w:tcW w:w="1700" w:type="dxa"/>
            <w:vAlign w:val="bottom"/>
            <w:shd w:val="clear" w:color="auto" w:fill="082940"/>
          </w:tcPr>
          <w:p>
            <w:pPr>
              <w:spacing w:after="0"/>
              <w:rPr>
                <w:sz w:val="17"/>
                <w:szCs w:val="17"/>
                <w:color w:val="auto"/>
              </w:rPr>
            </w:pPr>
          </w:p>
        </w:tc>
        <w:tc>
          <w:tcPr>
            <w:tcW w:w="1100" w:type="dxa"/>
            <w:vAlign w:val="bottom"/>
            <w:vMerge w:val="restart"/>
            <w:shd w:val="clear" w:color="auto" w:fill="082940"/>
          </w:tcPr>
          <w:p>
            <w:pPr>
              <w:jc w:val="right"/>
              <w:ind w:right="157"/>
              <w:spacing w:after="0"/>
              <w:rPr>
                <w:sz w:val="20"/>
                <w:szCs w:val="20"/>
                <w:color w:val="auto"/>
              </w:rPr>
            </w:pPr>
            <w:r>
              <w:rPr>
                <w:rFonts w:ascii="Arial" w:cs="Arial" w:eastAsia="Arial" w:hAnsi="Arial"/>
                <w:sz w:val="13"/>
                <w:szCs w:val="13"/>
                <w:color w:val="FFFFFF"/>
              </w:rPr>
              <w:t>PEO</w:t>
            </w:r>
          </w:p>
        </w:tc>
        <w:tc>
          <w:tcPr>
            <w:tcW w:w="84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Average for</w:t>
            </w:r>
          </w:p>
        </w:tc>
        <w:tc>
          <w:tcPr>
            <w:tcW w:w="1060" w:type="dxa"/>
            <w:vAlign w:val="bottom"/>
            <w:vMerge w:val="restart"/>
            <w:shd w:val="clear" w:color="auto" w:fill="082940"/>
          </w:tcPr>
          <w:p>
            <w:pPr>
              <w:jc w:val="right"/>
              <w:ind w:right="137"/>
              <w:spacing w:after="0"/>
              <w:rPr>
                <w:sz w:val="20"/>
                <w:szCs w:val="20"/>
                <w:color w:val="auto"/>
              </w:rPr>
            </w:pPr>
            <w:r>
              <w:rPr>
                <w:rFonts w:ascii="Arial" w:cs="Arial" w:eastAsia="Arial" w:hAnsi="Arial"/>
                <w:sz w:val="13"/>
                <w:szCs w:val="13"/>
                <w:color w:val="FFFFFF"/>
              </w:rPr>
              <w:t>PEO</w:t>
            </w:r>
          </w:p>
        </w:tc>
        <w:tc>
          <w:tcPr>
            <w:tcW w:w="860" w:type="dxa"/>
            <w:vAlign w:val="bottom"/>
            <w:shd w:val="clear" w:color="auto" w:fill="082940"/>
          </w:tcPr>
          <w:p>
            <w:pPr>
              <w:jc w:val="right"/>
              <w:ind w:right="97"/>
              <w:spacing w:after="0"/>
              <w:rPr>
                <w:sz w:val="20"/>
                <w:szCs w:val="20"/>
                <w:color w:val="auto"/>
              </w:rPr>
            </w:pPr>
            <w:r>
              <w:rPr>
                <w:rFonts w:ascii="Arial" w:cs="Arial" w:eastAsia="Arial" w:hAnsi="Arial"/>
                <w:sz w:val="13"/>
                <w:szCs w:val="13"/>
                <w:color w:val="FFFFFF"/>
              </w:rPr>
              <w:t>Average for</w:t>
            </w:r>
          </w:p>
        </w:tc>
        <w:tc>
          <w:tcPr>
            <w:tcW w:w="1060" w:type="dxa"/>
            <w:vAlign w:val="bottom"/>
            <w:vMerge w:val="restart"/>
            <w:shd w:val="clear" w:color="auto" w:fill="082940"/>
          </w:tcPr>
          <w:p>
            <w:pPr>
              <w:jc w:val="right"/>
              <w:ind w:right="157"/>
              <w:spacing w:after="0"/>
              <w:rPr>
                <w:sz w:val="20"/>
                <w:szCs w:val="20"/>
                <w:color w:val="auto"/>
              </w:rPr>
            </w:pPr>
            <w:r>
              <w:rPr>
                <w:rFonts w:ascii="Arial" w:cs="Arial" w:eastAsia="Arial" w:hAnsi="Arial"/>
                <w:sz w:val="13"/>
                <w:szCs w:val="13"/>
                <w:color w:val="FFFFFF"/>
              </w:rPr>
              <w:t>PEO</w:t>
            </w:r>
          </w:p>
        </w:tc>
        <w:tc>
          <w:tcPr>
            <w:tcW w:w="82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Average for</w:t>
            </w:r>
          </w:p>
        </w:tc>
        <w:tc>
          <w:tcPr>
            <w:tcW w:w="1060" w:type="dxa"/>
            <w:vAlign w:val="bottom"/>
            <w:vMerge w:val="restart"/>
            <w:shd w:val="clear" w:color="auto" w:fill="082940"/>
          </w:tcPr>
          <w:p>
            <w:pPr>
              <w:jc w:val="right"/>
              <w:ind w:right="177"/>
              <w:spacing w:after="0"/>
              <w:rPr>
                <w:sz w:val="20"/>
                <w:szCs w:val="20"/>
                <w:color w:val="auto"/>
              </w:rPr>
            </w:pPr>
            <w:r>
              <w:rPr>
                <w:rFonts w:ascii="Arial" w:cs="Arial" w:eastAsia="Arial" w:hAnsi="Arial"/>
                <w:sz w:val="13"/>
                <w:szCs w:val="13"/>
                <w:color w:val="FFFFFF"/>
              </w:rPr>
              <w:t>PEO</w:t>
            </w:r>
          </w:p>
        </w:tc>
        <w:tc>
          <w:tcPr>
            <w:tcW w:w="82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w w:val="98"/>
              </w:rPr>
              <w:t>Average for</w:t>
            </w:r>
          </w:p>
        </w:tc>
        <w:tc>
          <w:tcPr>
            <w:tcW w:w="1040" w:type="dxa"/>
            <w:vAlign w:val="bottom"/>
            <w:vMerge w:val="restart"/>
            <w:shd w:val="clear" w:color="auto" w:fill="082940"/>
          </w:tcPr>
          <w:p>
            <w:pPr>
              <w:jc w:val="right"/>
              <w:ind w:right="157"/>
              <w:spacing w:after="0"/>
              <w:rPr>
                <w:sz w:val="20"/>
                <w:szCs w:val="20"/>
                <w:color w:val="auto"/>
              </w:rPr>
            </w:pPr>
            <w:r>
              <w:rPr>
                <w:rFonts w:ascii="Arial" w:cs="Arial" w:eastAsia="Arial" w:hAnsi="Arial"/>
                <w:sz w:val="13"/>
                <w:szCs w:val="13"/>
                <w:color w:val="FFFFFF"/>
              </w:rPr>
              <w:t>PEO</w:t>
            </w:r>
          </w:p>
        </w:tc>
        <w:tc>
          <w:tcPr>
            <w:tcW w:w="80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w w:val="98"/>
              </w:rPr>
              <w:t>Average for</w:t>
            </w:r>
          </w:p>
        </w:tc>
        <w:tc>
          <w:tcPr>
            <w:tcW w:w="0" w:type="dxa"/>
            <w:vAlign w:val="bottom"/>
          </w:tcPr>
          <w:p>
            <w:pPr>
              <w:spacing w:after="0"/>
              <w:rPr>
                <w:sz w:val="1"/>
                <w:szCs w:val="1"/>
                <w:color w:val="auto"/>
              </w:rPr>
            </w:pPr>
          </w:p>
        </w:tc>
      </w:tr>
      <w:tr>
        <w:trPr>
          <w:trHeight w:val="148"/>
        </w:trPr>
        <w:tc>
          <w:tcPr>
            <w:tcW w:w="80" w:type="dxa"/>
            <w:vAlign w:val="bottom"/>
            <w:shd w:val="clear" w:color="auto" w:fill="082940"/>
          </w:tcPr>
          <w:p>
            <w:pPr>
              <w:spacing w:after="0"/>
              <w:rPr>
                <w:sz w:val="12"/>
                <w:szCs w:val="12"/>
                <w:color w:val="auto"/>
              </w:rPr>
            </w:pPr>
          </w:p>
        </w:tc>
        <w:tc>
          <w:tcPr>
            <w:tcW w:w="1700" w:type="dxa"/>
            <w:vAlign w:val="bottom"/>
            <w:shd w:val="clear" w:color="auto" w:fill="082940"/>
          </w:tcPr>
          <w:p>
            <w:pPr>
              <w:spacing w:after="0"/>
              <w:rPr>
                <w:sz w:val="12"/>
                <w:szCs w:val="12"/>
                <w:color w:val="auto"/>
              </w:rPr>
            </w:pPr>
          </w:p>
        </w:tc>
        <w:tc>
          <w:tcPr>
            <w:tcW w:w="1100" w:type="dxa"/>
            <w:vAlign w:val="bottom"/>
            <w:vMerge w:val="continue"/>
            <w:shd w:val="clear" w:color="auto" w:fill="082940"/>
          </w:tcPr>
          <w:p>
            <w:pPr>
              <w:spacing w:after="0"/>
              <w:rPr>
                <w:sz w:val="12"/>
                <w:szCs w:val="12"/>
                <w:color w:val="auto"/>
              </w:rPr>
            </w:pPr>
          </w:p>
        </w:tc>
        <w:tc>
          <w:tcPr>
            <w:tcW w:w="84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Non-PEO</w:t>
            </w:r>
          </w:p>
        </w:tc>
        <w:tc>
          <w:tcPr>
            <w:tcW w:w="1060" w:type="dxa"/>
            <w:vAlign w:val="bottom"/>
            <w:vMerge w:val="continue"/>
            <w:shd w:val="clear" w:color="auto" w:fill="082940"/>
          </w:tcPr>
          <w:p>
            <w:pPr>
              <w:spacing w:after="0"/>
              <w:rPr>
                <w:sz w:val="12"/>
                <w:szCs w:val="12"/>
                <w:color w:val="auto"/>
              </w:rPr>
            </w:pPr>
          </w:p>
        </w:tc>
        <w:tc>
          <w:tcPr>
            <w:tcW w:w="860" w:type="dxa"/>
            <w:vAlign w:val="bottom"/>
            <w:shd w:val="clear" w:color="auto" w:fill="082940"/>
          </w:tcPr>
          <w:p>
            <w:pPr>
              <w:jc w:val="right"/>
              <w:ind w:right="97"/>
              <w:spacing w:after="0"/>
              <w:rPr>
                <w:sz w:val="20"/>
                <w:szCs w:val="20"/>
                <w:color w:val="auto"/>
              </w:rPr>
            </w:pPr>
            <w:r>
              <w:rPr>
                <w:rFonts w:ascii="Arial" w:cs="Arial" w:eastAsia="Arial" w:hAnsi="Arial"/>
                <w:sz w:val="13"/>
                <w:szCs w:val="13"/>
                <w:color w:val="FFFFFF"/>
              </w:rPr>
              <w:t>Non-PEO</w:t>
            </w:r>
          </w:p>
        </w:tc>
        <w:tc>
          <w:tcPr>
            <w:tcW w:w="1060" w:type="dxa"/>
            <w:vAlign w:val="bottom"/>
            <w:vMerge w:val="continue"/>
            <w:shd w:val="clear" w:color="auto" w:fill="082940"/>
          </w:tcPr>
          <w:p>
            <w:pPr>
              <w:spacing w:after="0"/>
              <w:rPr>
                <w:sz w:val="12"/>
                <w:szCs w:val="12"/>
                <w:color w:val="auto"/>
              </w:rPr>
            </w:pPr>
          </w:p>
        </w:tc>
        <w:tc>
          <w:tcPr>
            <w:tcW w:w="82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Non-PEO</w:t>
            </w:r>
          </w:p>
        </w:tc>
        <w:tc>
          <w:tcPr>
            <w:tcW w:w="1060" w:type="dxa"/>
            <w:vAlign w:val="bottom"/>
            <w:vMerge w:val="continue"/>
            <w:shd w:val="clear" w:color="auto" w:fill="082940"/>
          </w:tcPr>
          <w:p>
            <w:pPr>
              <w:spacing w:after="0"/>
              <w:rPr>
                <w:sz w:val="12"/>
                <w:szCs w:val="12"/>
                <w:color w:val="auto"/>
              </w:rPr>
            </w:pPr>
          </w:p>
        </w:tc>
        <w:tc>
          <w:tcPr>
            <w:tcW w:w="82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Non-PEO</w:t>
            </w:r>
          </w:p>
        </w:tc>
        <w:tc>
          <w:tcPr>
            <w:tcW w:w="1040" w:type="dxa"/>
            <w:vAlign w:val="bottom"/>
            <w:vMerge w:val="continue"/>
            <w:shd w:val="clear" w:color="auto" w:fill="082940"/>
          </w:tcPr>
          <w:p>
            <w:pPr>
              <w:spacing w:after="0"/>
              <w:rPr>
                <w:sz w:val="12"/>
                <w:szCs w:val="12"/>
                <w:color w:val="auto"/>
              </w:rPr>
            </w:pPr>
          </w:p>
        </w:tc>
        <w:tc>
          <w:tcPr>
            <w:tcW w:w="80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Non-PEO</w:t>
            </w:r>
          </w:p>
        </w:tc>
        <w:tc>
          <w:tcPr>
            <w:tcW w:w="0" w:type="dxa"/>
            <w:vAlign w:val="bottom"/>
          </w:tcPr>
          <w:p>
            <w:pPr>
              <w:spacing w:after="0"/>
              <w:rPr>
                <w:sz w:val="1"/>
                <w:szCs w:val="1"/>
                <w:color w:val="auto"/>
              </w:rPr>
            </w:pPr>
          </w:p>
        </w:tc>
      </w:tr>
      <w:tr>
        <w:trPr>
          <w:trHeight w:val="148"/>
        </w:trPr>
        <w:tc>
          <w:tcPr>
            <w:tcW w:w="80" w:type="dxa"/>
            <w:vAlign w:val="bottom"/>
            <w:shd w:val="clear" w:color="auto" w:fill="082940"/>
          </w:tcPr>
          <w:p>
            <w:pPr>
              <w:spacing w:after="0"/>
              <w:rPr>
                <w:sz w:val="12"/>
                <w:szCs w:val="12"/>
                <w:color w:val="auto"/>
              </w:rPr>
            </w:pPr>
          </w:p>
        </w:tc>
        <w:tc>
          <w:tcPr>
            <w:tcW w:w="1700" w:type="dxa"/>
            <w:vAlign w:val="bottom"/>
            <w:shd w:val="clear" w:color="auto" w:fill="082940"/>
          </w:tcPr>
          <w:p>
            <w:pPr>
              <w:spacing w:after="0"/>
              <w:rPr>
                <w:sz w:val="12"/>
                <w:szCs w:val="12"/>
                <w:color w:val="auto"/>
              </w:rPr>
            </w:pPr>
          </w:p>
        </w:tc>
        <w:tc>
          <w:tcPr>
            <w:tcW w:w="110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(Mr. Pollitzer)</w:t>
            </w:r>
          </w:p>
        </w:tc>
        <w:tc>
          <w:tcPr>
            <w:tcW w:w="84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NEOs</w:t>
            </w:r>
          </w:p>
        </w:tc>
        <w:tc>
          <w:tcPr>
            <w:tcW w:w="106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(Mr. Pollitzer)</w:t>
            </w:r>
          </w:p>
        </w:tc>
        <w:tc>
          <w:tcPr>
            <w:tcW w:w="860" w:type="dxa"/>
            <w:vAlign w:val="bottom"/>
            <w:shd w:val="clear" w:color="auto" w:fill="082940"/>
          </w:tcPr>
          <w:p>
            <w:pPr>
              <w:jc w:val="right"/>
              <w:ind w:right="97"/>
              <w:spacing w:after="0"/>
              <w:rPr>
                <w:sz w:val="20"/>
                <w:szCs w:val="20"/>
                <w:color w:val="auto"/>
              </w:rPr>
            </w:pPr>
            <w:r>
              <w:rPr>
                <w:rFonts w:ascii="Arial" w:cs="Arial" w:eastAsia="Arial" w:hAnsi="Arial"/>
                <w:sz w:val="13"/>
                <w:szCs w:val="13"/>
                <w:color w:val="FFFFFF"/>
              </w:rPr>
              <w:t>NEOs</w:t>
            </w:r>
          </w:p>
        </w:tc>
        <w:tc>
          <w:tcPr>
            <w:tcW w:w="106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(Mr. Pollitzer)</w:t>
            </w:r>
          </w:p>
        </w:tc>
        <w:tc>
          <w:tcPr>
            <w:tcW w:w="82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NEOs</w:t>
            </w:r>
          </w:p>
        </w:tc>
        <w:tc>
          <w:tcPr>
            <w:tcW w:w="1060" w:type="dxa"/>
            <w:vAlign w:val="bottom"/>
            <w:shd w:val="clear" w:color="auto" w:fill="082940"/>
          </w:tcPr>
          <w:p>
            <w:pPr>
              <w:jc w:val="right"/>
              <w:ind w:right="137"/>
              <w:spacing w:after="0"/>
              <w:rPr>
                <w:sz w:val="20"/>
                <w:szCs w:val="20"/>
                <w:color w:val="auto"/>
              </w:rPr>
            </w:pPr>
            <w:r>
              <w:rPr>
                <w:rFonts w:ascii="Arial" w:cs="Arial" w:eastAsia="Arial" w:hAnsi="Arial"/>
                <w:sz w:val="13"/>
                <w:szCs w:val="13"/>
                <w:color w:val="FFFFFF"/>
              </w:rPr>
              <w:t>(Mr. Pollitzer)</w:t>
            </w:r>
          </w:p>
        </w:tc>
        <w:tc>
          <w:tcPr>
            <w:tcW w:w="82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NEOs</w:t>
            </w:r>
          </w:p>
        </w:tc>
        <w:tc>
          <w:tcPr>
            <w:tcW w:w="104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(Ms. Merkle)</w:t>
            </w:r>
          </w:p>
        </w:tc>
        <w:tc>
          <w:tcPr>
            <w:tcW w:w="80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NEOs</w:t>
            </w:r>
          </w:p>
        </w:tc>
        <w:tc>
          <w:tcPr>
            <w:tcW w:w="0" w:type="dxa"/>
            <w:vAlign w:val="bottom"/>
          </w:tcPr>
          <w:p>
            <w:pPr>
              <w:spacing w:after="0"/>
              <w:rPr>
                <w:sz w:val="1"/>
                <w:szCs w:val="1"/>
                <w:color w:val="auto"/>
              </w:rPr>
            </w:pPr>
          </w:p>
        </w:tc>
      </w:tr>
      <w:tr>
        <w:trPr>
          <w:trHeight w:val="166"/>
        </w:trPr>
        <w:tc>
          <w:tcPr>
            <w:tcW w:w="80" w:type="dxa"/>
            <w:vAlign w:val="bottom"/>
            <w:shd w:val="clear" w:color="auto" w:fill="082940"/>
          </w:tcPr>
          <w:p>
            <w:pPr>
              <w:spacing w:after="0"/>
              <w:rPr>
                <w:sz w:val="14"/>
                <w:szCs w:val="14"/>
                <w:color w:val="auto"/>
              </w:rPr>
            </w:pPr>
          </w:p>
        </w:tc>
        <w:tc>
          <w:tcPr>
            <w:tcW w:w="1700" w:type="dxa"/>
            <w:vAlign w:val="bottom"/>
            <w:shd w:val="clear" w:color="auto" w:fill="082940"/>
          </w:tcPr>
          <w:p>
            <w:pPr>
              <w:spacing w:after="0"/>
              <w:rPr>
                <w:sz w:val="14"/>
                <w:szCs w:val="14"/>
                <w:color w:val="auto"/>
              </w:rPr>
            </w:pPr>
          </w:p>
        </w:tc>
        <w:tc>
          <w:tcPr>
            <w:tcW w:w="110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w:t>
            </w:r>
          </w:p>
        </w:tc>
        <w:tc>
          <w:tcPr>
            <w:tcW w:w="84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w:t>
            </w:r>
          </w:p>
        </w:tc>
        <w:tc>
          <w:tcPr>
            <w:tcW w:w="860" w:type="dxa"/>
            <w:vAlign w:val="bottom"/>
            <w:shd w:val="clear" w:color="auto" w:fill="082940"/>
          </w:tcPr>
          <w:p>
            <w:pPr>
              <w:jc w:val="right"/>
              <w:ind w:right="97"/>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w:t>
            </w:r>
          </w:p>
        </w:tc>
        <w:tc>
          <w:tcPr>
            <w:tcW w:w="82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w:t>
            </w:r>
          </w:p>
        </w:tc>
        <w:tc>
          <w:tcPr>
            <w:tcW w:w="1060" w:type="dxa"/>
            <w:vAlign w:val="bottom"/>
            <w:shd w:val="clear" w:color="auto" w:fill="082940"/>
          </w:tcPr>
          <w:p>
            <w:pPr>
              <w:jc w:val="right"/>
              <w:ind w:right="137"/>
              <w:spacing w:after="0"/>
              <w:rPr>
                <w:sz w:val="20"/>
                <w:szCs w:val="20"/>
                <w:color w:val="auto"/>
              </w:rPr>
            </w:pPr>
            <w:r>
              <w:rPr>
                <w:rFonts w:ascii="Arial" w:cs="Arial" w:eastAsia="Arial" w:hAnsi="Arial"/>
                <w:sz w:val="13"/>
                <w:szCs w:val="13"/>
                <w:color w:val="FFFFFF"/>
              </w:rPr>
              <w:t>($)</w:t>
            </w:r>
          </w:p>
        </w:tc>
        <w:tc>
          <w:tcPr>
            <w:tcW w:w="820" w:type="dxa"/>
            <w:vAlign w:val="bottom"/>
            <w:shd w:val="clear" w:color="auto" w:fill="082940"/>
          </w:tcPr>
          <w:p>
            <w:pPr>
              <w:jc w:val="right"/>
              <w:ind w:right="77"/>
              <w:spacing w:after="0"/>
              <w:rPr>
                <w:sz w:val="20"/>
                <w:szCs w:val="20"/>
                <w:color w:val="auto"/>
              </w:rPr>
            </w:pPr>
            <w:r>
              <w:rPr>
                <w:rFonts w:ascii="Arial" w:cs="Arial" w:eastAsia="Arial" w:hAnsi="Arial"/>
                <w:sz w:val="13"/>
                <w:szCs w:val="13"/>
                <w:color w:val="FFFFFF"/>
              </w:rPr>
              <w:t>($)</w:t>
            </w:r>
          </w:p>
        </w:tc>
        <w:tc>
          <w:tcPr>
            <w:tcW w:w="1040" w:type="dxa"/>
            <w:vAlign w:val="bottom"/>
            <w:shd w:val="clear" w:color="auto" w:fill="082940"/>
          </w:tcPr>
          <w:p>
            <w:pPr>
              <w:jc w:val="right"/>
              <w:ind w:right="117"/>
              <w:spacing w:after="0"/>
              <w:rPr>
                <w:sz w:val="20"/>
                <w:szCs w:val="20"/>
                <w:color w:val="auto"/>
              </w:rPr>
            </w:pPr>
            <w:r>
              <w:rPr>
                <w:rFonts w:ascii="Arial" w:cs="Arial" w:eastAsia="Arial" w:hAnsi="Arial"/>
                <w:sz w:val="13"/>
                <w:szCs w:val="13"/>
                <w:color w:val="FFFFFF"/>
              </w:rPr>
              <w:t>($)</w:t>
            </w:r>
          </w:p>
        </w:tc>
        <w:tc>
          <w:tcPr>
            <w:tcW w:w="800" w:type="dxa"/>
            <w:vAlign w:val="bottom"/>
            <w:shd w:val="clear" w:color="auto" w:fill="082940"/>
          </w:tcPr>
          <w:p>
            <w:pPr>
              <w:jc w:val="right"/>
              <w:ind w:right="57"/>
              <w:spacing w:after="0"/>
              <w:rPr>
                <w:sz w:val="20"/>
                <w:szCs w:val="20"/>
                <w:color w:val="auto"/>
              </w:rPr>
            </w:pPr>
            <w:r>
              <w:rPr>
                <w:rFonts w:ascii="Arial" w:cs="Arial" w:eastAsia="Arial" w:hAnsi="Arial"/>
                <w:sz w:val="13"/>
                <w:szCs w:val="13"/>
                <w:color w:val="FFFFFF"/>
              </w:rPr>
              <w:t>($)</w:t>
            </w:r>
          </w:p>
        </w:tc>
        <w:tc>
          <w:tcPr>
            <w:tcW w:w="0" w:type="dxa"/>
            <w:vAlign w:val="bottom"/>
          </w:tcPr>
          <w:p>
            <w:pPr>
              <w:spacing w:after="0"/>
              <w:rPr>
                <w:sz w:val="1"/>
                <w:szCs w:val="1"/>
                <w:color w:val="auto"/>
              </w:rPr>
            </w:pPr>
          </w:p>
        </w:tc>
      </w:tr>
      <w:tr>
        <w:trPr>
          <w:trHeight w:val="82"/>
        </w:trPr>
        <w:tc>
          <w:tcPr>
            <w:tcW w:w="80" w:type="dxa"/>
            <w:vAlign w:val="bottom"/>
            <w:shd w:val="clear" w:color="auto" w:fill="082940"/>
          </w:tcPr>
          <w:p>
            <w:pPr>
              <w:spacing w:after="0"/>
              <w:rPr>
                <w:sz w:val="7"/>
                <w:szCs w:val="7"/>
                <w:color w:val="auto"/>
              </w:rPr>
            </w:pPr>
          </w:p>
        </w:tc>
        <w:tc>
          <w:tcPr>
            <w:tcW w:w="1700" w:type="dxa"/>
            <w:vAlign w:val="bottom"/>
            <w:shd w:val="clear" w:color="auto" w:fill="082940"/>
          </w:tcPr>
          <w:p>
            <w:pPr>
              <w:spacing w:after="0"/>
              <w:rPr>
                <w:sz w:val="7"/>
                <w:szCs w:val="7"/>
                <w:color w:val="auto"/>
              </w:rPr>
            </w:pPr>
          </w:p>
        </w:tc>
        <w:tc>
          <w:tcPr>
            <w:tcW w:w="1100" w:type="dxa"/>
            <w:vAlign w:val="bottom"/>
            <w:shd w:val="clear" w:color="auto" w:fill="082940"/>
          </w:tcPr>
          <w:p>
            <w:pPr>
              <w:spacing w:after="0"/>
              <w:rPr>
                <w:sz w:val="7"/>
                <w:szCs w:val="7"/>
                <w:color w:val="auto"/>
              </w:rPr>
            </w:pPr>
          </w:p>
        </w:tc>
        <w:tc>
          <w:tcPr>
            <w:tcW w:w="840" w:type="dxa"/>
            <w:vAlign w:val="bottom"/>
            <w:shd w:val="clear" w:color="auto" w:fill="082940"/>
          </w:tcPr>
          <w:p>
            <w:pPr>
              <w:spacing w:after="0"/>
              <w:rPr>
                <w:sz w:val="7"/>
                <w:szCs w:val="7"/>
                <w:color w:val="auto"/>
              </w:rPr>
            </w:pPr>
          </w:p>
        </w:tc>
        <w:tc>
          <w:tcPr>
            <w:tcW w:w="1060" w:type="dxa"/>
            <w:vAlign w:val="bottom"/>
            <w:shd w:val="clear" w:color="auto" w:fill="082940"/>
          </w:tcPr>
          <w:p>
            <w:pPr>
              <w:spacing w:after="0"/>
              <w:rPr>
                <w:sz w:val="7"/>
                <w:szCs w:val="7"/>
                <w:color w:val="auto"/>
              </w:rPr>
            </w:pPr>
          </w:p>
        </w:tc>
        <w:tc>
          <w:tcPr>
            <w:tcW w:w="860" w:type="dxa"/>
            <w:vAlign w:val="bottom"/>
            <w:shd w:val="clear" w:color="auto" w:fill="082940"/>
          </w:tcPr>
          <w:p>
            <w:pPr>
              <w:spacing w:after="0"/>
              <w:rPr>
                <w:sz w:val="7"/>
                <w:szCs w:val="7"/>
                <w:color w:val="auto"/>
              </w:rPr>
            </w:pPr>
          </w:p>
        </w:tc>
        <w:tc>
          <w:tcPr>
            <w:tcW w:w="1060" w:type="dxa"/>
            <w:vAlign w:val="bottom"/>
            <w:shd w:val="clear" w:color="auto" w:fill="082940"/>
          </w:tcPr>
          <w:p>
            <w:pPr>
              <w:spacing w:after="0"/>
              <w:rPr>
                <w:sz w:val="7"/>
                <w:szCs w:val="7"/>
                <w:color w:val="auto"/>
              </w:rPr>
            </w:pPr>
          </w:p>
        </w:tc>
        <w:tc>
          <w:tcPr>
            <w:tcW w:w="820" w:type="dxa"/>
            <w:vAlign w:val="bottom"/>
            <w:shd w:val="clear" w:color="auto" w:fill="082940"/>
          </w:tcPr>
          <w:p>
            <w:pPr>
              <w:spacing w:after="0"/>
              <w:rPr>
                <w:sz w:val="7"/>
                <w:szCs w:val="7"/>
                <w:color w:val="auto"/>
              </w:rPr>
            </w:pPr>
          </w:p>
        </w:tc>
        <w:tc>
          <w:tcPr>
            <w:tcW w:w="1060" w:type="dxa"/>
            <w:vAlign w:val="bottom"/>
            <w:shd w:val="clear" w:color="auto" w:fill="082940"/>
          </w:tcPr>
          <w:p>
            <w:pPr>
              <w:spacing w:after="0"/>
              <w:rPr>
                <w:sz w:val="7"/>
                <w:szCs w:val="7"/>
                <w:color w:val="auto"/>
              </w:rPr>
            </w:pPr>
          </w:p>
        </w:tc>
        <w:tc>
          <w:tcPr>
            <w:tcW w:w="820" w:type="dxa"/>
            <w:vAlign w:val="bottom"/>
            <w:shd w:val="clear" w:color="auto" w:fill="082940"/>
          </w:tcPr>
          <w:p>
            <w:pPr>
              <w:spacing w:after="0"/>
              <w:rPr>
                <w:sz w:val="7"/>
                <w:szCs w:val="7"/>
                <w:color w:val="auto"/>
              </w:rPr>
            </w:pPr>
          </w:p>
        </w:tc>
        <w:tc>
          <w:tcPr>
            <w:tcW w:w="1040" w:type="dxa"/>
            <w:vAlign w:val="bottom"/>
            <w:shd w:val="clear" w:color="auto" w:fill="082940"/>
          </w:tcPr>
          <w:p>
            <w:pPr>
              <w:spacing w:after="0"/>
              <w:rPr>
                <w:sz w:val="7"/>
                <w:szCs w:val="7"/>
                <w:color w:val="auto"/>
              </w:rPr>
            </w:pPr>
          </w:p>
        </w:tc>
        <w:tc>
          <w:tcPr>
            <w:tcW w:w="800" w:type="dxa"/>
            <w:vAlign w:val="bottom"/>
            <w:shd w:val="clear" w:color="auto" w:fill="082940"/>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b w:val="1"/>
                <w:bCs w:val="1"/>
                <w:color w:val="auto"/>
              </w:rPr>
              <w:t>Summary Compensation</w:t>
            </w:r>
          </w:p>
        </w:tc>
        <w:tc>
          <w:tcPr>
            <w:tcW w:w="1100" w:type="dxa"/>
            <w:vAlign w:val="bottom"/>
            <w:vMerge w:val="restart"/>
          </w:tcPr>
          <w:p>
            <w:pPr>
              <w:jc w:val="right"/>
              <w:ind w:right="117"/>
              <w:spacing w:after="0"/>
              <w:rPr>
                <w:sz w:val="20"/>
                <w:szCs w:val="20"/>
                <w:color w:val="auto"/>
              </w:rPr>
            </w:pPr>
            <w:r>
              <w:rPr>
                <w:rFonts w:ascii="Arial" w:cs="Arial" w:eastAsia="Arial" w:hAnsi="Arial"/>
                <w:sz w:val="13"/>
                <w:szCs w:val="13"/>
                <w:color w:val="auto"/>
              </w:rPr>
              <w:t>10,209,615</w:t>
            </w: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2,897,416</w:t>
            </w: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8,978,934</w:t>
            </w: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color w:val="auto"/>
              </w:rPr>
              <w:t>2,743,746</w:t>
            </w:r>
          </w:p>
        </w:tc>
        <w:tc>
          <w:tcPr>
            <w:tcW w:w="1060" w:type="dxa"/>
            <w:vAlign w:val="bottom"/>
            <w:vMerge w:val="restart"/>
          </w:tcPr>
          <w:p>
            <w:pPr>
              <w:jc w:val="right"/>
              <w:ind w:right="117"/>
              <w:spacing w:after="0"/>
              <w:rPr>
                <w:sz w:val="20"/>
                <w:szCs w:val="20"/>
                <w:color w:val="auto"/>
              </w:rPr>
            </w:pPr>
            <w:r>
              <w:rPr>
                <w:rFonts w:ascii="Arial" w:cs="Arial" w:eastAsia="Arial" w:hAnsi="Arial"/>
                <w:sz w:val="13"/>
                <w:szCs w:val="13"/>
                <w:color w:val="auto"/>
              </w:rPr>
              <w:t>7,931,487</w:t>
            </w:r>
          </w:p>
        </w:tc>
        <w:tc>
          <w:tcPr>
            <w:tcW w:w="820" w:type="dxa"/>
            <w:vAlign w:val="bottom"/>
            <w:vMerge w:val="restart"/>
          </w:tcPr>
          <w:p>
            <w:pPr>
              <w:jc w:val="right"/>
              <w:ind w:right="57"/>
              <w:spacing w:after="0"/>
              <w:rPr>
                <w:sz w:val="20"/>
                <w:szCs w:val="20"/>
                <w:color w:val="auto"/>
              </w:rPr>
            </w:pPr>
            <w:r>
              <w:rPr>
                <w:rFonts w:ascii="Arial" w:cs="Arial" w:eastAsia="Arial" w:hAnsi="Arial"/>
                <w:sz w:val="13"/>
                <w:szCs w:val="13"/>
                <w:color w:val="auto"/>
              </w:rPr>
              <w:t>2,515,877</w:t>
            </w:r>
          </w:p>
        </w:tc>
        <w:tc>
          <w:tcPr>
            <w:tcW w:w="1060" w:type="dxa"/>
            <w:vAlign w:val="bottom"/>
            <w:vMerge w:val="restart"/>
          </w:tcPr>
          <w:p>
            <w:pPr>
              <w:jc w:val="right"/>
              <w:ind w:right="137"/>
              <w:spacing w:after="0"/>
              <w:rPr>
                <w:sz w:val="20"/>
                <w:szCs w:val="20"/>
                <w:color w:val="auto"/>
              </w:rPr>
            </w:pPr>
            <w:r>
              <w:rPr>
                <w:rFonts w:ascii="Arial" w:cs="Arial" w:eastAsia="Arial" w:hAnsi="Arial"/>
                <w:sz w:val="13"/>
                <w:szCs w:val="13"/>
                <w:color w:val="auto"/>
              </w:rPr>
              <w:t>5,474,844</w:t>
            </w: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2,831,491</w:t>
            </w:r>
          </w:p>
        </w:tc>
        <w:tc>
          <w:tcPr>
            <w:tcW w:w="1040" w:type="dxa"/>
            <w:vAlign w:val="bottom"/>
            <w:vMerge w:val="restart"/>
          </w:tcPr>
          <w:p>
            <w:pPr>
              <w:jc w:val="right"/>
              <w:ind w:right="117"/>
              <w:spacing w:after="0"/>
              <w:rPr>
                <w:sz w:val="20"/>
                <w:szCs w:val="20"/>
                <w:color w:val="auto"/>
              </w:rPr>
            </w:pPr>
            <w:r>
              <w:rPr>
                <w:rFonts w:ascii="Arial" w:cs="Arial" w:eastAsia="Arial" w:hAnsi="Arial"/>
                <w:sz w:val="13"/>
                <w:szCs w:val="13"/>
                <w:color w:val="auto"/>
              </w:rPr>
              <w:t>4,970,949</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2,605,661</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Table Total</w:t>
            </w:r>
          </w:p>
        </w:tc>
        <w:tc>
          <w:tcPr>
            <w:tcW w:w="11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vMerge w:val="continue"/>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80" w:type="dxa"/>
            <w:vAlign w:val="bottom"/>
            <w:shd w:val="clear" w:color="auto" w:fill="F5F5F5"/>
          </w:tcPr>
          <w:p>
            <w:pPr>
              <w:spacing w:after="0"/>
              <w:rPr>
                <w:sz w:val="15"/>
                <w:szCs w:val="15"/>
                <w:color w:val="auto"/>
              </w:rPr>
            </w:pPr>
          </w:p>
        </w:tc>
        <w:tc>
          <w:tcPr>
            <w:tcW w:w="1700" w:type="dxa"/>
            <w:vAlign w:val="bottom"/>
            <w:shd w:val="clear" w:color="auto" w:fill="F5F5F5"/>
          </w:tcPr>
          <w:p>
            <w:pPr>
              <w:ind w:left="20"/>
              <w:spacing w:after="0"/>
              <w:rPr>
                <w:sz w:val="20"/>
                <w:szCs w:val="20"/>
                <w:color w:val="auto"/>
              </w:rPr>
            </w:pPr>
            <w:r>
              <w:rPr>
                <w:rFonts w:ascii="Arial" w:cs="Arial" w:eastAsia="Arial" w:hAnsi="Arial"/>
                <w:sz w:val="13"/>
                <w:szCs w:val="13"/>
                <w:b w:val="1"/>
                <w:bCs w:val="1"/>
                <w:color w:val="005388"/>
              </w:rPr>
              <w:t>Adjustments</w:t>
            </w:r>
          </w:p>
        </w:tc>
        <w:tc>
          <w:tcPr>
            <w:tcW w:w="1100" w:type="dxa"/>
            <w:vAlign w:val="bottom"/>
            <w:shd w:val="clear" w:color="auto" w:fill="F5F5F5"/>
          </w:tcPr>
          <w:p>
            <w:pPr>
              <w:spacing w:after="0"/>
              <w:rPr>
                <w:sz w:val="15"/>
                <w:szCs w:val="15"/>
                <w:color w:val="auto"/>
              </w:rPr>
            </w:pPr>
          </w:p>
        </w:tc>
        <w:tc>
          <w:tcPr>
            <w:tcW w:w="840" w:type="dxa"/>
            <w:vAlign w:val="bottom"/>
            <w:shd w:val="clear" w:color="auto" w:fill="F5F5F5"/>
          </w:tcPr>
          <w:p>
            <w:pPr>
              <w:spacing w:after="0"/>
              <w:rPr>
                <w:sz w:val="15"/>
                <w:szCs w:val="15"/>
                <w:color w:val="auto"/>
              </w:rPr>
            </w:pPr>
          </w:p>
        </w:tc>
        <w:tc>
          <w:tcPr>
            <w:tcW w:w="1060" w:type="dxa"/>
            <w:vAlign w:val="bottom"/>
            <w:shd w:val="clear" w:color="auto" w:fill="F5F5F5"/>
          </w:tcPr>
          <w:p>
            <w:pPr>
              <w:spacing w:after="0"/>
              <w:rPr>
                <w:sz w:val="15"/>
                <w:szCs w:val="15"/>
                <w:color w:val="auto"/>
              </w:rPr>
            </w:pPr>
          </w:p>
        </w:tc>
        <w:tc>
          <w:tcPr>
            <w:tcW w:w="860" w:type="dxa"/>
            <w:vAlign w:val="bottom"/>
            <w:shd w:val="clear" w:color="auto" w:fill="F5F5F5"/>
          </w:tcPr>
          <w:p>
            <w:pPr>
              <w:spacing w:after="0"/>
              <w:rPr>
                <w:sz w:val="15"/>
                <w:szCs w:val="15"/>
                <w:color w:val="auto"/>
              </w:rPr>
            </w:pPr>
          </w:p>
        </w:tc>
        <w:tc>
          <w:tcPr>
            <w:tcW w:w="1060" w:type="dxa"/>
            <w:vAlign w:val="bottom"/>
            <w:shd w:val="clear" w:color="auto" w:fill="F5F5F5"/>
          </w:tcPr>
          <w:p>
            <w:pPr>
              <w:spacing w:after="0"/>
              <w:rPr>
                <w:sz w:val="15"/>
                <w:szCs w:val="15"/>
                <w:color w:val="auto"/>
              </w:rPr>
            </w:pPr>
          </w:p>
        </w:tc>
        <w:tc>
          <w:tcPr>
            <w:tcW w:w="820" w:type="dxa"/>
            <w:vAlign w:val="bottom"/>
            <w:shd w:val="clear" w:color="auto" w:fill="F5F5F5"/>
          </w:tcPr>
          <w:p>
            <w:pPr>
              <w:spacing w:after="0"/>
              <w:rPr>
                <w:sz w:val="15"/>
                <w:szCs w:val="15"/>
                <w:color w:val="auto"/>
              </w:rPr>
            </w:pPr>
          </w:p>
        </w:tc>
        <w:tc>
          <w:tcPr>
            <w:tcW w:w="1060" w:type="dxa"/>
            <w:vAlign w:val="bottom"/>
            <w:shd w:val="clear" w:color="auto" w:fill="F5F5F5"/>
          </w:tcPr>
          <w:p>
            <w:pPr>
              <w:spacing w:after="0"/>
              <w:rPr>
                <w:sz w:val="15"/>
                <w:szCs w:val="15"/>
                <w:color w:val="auto"/>
              </w:rPr>
            </w:pPr>
          </w:p>
        </w:tc>
        <w:tc>
          <w:tcPr>
            <w:tcW w:w="820" w:type="dxa"/>
            <w:vAlign w:val="bottom"/>
            <w:shd w:val="clear" w:color="auto" w:fill="F5F5F5"/>
          </w:tcPr>
          <w:p>
            <w:pPr>
              <w:spacing w:after="0"/>
              <w:rPr>
                <w:sz w:val="15"/>
                <w:szCs w:val="15"/>
                <w:color w:val="auto"/>
              </w:rPr>
            </w:pPr>
          </w:p>
        </w:tc>
        <w:tc>
          <w:tcPr>
            <w:tcW w:w="1040" w:type="dxa"/>
            <w:vAlign w:val="bottom"/>
            <w:shd w:val="clear" w:color="auto" w:fill="F5F5F5"/>
          </w:tcPr>
          <w:p>
            <w:pPr>
              <w:spacing w:after="0"/>
              <w:rPr>
                <w:sz w:val="15"/>
                <w:szCs w:val="15"/>
                <w:color w:val="auto"/>
              </w:rPr>
            </w:pPr>
          </w:p>
        </w:tc>
        <w:tc>
          <w:tcPr>
            <w:tcW w:w="800" w:type="dxa"/>
            <w:vAlign w:val="bottom"/>
            <w:shd w:val="clear" w:color="auto" w:fill="F5F5F5"/>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80" w:type="dxa"/>
            <w:vAlign w:val="bottom"/>
            <w:tcBorders>
              <w:bottom w:val="single" w:sz="8" w:color="auto"/>
            </w:tcBorders>
            <w:shd w:val="clear" w:color="auto" w:fill="F5F5F5"/>
          </w:tcPr>
          <w:p>
            <w:pPr>
              <w:spacing w:after="0"/>
              <w:rPr>
                <w:sz w:val="6"/>
                <w:szCs w:val="6"/>
                <w:color w:val="auto"/>
              </w:rPr>
            </w:pPr>
          </w:p>
        </w:tc>
        <w:tc>
          <w:tcPr>
            <w:tcW w:w="1700" w:type="dxa"/>
            <w:vAlign w:val="bottom"/>
            <w:tcBorders>
              <w:bottom w:val="single" w:sz="8" w:color="auto"/>
            </w:tcBorders>
            <w:shd w:val="clear" w:color="auto" w:fill="F5F5F5"/>
          </w:tcPr>
          <w:p>
            <w:pPr>
              <w:spacing w:after="0"/>
              <w:rPr>
                <w:sz w:val="6"/>
                <w:szCs w:val="6"/>
                <w:color w:val="auto"/>
              </w:rPr>
            </w:pPr>
          </w:p>
        </w:tc>
        <w:tc>
          <w:tcPr>
            <w:tcW w:w="1100" w:type="dxa"/>
            <w:vAlign w:val="bottom"/>
            <w:tcBorders>
              <w:bottom w:val="single" w:sz="8" w:color="auto"/>
            </w:tcBorders>
            <w:shd w:val="clear" w:color="auto" w:fill="F5F5F5"/>
          </w:tcPr>
          <w:p>
            <w:pPr>
              <w:spacing w:after="0"/>
              <w:rPr>
                <w:sz w:val="6"/>
                <w:szCs w:val="6"/>
                <w:color w:val="auto"/>
              </w:rPr>
            </w:pPr>
          </w:p>
        </w:tc>
        <w:tc>
          <w:tcPr>
            <w:tcW w:w="840" w:type="dxa"/>
            <w:vAlign w:val="bottom"/>
            <w:tcBorders>
              <w:bottom w:val="single" w:sz="8" w:color="auto"/>
            </w:tcBorders>
            <w:shd w:val="clear" w:color="auto" w:fill="F5F5F5"/>
          </w:tcPr>
          <w:p>
            <w:pPr>
              <w:spacing w:after="0"/>
              <w:rPr>
                <w:sz w:val="6"/>
                <w:szCs w:val="6"/>
                <w:color w:val="auto"/>
              </w:rPr>
            </w:pPr>
          </w:p>
        </w:tc>
        <w:tc>
          <w:tcPr>
            <w:tcW w:w="1060" w:type="dxa"/>
            <w:vAlign w:val="bottom"/>
            <w:tcBorders>
              <w:bottom w:val="single" w:sz="8" w:color="auto"/>
            </w:tcBorders>
            <w:shd w:val="clear" w:color="auto" w:fill="F5F5F5"/>
          </w:tcPr>
          <w:p>
            <w:pPr>
              <w:spacing w:after="0"/>
              <w:rPr>
                <w:sz w:val="6"/>
                <w:szCs w:val="6"/>
                <w:color w:val="auto"/>
              </w:rPr>
            </w:pPr>
          </w:p>
        </w:tc>
        <w:tc>
          <w:tcPr>
            <w:tcW w:w="860" w:type="dxa"/>
            <w:vAlign w:val="bottom"/>
            <w:tcBorders>
              <w:bottom w:val="single" w:sz="8" w:color="auto"/>
            </w:tcBorders>
            <w:shd w:val="clear" w:color="auto" w:fill="F5F5F5"/>
          </w:tcPr>
          <w:p>
            <w:pPr>
              <w:spacing w:after="0"/>
              <w:rPr>
                <w:sz w:val="6"/>
                <w:szCs w:val="6"/>
                <w:color w:val="auto"/>
              </w:rPr>
            </w:pPr>
          </w:p>
        </w:tc>
        <w:tc>
          <w:tcPr>
            <w:tcW w:w="1060" w:type="dxa"/>
            <w:vAlign w:val="bottom"/>
            <w:tcBorders>
              <w:bottom w:val="single" w:sz="8" w:color="auto"/>
            </w:tcBorders>
            <w:shd w:val="clear" w:color="auto" w:fill="F5F5F5"/>
          </w:tcPr>
          <w:p>
            <w:pPr>
              <w:spacing w:after="0"/>
              <w:rPr>
                <w:sz w:val="6"/>
                <w:szCs w:val="6"/>
                <w:color w:val="auto"/>
              </w:rPr>
            </w:pPr>
          </w:p>
        </w:tc>
        <w:tc>
          <w:tcPr>
            <w:tcW w:w="820" w:type="dxa"/>
            <w:vAlign w:val="bottom"/>
            <w:tcBorders>
              <w:bottom w:val="single" w:sz="8" w:color="auto"/>
            </w:tcBorders>
            <w:shd w:val="clear" w:color="auto" w:fill="F5F5F5"/>
          </w:tcPr>
          <w:p>
            <w:pPr>
              <w:spacing w:after="0"/>
              <w:rPr>
                <w:sz w:val="6"/>
                <w:szCs w:val="6"/>
                <w:color w:val="auto"/>
              </w:rPr>
            </w:pPr>
          </w:p>
        </w:tc>
        <w:tc>
          <w:tcPr>
            <w:tcW w:w="1060" w:type="dxa"/>
            <w:vAlign w:val="bottom"/>
            <w:tcBorders>
              <w:bottom w:val="single" w:sz="8" w:color="auto"/>
            </w:tcBorders>
            <w:shd w:val="clear" w:color="auto" w:fill="F5F5F5"/>
          </w:tcPr>
          <w:p>
            <w:pPr>
              <w:spacing w:after="0"/>
              <w:rPr>
                <w:sz w:val="6"/>
                <w:szCs w:val="6"/>
                <w:color w:val="auto"/>
              </w:rPr>
            </w:pPr>
          </w:p>
        </w:tc>
        <w:tc>
          <w:tcPr>
            <w:tcW w:w="820" w:type="dxa"/>
            <w:vAlign w:val="bottom"/>
            <w:tcBorders>
              <w:bottom w:val="single" w:sz="8" w:color="auto"/>
            </w:tcBorders>
            <w:shd w:val="clear" w:color="auto" w:fill="F5F5F5"/>
          </w:tcPr>
          <w:p>
            <w:pPr>
              <w:spacing w:after="0"/>
              <w:rPr>
                <w:sz w:val="6"/>
                <w:szCs w:val="6"/>
                <w:color w:val="auto"/>
              </w:rPr>
            </w:pPr>
          </w:p>
        </w:tc>
        <w:tc>
          <w:tcPr>
            <w:tcW w:w="1040" w:type="dxa"/>
            <w:vAlign w:val="bottom"/>
            <w:tcBorders>
              <w:bottom w:val="single" w:sz="8" w:color="auto"/>
            </w:tcBorders>
            <w:shd w:val="clear" w:color="auto" w:fill="F5F5F5"/>
          </w:tcPr>
          <w:p>
            <w:pPr>
              <w:spacing w:after="0"/>
              <w:rPr>
                <w:sz w:val="6"/>
                <w:szCs w:val="6"/>
                <w:color w:val="auto"/>
              </w:rPr>
            </w:pPr>
          </w:p>
        </w:tc>
        <w:tc>
          <w:tcPr>
            <w:tcW w:w="800" w:type="dxa"/>
            <w:vAlign w:val="bottom"/>
            <w:tcBorders>
              <w:bottom w:val="single" w:sz="8" w:color="auto"/>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1700" w:type="dxa"/>
            <w:vAlign w:val="bottom"/>
            <w:shd w:val="clear" w:color="auto" w:fill="F5F5F5"/>
          </w:tcPr>
          <w:p>
            <w:pPr>
              <w:ind w:left="240"/>
              <w:spacing w:after="0"/>
              <w:rPr>
                <w:sz w:val="20"/>
                <w:szCs w:val="20"/>
                <w:color w:val="auto"/>
              </w:rPr>
            </w:pPr>
            <w:r>
              <w:rPr>
                <w:rFonts w:ascii="Arial" w:cs="Arial" w:eastAsia="Arial" w:hAnsi="Arial"/>
                <w:sz w:val="13"/>
                <w:szCs w:val="13"/>
                <w:color w:val="auto"/>
                <w:w w:val="99"/>
              </w:rPr>
              <w:t>Deduction for Grant Date</w:t>
            </w:r>
          </w:p>
        </w:tc>
        <w:tc>
          <w:tcPr>
            <w:tcW w:w="1100" w:type="dxa"/>
            <w:vAlign w:val="bottom"/>
            <w:shd w:val="clear" w:color="auto" w:fill="F5F5F5"/>
          </w:tcPr>
          <w:p>
            <w:pPr>
              <w:spacing w:after="0"/>
              <w:rPr>
                <w:sz w:val="14"/>
                <w:szCs w:val="14"/>
                <w:color w:val="auto"/>
              </w:rPr>
            </w:pPr>
          </w:p>
        </w:tc>
        <w:tc>
          <w:tcPr>
            <w:tcW w:w="84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6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2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20" w:type="dxa"/>
            <w:vAlign w:val="bottom"/>
            <w:shd w:val="clear" w:color="auto" w:fill="F5F5F5"/>
          </w:tcPr>
          <w:p>
            <w:pPr>
              <w:spacing w:after="0"/>
              <w:rPr>
                <w:sz w:val="14"/>
                <w:szCs w:val="14"/>
                <w:color w:val="auto"/>
              </w:rPr>
            </w:pPr>
          </w:p>
        </w:tc>
        <w:tc>
          <w:tcPr>
            <w:tcW w:w="1040" w:type="dxa"/>
            <w:vAlign w:val="bottom"/>
            <w:shd w:val="clear" w:color="auto" w:fill="F5F5F5"/>
          </w:tcPr>
          <w:p>
            <w:pPr>
              <w:spacing w:after="0"/>
              <w:rPr>
                <w:sz w:val="14"/>
                <w:szCs w:val="14"/>
                <w:color w:val="auto"/>
              </w:rPr>
            </w:pPr>
          </w:p>
        </w:tc>
        <w:tc>
          <w:tcPr>
            <w:tcW w:w="80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1700" w:type="dxa"/>
            <w:vAlign w:val="bottom"/>
            <w:shd w:val="clear" w:color="auto" w:fill="F5F5F5"/>
          </w:tcPr>
          <w:p>
            <w:pPr>
              <w:ind w:left="240"/>
              <w:spacing w:after="0"/>
              <w:rPr>
                <w:sz w:val="20"/>
                <w:szCs w:val="20"/>
                <w:color w:val="auto"/>
              </w:rPr>
            </w:pPr>
            <w:r>
              <w:rPr>
                <w:rFonts w:ascii="Arial" w:cs="Arial" w:eastAsia="Arial" w:hAnsi="Arial"/>
                <w:sz w:val="13"/>
                <w:szCs w:val="13"/>
                <w:color w:val="auto"/>
              </w:rPr>
              <w:t>Fair Value of Awards</w:t>
            </w:r>
          </w:p>
        </w:tc>
        <w:tc>
          <w:tcPr>
            <w:tcW w:w="1100" w:type="dxa"/>
            <w:vAlign w:val="bottom"/>
            <w:shd w:val="clear" w:color="auto" w:fill="F5F5F5"/>
          </w:tcPr>
          <w:p>
            <w:pPr>
              <w:jc w:val="right"/>
              <w:ind w:right="117"/>
              <w:spacing w:after="0"/>
              <w:rPr>
                <w:sz w:val="20"/>
                <w:szCs w:val="20"/>
                <w:color w:val="auto"/>
              </w:rPr>
            </w:pPr>
            <w:r>
              <w:rPr>
                <w:rFonts w:ascii="Arial" w:cs="Arial" w:eastAsia="Arial" w:hAnsi="Arial"/>
                <w:sz w:val="13"/>
                <w:szCs w:val="13"/>
                <w:color w:val="auto"/>
              </w:rPr>
              <w:t>(6,337,450)</w:t>
            </w:r>
          </w:p>
        </w:tc>
        <w:tc>
          <w:tcPr>
            <w:tcW w:w="840" w:type="dxa"/>
            <w:vAlign w:val="bottom"/>
            <w:shd w:val="clear" w:color="auto" w:fill="F5F5F5"/>
          </w:tcPr>
          <w:p>
            <w:pPr>
              <w:jc w:val="right"/>
              <w:ind w:right="77"/>
              <w:spacing w:after="0"/>
              <w:rPr>
                <w:sz w:val="20"/>
                <w:szCs w:val="20"/>
                <w:color w:val="auto"/>
              </w:rPr>
            </w:pPr>
            <w:r>
              <w:rPr>
                <w:rFonts w:ascii="Arial" w:cs="Arial" w:eastAsia="Arial" w:hAnsi="Arial"/>
                <w:sz w:val="13"/>
                <w:szCs w:val="13"/>
                <w:color w:val="auto"/>
              </w:rPr>
              <w:t>(1,306,651)</w:t>
            </w:r>
          </w:p>
        </w:tc>
        <w:tc>
          <w:tcPr>
            <w:tcW w:w="1060" w:type="dxa"/>
            <w:vAlign w:val="bottom"/>
            <w:shd w:val="clear" w:color="auto" w:fill="F5F5F5"/>
          </w:tcPr>
          <w:p>
            <w:pPr>
              <w:jc w:val="right"/>
              <w:ind w:right="117"/>
              <w:spacing w:after="0"/>
              <w:rPr>
                <w:sz w:val="20"/>
                <w:szCs w:val="20"/>
                <w:color w:val="auto"/>
              </w:rPr>
            </w:pPr>
            <w:r>
              <w:rPr>
                <w:rFonts w:ascii="Arial" w:cs="Arial" w:eastAsia="Arial" w:hAnsi="Arial"/>
                <w:sz w:val="13"/>
                <w:szCs w:val="13"/>
                <w:color w:val="auto"/>
              </w:rPr>
              <w:t>(4,874,994)</w:t>
            </w:r>
          </w:p>
        </w:tc>
        <w:tc>
          <w:tcPr>
            <w:tcW w:w="860" w:type="dxa"/>
            <w:vAlign w:val="bottom"/>
            <w:shd w:val="clear" w:color="auto" w:fill="F5F5F5"/>
          </w:tcPr>
          <w:p>
            <w:pPr>
              <w:jc w:val="right"/>
              <w:ind w:right="97"/>
              <w:spacing w:after="0"/>
              <w:rPr>
                <w:sz w:val="20"/>
                <w:szCs w:val="20"/>
                <w:color w:val="auto"/>
              </w:rPr>
            </w:pPr>
            <w:r>
              <w:rPr>
                <w:rFonts w:ascii="Arial" w:cs="Arial" w:eastAsia="Arial" w:hAnsi="Arial"/>
                <w:sz w:val="13"/>
                <w:szCs w:val="13"/>
                <w:color w:val="auto"/>
              </w:rPr>
              <w:t>(1,376,427)</w:t>
            </w:r>
          </w:p>
        </w:tc>
        <w:tc>
          <w:tcPr>
            <w:tcW w:w="1060" w:type="dxa"/>
            <w:vAlign w:val="bottom"/>
            <w:shd w:val="clear" w:color="auto" w:fill="F5F5F5"/>
          </w:tcPr>
          <w:p>
            <w:pPr>
              <w:jc w:val="right"/>
              <w:ind w:right="117"/>
              <w:spacing w:after="0"/>
              <w:rPr>
                <w:sz w:val="20"/>
                <w:szCs w:val="20"/>
                <w:color w:val="auto"/>
              </w:rPr>
            </w:pPr>
            <w:r>
              <w:rPr>
                <w:rFonts w:ascii="Arial" w:cs="Arial" w:eastAsia="Arial" w:hAnsi="Arial"/>
                <w:sz w:val="13"/>
                <w:szCs w:val="13"/>
                <w:color w:val="auto"/>
              </w:rPr>
              <w:t>(4,274,972)</w:t>
            </w:r>
          </w:p>
        </w:tc>
        <w:tc>
          <w:tcPr>
            <w:tcW w:w="820" w:type="dxa"/>
            <w:vAlign w:val="bottom"/>
            <w:shd w:val="clear" w:color="auto" w:fill="F5F5F5"/>
          </w:tcPr>
          <w:p>
            <w:pPr>
              <w:jc w:val="right"/>
              <w:ind w:right="57"/>
              <w:spacing w:after="0"/>
              <w:rPr>
                <w:sz w:val="20"/>
                <w:szCs w:val="20"/>
                <w:color w:val="auto"/>
              </w:rPr>
            </w:pPr>
            <w:r>
              <w:rPr>
                <w:rFonts w:ascii="Arial" w:cs="Arial" w:eastAsia="Arial" w:hAnsi="Arial"/>
                <w:sz w:val="13"/>
                <w:szCs w:val="13"/>
                <w:color w:val="auto"/>
              </w:rPr>
              <w:t>(977,983)</w:t>
            </w:r>
          </w:p>
        </w:tc>
        <w:tc>
          <w:tcPr>
            <w:tcW w:w="106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(3,000,000)</w:t>
            </w:r>
          </w:p>
        </w:tc>
        <w:tc>
          <w:tcPr>
            <w:tcW w:w="820" w:type="dxa"/>
            <w:vAlign w:val="bottom"/>
            <w:shd w:val="clear" w:color="auto" w:fill="F5F5F5"/>
          </w:tcPr>
          <w:p>
            <w:pPr>
              <w:jc w:val="right"/>
              <w:ind w:right="77"/>
              <w:spacing w:after="0"/>
              <w:rPr>
                <w:sz w:val="20"/>
                <w:szCs w:val="20"/>
                <w:color w:val="auto"/>
              </w:rPr>
            </w:pPr>
            <w:r>
              <w:rPr>
                <w:rFonts w:ascii="Arial" w:cs="Arial" w:eastAsia="Arial" w:hAnsi="Arial"/>
                <w:sz w:val="13"/>
                <w:szCs w:val="13"/>
                <w:color w:val="auto"/>
                <w:w w:val="99"/>
              </w:rPr>
              <w:t>(1,540,534)</w:t>
            </w:r>
          </w:p>
        </w:tc>
        <w:tc>
          <w:tcPr>
            <w:tcW w:w="104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(2,315,962)</w:t>
            </w:r>
          </w:p>
        </w:tc>
        <w:tc>
          <w:tcPr>
            <w:tcW w:w="800" w:type="dxa"/>
            <w:vAlign w:val="bottom"/>
            <w:shd w:val="clear" w:color="auto" w:fill="F5F5F5"/>
          </w:tcPr>
          <w:p>
            <w:pPr>
              <w:jc w:val="right"/>
              <w:ind w:right="57"/>
              <w:spacing w:after="0"/>
              <w:rPr>
                <w:sz w:val="20"/>
                <w:szCs w:val="20"/>
                <w:color w:val="auto"/>
              </w:rPr>
            </w:pPr>
            <w:r>
              <w:rPr>
                <w:rFonts w:ascii="Arial" w:cs="Arial" w:eastAsia="Arial" w:hAnsi="Arial"/>
                <w:sz w:val="13"/>
                <w:szCs w:val="13"/>
                <w:color w:val="auto"/>
              </w:rPr>
              <w:t>(991,737)</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1700" w:type="dxa"/>
            <w:vAlign w:val="bottom"/>
            <w:shd w:val="clear" w:color="auto" w:fill="F5F5F5"/>
          </w:tcPr>
          <w:p>
            <w:pPr>
              <w:ind w:left="240"/>
              <w:spacing w:after="0"/>
              <w:rPr>
                <w:sz w:val="20"/>
                <w:szCs w:val="20"/>
                <w:color w:val="auto"/>
              </w:rPr>
            </w:pPr>
            <w:r>
              <w:rPr>
                <w:rFonts w:ascii="Arial" w:cs="Arial" w:eastAsia="Arial" w:hAnsi="Arial"/>
                <w:sz w:val="13"/>
                <w:szCs w:val="13"/>
                <w:color w:val="auto"/>
              </w:rPr>
              <w:t>Granted During Year</w:t>
            </w:r>
          </w:p>
        </w:tc>
        <w:tc>
          <w:tcPr>
            <w:tcW w:w="1100" w:type="dxa"/>
            <w:vAlign w:val="bottom"/>
            <w:shd w:val="clear" w:color="auto" w:fill="F5F5F5"/>
          </w:tcPr>
          <w:p>
            <w:pPr>
              <w:spacing w:after="0"/>
              <w:rPr>
                <w:sz w:val="14"/>
                <w:szCs w:val="14"/>
                <w:color w:val="auto"/>
              </w:rPr>
            </w:pPr>
          </w:p>
        </w:tc>
        <w:tc>
          <w:tcPr>
            <w:tcW w:w="84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6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20" w:type="dxa"/>
            <w:vAlign w:val="bottom"/>
            <w:shd w:val="clear" w:color="auto" w:fill="F5F5F5"/>
          </w:tcPr>
          <w:p>
            <w:pPr>
              <w:spacing w:after="0"/>
              <w:rPr>
                <w:sz w:val="14"/>
                <w:szCs w:val="14"/>
                <w:color w:val="auto"/>
              </w:rPr>
            </w:pPr>
          </w:p>
        </w:tc>
        <w:tc>
          <w:tcPr>
            <w:tcW w:w="1060" w:type="dxa"/>
            <w:vAlign w:val="bottom"/>
            <w:shd w:val="clear" w:color="auto" w:fill="F5F5F5"/>
          </w:tcPr>
          <w:p>
            <w:pPr>
              <w:spacing w:after="0"/>
              <w:rPr>
                <w:sz w:val="14"/>
                <w:szCs w:val="14"/>
                <w:color w:val="auto"/>
              </w:rPr>
            </w:pPr>
          </w:p>
        </w:tc>
        <w:tc>
          <w:tcPr>
            <w:tcW w:w="820" w:type="dxa"/>
            <w:vAlign w:val="bottom"/>
            <w:shd w:val="clear" w:color="auto" w:fill="F5F5F5"/>
          </w:tcPr>
          <w:p>
            <w:pPr>
              <w:spacing w:after="0"/>
              <w:rPr>
                <w:sz w:val="14"/>
                <w:szCs w:val="14"/>
                <w:color w:val="auto"/>
              </w:rPr>
            </w:pPr>
          </w:p>
        </w:tc>
        <w:tc>
          <w:tcPr>
            <w:tcW w:w="1040" w:type="dxa"/>
            <w:vAlign w:val="bottom"/>
            <w:shd w:val="clear" w:color="auto" w:fill="F5F5F5"/>
          </w:tcPr>
          <w:p>
            <w:pPr>
              <w:spacing w:after="0"/>
              <w:rPr>
                <w:sz w:val="14"/>
                <w:szCs w:val="14"/>
                <w:color w:val="auto"/>
              </w:rPr>
            </w:pPr>
          </w:p>
        </w:tc>
        <w:tc>
          <w:tcPr>
            <w:tcW w:w="800" w:type="dxa"/>
            <w:vAlign w:val="bottom"/>
            <w:shd w:val="clear" w:color="auto" w:fill="F5F5F5"/>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1700" w:type="dxa"/>
            <w:vAlign w:val="bottom"/>
            <w:shd w:val="clear" w:color="auto" w:fill="F5F5F5"/>
          </w:tcPr>
          <w:p>
            <w:pPr>
              <w:spacing w:after="0"/>
              <w:rPr>
                <w:sz w:val="7"/>
                <w:szCs w:val="7"/>
                <w:color w:val="auto"/>
              </w:rPr>
            </w:pPr>
          </w:p>
        </w:tc>
        <w:tc>
          <w:tcPr>
            <w:tcW w:w="1100" w:type="dxa"/>
            <w:vAlign w:val="bottom"/>
            <w:shd w:val="clear" w:color="auto" w:fill="F5F5F5"/>
          </w:tcPr>
          <w:p>
            <w:pPr>
              <w:spacing w:after="0"/>
              <w:rPr>
                <w:sz w:val="7"/>
                <w:szCs w:val="7"/>
                <w:color w:val="auto"/>
              </w:rPr>
            </w:pPr>
          </w:p>
        </w:tc>
        <w:tc>
          <w:tcPr>
            <w:tcW w:w="840" w:type="dxa"/>
            <w:vAlign w:val="bottom"/>
            <w:shd w:val="clear" w:color="auto" w:fill="F5F5F5"/>
          </w:tcPr>
          <w:p>
            <w:pPr>
              <w:spacing w:after="0"/>
              <w:rPr>
                <w:sz w:val="7"/>
                <w:szCs w:val="7"/>
                <w:color w:val="auto"/>
              </w:rPr>
            </w:pPr>
          </w:p>
        </w:tc>
        <w:tc>
          <w:tcPr>
            <w:tcW w:w="1060" w:type="dxa"/>
            <w:vAlign w:val="bottom"/>
            <w:shd w:val="clear" w:color="auto" w:fill="F5F5F5"/>
          </w:tcPr>
          <w:p>
            <w:pPr>
              <w:spacing w:after="0"/>
              <w:rPr>
                <w:sz w:val="7"/>
                <w:szCs w:val="7"/>
                <w:color w:val="auto"/>
              </w:rPr>
            </w:pPr>
          </w:p>
        </w:tc>
        <w:tc>
          <w:tcPr>
            <w:tcW w:w="860" w:type="dxa"/>
            <w:vAlign w:val="bottom"/>
            <w:shd w:val="clear" w:color="auto" w:fill="F5F5F5"/>
          </w:tcPr>
          <w:p>
            <w:pPr>
              <w:spacing w:after="0"/>
              <w:rPr>
                <w:sz w:val="7"/>
                <w:szCs w:val="7"/>
                <w:color w:val="auto"/>
              </w:rPr>
            </w:pPr>
          </w:p>
        </w:tc>
        <w:tc>
          <w:tcPr>
            <w:tcW w:w="1060" w:type="dxa"/>
            <w:vAlign w:val="bottom"/>
            <w:shd w:val="clear" w:color="auto" w:fill="F5F5F5"/>
          </w:tcPr>
          <w:p>
            <w:pPr>
              <w:spacing w:after="0"/>
              <w:rPr>
                <w:sz w:val="7"/>
                <w:szCs w:val="7"/>
                <w:color w:val="auto"/>
              </w:rPr>
            </w:pPr>
          </w:p>
        </w:tc>
        <w:tc>
          <w:tcPr>
            <w:tcW w:w="820" w:type="dxa"/>
            <w:vAlign w:val="bottom"/>
            <w:shd w:val="clear" w:color="auto" w:fill="F5F5F5"/>
          </w:tcPr>
          <w:p>
            <w:pPr>
              <w:spacing w:after="0"/>
              <w:rPr>
                <w:sz w:val="7"/>
                <w:szCs w:val="7"/>
                <w:color w:val="auto"/>
              </w:rPr>
            </w:pPr>
          </w:p>
        </w:tc>
        <w:tc>
          <w:tcPr>
            <w:tcW w:w="1060" w:type="dxa"/>
            <w:vAlign w:val="bottom"/>
            <w:shd w:val="clear" w:color="auto" w:fill="F5F5F5"/>
          </w:tcPr>
          <w:p>
            <w:pPr>
              <w:spacing w:after="0"/>
              <w:rPr>
                <w:sz w:val="7"/>
                <w:szCs w:val="7"/>
                <w:color w:val="auto"/>
              </w:rPr>
            </w:pPr>
          </w:p>
        </w:tc>
        <w:tc>
          <w:tcPr>
            <w:tcW w:w="820" w:type="dxa"/>
            <w:vAlign w:val="bottom"/>
            <w:shd w:val="clear" w:color="auto" w:fill="F5F5F5"/>
          </w:tcPr>
          <w:p>
            <w:pPr>
              <w:spacing w:after="0"/>
              <w:rPr>
                <w:sz w:val="7"/>
                <w:szCs w:val="7"/>
                <w:color w:val="auto"/>
              </w:rPr>
            </w:pPr>
          </w:p>
        </w:tc>
        <w:tc>
          <w:tcPr>
            <w:tcW w:w="1040" w:type="dxa"/>
            <w:vAlign w:val="bottom"/>
            <w:shd w:val="clear" w:color="auto" w:fill="F5F5F5"/>
          </w:tcPr>
          <w:p>
            <w:pPr>
              <w:spacing w:after="0"/>
              <w:rPr>
                <w:sz w:val="7"/>
                <w:szCs w:val="7"/>
                <w:color w:val="auto"/>
              </w:rPr>
            </w:pPr>
          </w:p>
        </w:tc>
        <w:tc>
          <w:tcPr>
            <w:tcW w:w="800" w:type="dxa"/>
            <w:vAlign w:val="bottom"/>
            <w:shd w:val="clear" w:color="auto" w:fill="F5F5F5"/>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34886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3488690"/>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-1224915</wp:posOffset>
            </wp:positionV>
            <wp:extent cx="59404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40425" cy="8255"/>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3"/>
          <w:szCs w:val="13"/>
          <w:b w:val="1"/>
          <w:bCs w:val="1"/>
          <w:color w:val="005388"/>
        </w:rPr>
        <w:t xml:space="preserve">Adjustment for Fair Value of Equity Calculated Using SEC Methodology </w:t>
      </w:r>
      <w:r>
        <w:rPr>
          <w:rFonts w:ascii="Arial" w:cs="Arial" w:eastAsia="Arial" w:hAnsi="Arial"/>
          <w:sz w:val="16"/>
          <w:szCs w:val="16"/>
          <w:b w:val="1"/>
          <w:bCs w:val="1"/>
          <w:color w:val="005388"/>
          <w:vertAlign w:val="superscript"/>
        </w:rPr>
        <w:t>(a)</w:t>
      </w:r>
    </w:p>
    <w:p>
      <w:pPr>
        <w:sectPr>
          <w:pgSz w:w="11900" w:h="16838" w:orient="portrait"/>
          <w:cols w:equalWidth="0" w:num="1">
            <w:col w:w="11240"/>
          </w:cols>
          <w:pgMar w:left="320" w:top="130" w:right="339" w:bottom="1440" w:gutter="0" w:footer="0" w:header="0"/>
        </w:sectPr>
      </w:pPr>
    </w:p>
    <w:p>
      <w:pPr>
        <w:spacing w:after="0" w:line="86" w:lineRule="exact"/>
        <w:rPr>
          <w:sz w:val="20"/>
          <w:szCs w:val="20"/>
          <w:color w:val="auto"/>
        </w:rPr>
      </w:pPr>
    </w:p>
    <w:p>
      <w:pPr>
        <w:ind w:left="220" w:right="60" w:hanging="5"/>
        <w:spacing w:after="0" w:line="282" w:lineRule="auto"/>
        <w:tabs>
          <w:tab w:leader="none" w:pos="367" w:val="left"/>
        </w:tabs>
        <w:numPr>
          <w:ilvl w:val="0"/>
          <w:numId w:val="69"/>
        </w:numPr>
        <w:rPr>
          <w:rFonts w:ascii="Arial" w:cs="Arial" w:eastAsia="Arial" w:hAnsi="Arial"/>
          <w:sz w:val="12"/>
          <w:szCs w:val="12"/>
          <w:color w:val="auto"/>
        </w:rPr>
      </w:pPr>
      <w:r>
        <w:rPr>
          <w:rFonts w:ascii="Arial" w:cs="Arial" w:eastAsia="Arial" w:hAnsi="Arial"/>
          <w:sz w:val="12"/>
          <w:szCs w:val="12"/>
          <w:color w:val="auto"/>
        </w:rPr>
        <w:t>Year-End Fair Value of Outstanding and Unvested Equity Awards Granted in the Applicable Year</w:t>
      </w:r>
    </w:p>
    <w:p>
      <w:pPr>
        <w:spacing w:after="0" w:line="12" w:lineRule="exact"/>
        <w:rPr>
          <w:rFonts w:ascii="Arial" w:cs="Arial" w:eastAsia="Arial" w:hAnsi="Arial"/>
          <w:sz w:val="12"/>
          <w:szCs w:val="12"/>
          <w:color w:val="auto"/>
        </w:rPr>
      </w:pPr>
    </w:p>
    <w:p>
      <w:pPr>
        <w:ind w:left="220" w:hanging="5"/>
        <w:spacing w:after="0" w:line="250" w:lineRule="auto"/>
        <w:tabs>
          <w:tab w:leader="none" w:pos="395" w:val="left"/>
        </w:tabs>
        <w:numPr>
          <w:ilvl w:val="0"/>
          <w:numId w:val="69"/>
        </w:numPr>
        <w:rPr>
          <w:rFonts w:ascii="Arial" w:cs="Arial" w:eastAsia="Arial" w:hAnsi="Arial"/>
          <w:sz w:val="13"/>
          <w:szCs w:val="13"/>
          <w:color w:val="auto"/>
        </w:rPr>
      </w:pPr>
      <w:r>
        <w:rPr>
          <w:rFonts w:ascii="Arial" w:cs="Arial" w:eastAsia="Arial" w:hAnsi="Arial"/>
          <w:sz w:val="13"/>
          <w:szCs w:val="13"/>
          <w:color w:val="auto"/>
        </w:rPr>
        <w:t>Year over Year Change in Fair Value of Outstanding and Unvested Equity Awards Granted in Prior Years</w:t>
      </w:r>
    </w:p>
    <w:p>
      <w:pPr>
        <w:spacing w:after="0" w:line="31" w:lineRule="exact"/>
        <w:rPr>
          <w:rFonts w:ascii="Arial" w:cs="Arial" w:eastAsia="Arial" w:hAnsi="Arial"/>
          <w:sz w:val="13"/>
          <w:szCs w:val="13"/>
          <w:color w:val="auto"/>
        </w:rPr>
      </w:pPr>
    </w:p>
    <w:p>
      <w:pPr>
        <w:ind w:left="220" w:right="40" w:hanging="5"/>
        <w:spacing w:after="0" w:line="250" w:lineRule="auto"/>
        <w:tabs>
          <w:tab w:leader="none" w:pos="423" w:val="left"/>
        </w:tabs>
        <w:numPr>
          <w:ilvl w:val="0"/>
          <w:numId w:val="69"/>
        </w:numPr>
        <w:rPr>
          <w:rFonts w:ascii="Arial" w:cs="Arial" w:eastAsia="Arial" w:hAnsi="Arial"/>
          <w:sz w:val="13"/>
          <w:szCs w:val="13"/>
          <w:color w:val="auto"/>
        </w:rPr>
      </w:pPr>
      <w:r>
        <w:rPr>
          <w:rFonts w:ascii="Arial" w:cs="Arial" w:eastAsia="Arial" w:hAnsi="Arial"/>
          <w:sz w:val="13"/>
          <w:szCs w:val="13"/>
          <w:color w:val="auto"/>
        </w:rPr>
        <w:t>Year over Year Change in Fair Value of Equity Awards Granted in Prior Years that Vested in the Year</w:t>
      </w:r>
    </w:p>
    <w:p>
      <w:pPr>
        <w:spacing w:after="0" w:line="31" w:lineRule="exact"/>
        <w:rPr>
          <w:rFonts w:ascii="Arial" w:cs="Arial" w:eastAsia="Arial" w:hAnsi="Arial"/>
          <w:sz w:val="13"/>
          <w:szCs w:val="13"/>
          <w:color w:val="auto"/>
        </w:rPr>
      </w:pPr>
    </w:p>
    <w:p>
      <w:pPr>
        <w:ind w:left="220" w:right="20" w:hanging="5"/>
        <w:spacing w:after="0" w:line="248" w:lineRule="auto"/>
        <w:tabs>
          <w:tab w:leader="none" w:pos="43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Any awards granted in any prior fiscal year that fail to meet the applicable vesting conditions during the covered fiscal year, the amount equal to the fair value at the end of the prior fiscal year</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920" w:type="dxa"/>
            <w:vAlign w:val="bottom"/>
          </w:tcPr>
          <w:p>
            <w:pPr>
              <w:jc w:val="right"/>
              <w:spacing w:after="0"/>
              <w:rPr>
                <w:sz w:val="20"/>
                <w:szCs w:val="20"/>
                <w:color w:val="auto"/>
              </w:rPr>
            </w:pPr>
            <w:r>
              <w:rPr>
                <w:rFonts w:ascii="Arial" w:cs="Arial" w:eastAsia="Arial" w:hAnsi="Arial"/>
                <w:sz w:val="13"/>
                <w:szCs w:val="13"/>
                <w:color w:val="auto"/>
              </w:rPr>
              <w:t>7,352,234</w:t>
            </w:r>
          </w:p>
        </w:tc>
        <w:tc>
          <w:tcPr>
            <w:tcW w:w="1080" w:type="dxa"/>
            <w:vAlign w:val="bottom"/>
          </w:tcPr>
          <w:p>
            <w:pPr>
              <w:jc w:val="right"/>
              <w:ind w:right="177"/>
              <w:spacing w:after="0"/>
              <w:rPr>
                <w:sz w:val="20"/>
                <w:szCs w:val="20"/>
                <w:color w:val="auto"/>
              </w:rPr>
            </w:pPr>
            <w:r>
              <w:rPr>
                <w:rFonts w:ascii="Arial" w:cs="Arial" w:eastAsia="Arial" w:hAnsi="Arial"/>
                <w:sz w:val="13"/>
                <w:szCs w:val="13"/>
                <w:color w:val="auto"/>
              </w:rPr>
              <w:t>1,515,879</w:t>
            </w:r>
          </w:p>
        </w:tc>
        <w:tc>
          <w:tcPr>
            <w:tcW w:w="940" w:type="dxa"/>
            <w:vAlign w:val="bottom"/>
          </w:tcPr>
          <w:p>
            <w:pPr>
              <w:jc w:val="right"/>
              <w:ind w:right="97"/>
              <w:spacing w:after="0"/>
              <w:rPr>
                <w:sz w:val="20"/>
                <w:szCs w:val="20"/>
                <w:color w:val="auto"/>
              </w:rPr>
            </w:pPr>
            <w:r>
              <w:rPr>
                <w:rFonts w:ascii="Arial" w:cs="Arial" w:eastAsia="Arial" w:hAnsi="Arial"/>
                <w:sz w:val="13"/>
                <w:szCs w:val="13"/>
                <w:color w:val="auto"/>
              </w:rPr>
              <w:t>5,975,485</w:t>
            </w:r>
          </w:p>
        </w:tc>
        <w:tc>
          <w:tcPr>
            <w:tcW w:w="980" w:type="dxa"/>
            <w:vAlign w:val="bottom"/>
          </w:tcPr>
          <w:p>
            <w:pPr>
              <w:jc w:val="right"/>
              <w:ind w:right="197"/>
              <w:spacing w:after="0"/>
              <w:rPr>
                <w:sz w:val="20"/>
                <w:szCs w:val="20"/>
                <w:color w:val="auto"/>
              </w:rPr>
            </w:pPr>
            <w:r>
              <w:rPr>
                <w:rFonts w:ascii="Arial" w:cs="Arial" w:eastAsia="Arial" w:hAnsi="Arial"/>
                <w:sz w:val="13"/>
                <w:szCs w:val="13"/>
                <w:color w:val="auto"/>
              </w:rPr>
              <w:t>1,389,925</w:t>
            </w:r>
          </w:p>
        </w:tc>
        <w:tc>
          <w:tcPr>
            <w:tcW w:w="980" w:type="dxa"/>
            <w:vAlign w:val="bottom"/>
          </w:tcPr>
          <w:p>
            <w:pPr>
              <w:jc w:val="right"/>
              <w:ind w:right="97"/>
              <w:spacing w:after="0"/>
              <w:rPr>
                <w:sz w:val="20"/>
                <w:szCs w:val="20"/>
                <w:color w:val="auto"/>
              </w:rPr>
            </w:pPr>
            <w:r>
              <w:rPr>
                <w:rFonts w:ascii="Arial" w:cs="Arial" w:eastAsia="Arial" w:hAnsi="Arial"/>
                <w:sz w:val="13"/>
                <w:szCs w:val="13"/>
                <w:color w:val="auto"/>
              </w:rPr>
              <w:t>5,480,828</w:t>
            </w:r>
          </w:p>
        </w:tc>
        <w:tc>
          <w:tcPr>
            <w:tcW w:w="920" w:type="dxa"/>
            <w:vAlign w:val="bottom"/>
          </w:tcPr>
          <w:p>
            <w:pPr>
              <w:jc w:val="right"/>
              <w:ind w:right="137"/>
              <w:spacing w:after="0"/>
              <w:rPr>
                <w:sz w:val="20"/>
                <w:szCs w:val="20"/>
                <w:color w:val="auto"/>
              </w:rPr>
            </w:pPr>
            <w:r>
              <w:rPr>
                <w:rFonts w:ascii="Arial" w:cs="Arial" w:eastAsia="Arial" w:hAnsi="Arial"/>
                <w:sz w:val="13"/>
                <w:szCs w:val="13"/>
                <w:color w:val="auto"/>
              </w:rPr>
              <w:t>1,253,846</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2,427,410</w:t>
            </w: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1,246,502</w:t>
            </w:r>
          </w:p>
        </w:tc>
        <w:tc>
          <w:tcPr>
            <w:tcW w:w="980" w:type="dxa"/>
            <w:vAlign w:val="bottom"/>
          </w:tcPr>
          <w:p>
            <w:pPr>
              <w:jc w:val="right"/>
              <w:ind w:right="157"/>
              <w:spacing w:after="0"/>
              <w:rPr>
                <w:sz w:val="20"/>
                <w:szCs w:val="20"/>
                <w:color w:val="auto"/>
              </w:rPr>
            </w:pPr>
            <w:r>
              <w:rPr>
                <w:rFonts w:ascii="Arial" w:cs="Arial" w:eastAsia="Arial" w:hAnsi="Arial"/>
                <w:sz w:val="13"/>
                <w:szCs w:val="13"/>
                <w:color w:val="auto"/>
              </w:rPr>
              <w:t>1,100,082</w:t>
            </w:r>
          </w:p>
        </w:tc>
        <w:tc>
          <w:tcPr>
            <w:tcW w:w="720" w:type="dxa"/>
            <w:vAlign w:val="bottom"/>
          </w:tcPr>
          <w:p>
            <w:pPr>
              <w:jc w:val="right"/>
              <w:spacing w:after="0"/>
              <w:rPr>
                <w:sz w:val="20"/>
                <w:szCs w:val="20"/>
                <w:color w:val="auto"/>
              </w:rPr>
            </w:pPr>
            <w:r>
              <w:rPr>
                <w:rFonts w:ascii="Arial" w:cs="Arial" w:eastAsia="Arial" w:hAnsi="Arial"/>
                <w:sz w:val="13"/>
                <w:szCs w:val="13"/>
                <w:color w:val="auto"/>
              </w:rPr>
              <w:t>942,150</w:t>
            </w:r>
          </w:p>
        </w:tc>
      </w:tr>
      <w:tr>
        <w:trPr>
          <w:trHeight w:val="257"/>
        </w:trPr>
        <w:tc>
          <w:tcPr>
            <w:tcW w:w="9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472"/>
        </w:trPr>
        <w:tc>
          <w:tcPr>
            <w:tcW w:w="9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2,173,266</w:t>
            </w:r>
          </w:p>
        </w:tc>
        <w:tc>
          <w:tcPr>
            <w:tcW w:w="108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412,980</w:t>
            </w:r>
          </w:p>
        </w:tc>
        <w:tc>
          <w:tcPr>
            <w:tcW w:w="940" w:type="dxa"/>
            <w:vAlign w:val="bottom"/>
            <w:shd w:val="clear" w:color="auto" w:fill="F5F5F5"/>
          </w:tcPr>
          <w:p>
            <w:pPr>
              <w:jc w:val="right"/>
              <w:ind w:right="97"/>
              <w:spacing w:after="0"/>
              <w:rPr>
                <w:sz w:val="20"/>
                <w:szCs w:val="20"/>
                <w:color w:val="auto"/>
              </w:rPr>
            </w:pPr>
            <w:r>
              <w:rPr>
                <w:rFonts w:ascii="Arial" w:cs="Arial" w:eastAsia="Arial" w:hAnsi="Arial"/>
                <w:sz w:val="13"/>
                <w:szCs w:val="13"/>
                <w:color w:val="auto"/>
              </w:rPr>
              <w:t>4,522,308</w:t>
            </w:r>
          </w:p>
        </w:tc>
        <w:tc>
          <w:tcPr>
            <w:tcW w:w="980" w:type="dxa"/>
            <w:vAlign w:val="bottom"/>
            <w:shd w:val="clear" w:color="auto" w:fill="F5F5F5"/>
          </w:tcPr>
          <w:p>
            <w:pPr>
              <w:jc w:val="right"/>
              <w:ind w:right="197"/>
              <w:spacing w:after="0"/>
              <w:rPr>
                <w:sz w:val="20"/>
                <w:szCs w:val="20"/>
                <w:color w:val="auto"/>
              </w:rPr>
            </w:pPr>
            <w:r>
              <w:rPr>
                <w:rFonts w:ascii="Arial" w:cs="Arial" w:eastAsia="Arial" w:hAnsi="Arial"/>
                <w:sz w:val="13"/>
                <w:szCs w:val="13"/>
                <w:color w:val="auto"/>
              </w:rPr>
              <w:t>572,680</w:t>
            </w:r>
          </w:p>
        </w:tc>
        <w:tc>
          <w:tcPr>
            <w:tcW w:w="98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2,582,252</w:t>
            </w:r>
          </w:p>
        </w:tc>
        <w:tc>
          <w:tcPr>
            <w:tcW w:w="92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818,534</w:t>
            </w:r>
          </w:p>
        </w:tc>
        <w:tc>
          <w:tcPr>
            <w:tcW w:w="92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13,051</w:t>
            </w:r>
          </w:p>
        </w:tc>
        <w:tc>
          <w:tcPr>
            <w:tcW w:w="92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72,727</w:t>
            </w:r>
          </w:p>
        </w:tc>
        <w:tc>
          <w:tcPr>
            <w:tcW w:w="98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258,291</w:t>
            </w:r>
          </w:p>
        </w:tc>
        <w:tc>
          <w:tcPr>
            <w:tcW w:w="7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22,031</w:t>
            </w:r>
          </w:p>
        </w:tc>
      </w:tr>
      <w:tr>
        <w:trPr>
          <w:trHeight w:val="810"/>
        </w:trPr>
        <w:tc>
          <w:tcPr>
            <w:tcW w:w="9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783,603</w:t>
            </w:r>
          </w:p>
        </w:tc>
        <w:tc>
          <w:tcPr>
            <w:tcW w:w="108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96,970</w:t>
            </w:r>
          </w:p>
        </w:tc>
        <w:tc>
          <w:tcPr>
            <w:tcW w:w="940" w:type="dxa"/>
            <w:vAlign w:val="bottom"/>
            <w:shd w:val="clear" w:color="auto" w:fill="F5F5F5"/>
          </w:tcPr>
          <w:p>
            <w:pPr>
              <w:jc w:val="right"/>
              <w:ind w:right="97"/>
              <w:spacing w:after="0"/>
              <w:rPr>
                <w:sz w:val="20"/>
                <w:szCs w:val="20"/>
                <w:color w:val="auto"/>
              </w:rPr>
            </w:pPr>
            <w:r>
              <w:rPr>
                <w:rFonts w:ascii="Arial" w:cs="Arial" w:eastAsia="Arial" w:hAnsi="Arial"/>
                <w:sz w:val="13"/>
                <w:szCs w:val="13"/>
                <w:color w:val="auto"/>
              </w:rPr>
              <w:t>660,039</w:t>
            </w:r>
          </w:p>
        </w:tc>
        <w:tc>
          <w:tcPr>
            <w:tcW w:w="980" w:type="dxa"/>
            <w:vAlign w:val="bottom"/>
            <w:shd w:val="clear" w:color="auto" w:fill="F5F5F5"/>
          </w:tcPr>
          <w:p>
            <w:pPr>
              <w:jc w:val="right"/>
              <w:ind w:right="197"/>
              <w:spacing w:after="0"/>
              <w:rPr>
                <w:sz w:val="20"/>
                <w:szCs w:val="20"/>
                <w:color w:val="auto"/>
              </w:rPr>
            </w:pPr>
            <w:r>
              <w:rPr>
                <w:rFonts w:ascii="Arial" w:cs="Arial" w:eastAsia="Arial" w:hAnsi="Arial"/>
                <w:sz w:val="13"/>
                <w:szCs w:val="13"/>
                <w:color w:val="auto"/>
              </w:rPr>
              <w:t>130,682</w:t>
            </w:r>
          </w:p>
        </w:tc>
        <w:tc>
          <w:tcPr>
            <w:tcW w:w="98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518,841</w:t>
            </w:r>
          </w:p>
        </w:tc>
        <w:tc>
          <w:tcPr>
            <w:tcW w:w="92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219,471</w:t>
            </w:r>
          </w:p>
        </w:tc>
        <w:tc>
          <w:tcPr>
            <w:tcW w:w="92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89,581</w:t>
            </w:r>
          </w:p>
        </w:tc>
        <w:tc>
          <w:tcPr>
            <w:tcW w:w="92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140,398</w:t>
            </w:r>
          </w:p>
        </w:tc>
        <w:tc>
          <w:tcPr>
            <w:tcW w:w="98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18,723</w:t>
            </w:r>
          </w:p>
        </w:tc>
        <w:tc>
          <w:tcPr>
            <w:tcW w:w="7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(43,617)</w:t>
            </w:r>
          </w:p>
        </w:tc>
      </w:tr>
      <w:tr>
        <w:trPr>
          <w:trHeight w:val="1039"/>
        </w:trPr>
        <w:tc>
          <w:tcPr>
            <w:tcW w:w="9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w:t>
            </w:r>
          </w:p>
        </w:tc>
        <w:tc>
          <w:tcPr>
            <w:tcW w:w="940" w:type="dxa"/>
            <w:vAlign w:val="bottom"/>
            <w:shd w:val="clear" w:color="auto" w:fill="F5F5F5"/>
          </w:tcPr>
          <w:p>
            <w:pPr>
              <w:jc w:val="right"/>
              <w:ind w:right="97"/>
              <w:spacing w:after="0"/>
              <w:rPr>
                <w:sz w:val="20"/>
                <w:szCs w:val="20"/>
                <w:color w:val="auto"/>
              </w:rPr>
            </w:pPr>
            <w:r>
              <w:rPr>
                <w:rFonts w:ascii="Arial" w:cs="Arial" w:eastAsia="Arial" w:hAnsi="Arial"/>
                <w:sz w:val="13"/>
                <w:szCs w:val="13"/>
                <w:color w:val="auto"/>
              </w:rPr>
              <w:t>—</w:t>
            </w:r>
          </w:p>
        </w:tc>
        <w:tc>
          <w:tcPr>
            <w:tcW w:w="98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(180,621)</w:t>
            </w:r>
          </w:p>
        </w:tc>
        <w:tc>
          <w:tcPr>
            <w:tcW w:w="98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shd w:val="clear" w:color="auto" w:fill="F5F5F5"/>
          </w:tcPr>
          <w:p>
            <w:pPr>
              <w:jc w:val="right"/>
              <w:ind w:right="177"/>
              <w:spacing w:after="0"/>
              <w:rPr>
                <w:sz w:val="20"/>
                <w:szCs w:val="20"/>
                <w:color w:val="auto"/>
              </w:rPr>
            </w:pPr>
            <w:r>
              <w:rPr>
                <w:rFonts w:ascii="Arial" w:cs="Arial" w:eastAsia="Arial" w:hAnsi="Arial"/>
                <w:sz w:val="13"/>
                <w:szCs w:val="13"/>
                <w:color w:val="auto"/>
              </w:rPr>
              <w:t>—</w:t>
            </w:r>
          </w:p>
        </w:tc>
        <w:tc>
          <w:tcPr>
            <w:tcW w:w="920" w:type="dxa"/>
            <w:vAlign w:val="bottom"/>
            <w:shd w:val="clear" w:color="auto" w:fill="F5F5F5"/>
          </w:tcPr>
          <w:p>
            <w:pPr>
              <w:jc w:val="right"/>
              <w:ind w:right="137"/>
              <w:spacing w:after="0"/>
              <w:rPr>
                <w:sz w:val="20"/>
                <w:szCs w:val="20"/>
                <w:color w:val="auto"/>
              </w:rPr>
            </w:pPr>
            <w:r>
              <w:rPr>
                <w:rFonts w:ascii="Arial" w:cs="Arial" w:eastAsia="Arial" w:hAnsi="Arial"/>
                <w:sz w:val="13"/>
                <w:szCs w:val="13"/>
                <w:color w:val="auto"/>
              </w:rPr>
              <w:t>—</w:t>
            </w:r>
          </w:p>
        </w:tc>
        <w:tc>
          <w:tcPr>
            <w:tcW w:w="92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w:t>
            </w:r>
          </w:p>
        </w:tc>
        <w:tc>
          <w:tcPr>
            <w:tcW w:w="980" w:type="dxa"/>
            <w:vAlign w:val="bottom"/>
            <w:shd w:val="clear" w:color="auto" w:fill="F5F5F5"/>
          </w:tcPr>
          <w:p>
            <w:pPr>
              <w:jc w:val="right"/>
              <w:ind w:right="157"/>
              <w:spacing w:after="0"/>
              <w:rPr>
                <w:sz w:val="20"/>
                <w:szCs w:val="20"/>
                <w:color w:val="auto"/>
              </w:rPr>
            </w:pPr>
            <w:r>
              <w:rPr>
                <w:rFonts w:ascii="Arial" w:cs="Arial" w:eastAsia="Arial" w:hAnsi="Arial"/>
                <w:sz w:val="13"/>
                <w:szCs w:val="13"/>
                <w:color w:val="auto"/>
              </w:rPr>
              <w:t>—</w:t>
            </w:r>
          </w:p>
        </w:tc>
        <w:tc>
          <w:tcPr>
            <w:tcW w:w="720" w:type="dxa"/>
            <w:vAlign w:val="bottom"/>
            <w:shd w:val="clear" w:color="auto" w:fill="F5F5F5"/>
          </w:tcPr>
          <w:p>
            <w:pPr>
              <w:jc w:val="right"/>
              <w:spacing w:after="0"/>
              <w:rPr>
                <w:sz w:val="20"/>
                <w:szCs w:val="20"/>
                <w:color w:val="auto"/>
              </w:rPr>
            </w:pPr>
            <w:r>
              <w:rPr>
                <w:rFonts w:ascii="Arial" w:cs="Arial" w:eastAsia="Arial" w:hAnsi="Arial"/>
                <w:sz w:val="13"/>
                <w:szCs w:val="13"/>
                <w:color w:val="auto"/>
              </w:rPr>
              <w:t>—</w:t>
            </w:r>
          </w:p>
        </w:tc>
      </w:tr>
      <w:tr>
        <w:trPr>
          <w:trHeight w:val="568"/>
        </w:trPr>
        <w:tc>
          <w:tcPr>
            <w:tcW w:w="920" w:type="dxa"/>
            <w:vAlign w:val="bottom"/>
            <w:shd w:val="clear" w:color="auto" w:fill="F5F5F5"/>
          </w:tcPr>
          <w:p>
            <w:pPr>
              <w:spacing w:after="0"/>
              <w:rPr>
                <w:sz w:val="24"/>
                <w:szCs w:val="24"/>
                <w:color w:val="auto"/>
              </w:rPr>
            </w:pPr>
          </w:p>
        </w:tc>
        <w:tc>
          <w:tcPr>
            <w:tcW w:w="1080" w:type="dxa"/>
            <w:vAlign w:val="bottom"/>
            <w:shd w:val="clear" w:color="auto" w:fill="F5F5F5"/>
          </w:tcPr>
          <w:p>
            <w:pPr>
              <w:spacing w:after="0"/>
              <w:rPr>
                <w:sz w:val="24"/>
                <w:szCs w:val="24"/>
                <w:color w:val="auto"/>
              </w:rPr>
            </w:pPr>
          </w:p>
        </w:tc>
        <w:tc>
          <w:tcPr>
            <w:tcW w:w="940" w:type="dxa"/>
            <w:vAlign w:val="bottom"/>
            <w:shd w:val="clear" w:color="auto" w:fill="F5F5F5"/>
          </w:tcPr>
          <w:p>
            <w:pPr>
              <w:spacing w:after="0"/>
              <w:rPr>
                <w:sz w:val="24"/>
                <w:szCs w:val="24"/>
                <w:color w:val="auto"/>
              </w:rPr>
            </w:pPr>
          </w:p>
        </w:tc>
        <w:tc>
          <w:tcPr>
            <w:tcW w:w="980" w:type="dxa"/>
            <w:vAlign w:val="bottom"/>
            <w:shd w:val="clear" w:color="auto" w:fill="F5F5F5"/>
          </w:tcPr>
          <w:p>
            <w:pPr>
              <w:spacing w:after="0"/>
              <w:rPr>
                <w:sz w:val="24"/>
                <w:szCs w:val="24"/>
                <w:color w:val="auto"/>
              </w:rPr>
            </w:pPr>
          </w:p>
        </w:tc>
        <w:tc>
          <w:tcPr>
            <w:tcW w:w="980" w:type="dxa"/>
            <w:vAlign w:val="bottom"/>
            <w:shd w:val="clear" w:color="auto" w:fill="F5F5F5"/>
          </w:tcPr>
          <w:p>
            <w:pPr>
              <w:spacing w:after="0"/>
              <w:rPr>
                <w:sz w:val="24"/>
                <w:szCs w:val="24"/>
                <w:color w:val="auto"/>
              </w:rPr>
            </w:pPr>
          </w:p>
        </w:tc>
        <w:tc>
          <w:tcPr>
            <w:tcW w:w="920" w:type="dxa"/>
            <w:vAlign w:val="bottom"/>
            <w:shd w:val="clear" w:color="auto" w:fill="F5F5F5"/>
          </w:tcPr>
          <w:p>
            <w:pPr>
              <w:spacing w:after="0"/>
              <w:rPr>
                <w:sz w:val="24"/>
                <w:szCs w:val="24"/>
                <w:color w:val="auto"/>
              </w:rPr>
            </w:pPr>
          </w:p>
        </w:tc>
        <w:tc>
          <w:tcPr>
            <w:tcW w:w="920" w:type="dxa"/>
            <w:vAlign w:val="bottom"/>
            <w:shd w:val="clear" w:color="auto" w:fill="F5F5F5"/>
          </w:tcPr>
          <w:p>
            <w:pPr>
              <w:spacing w:after="0"/>
              <w:rPr>
                <w:sz w:val="24"/>
                <w:szCs w:val="24"/>
                <w:color w:val="auto"/>
              </w:rPr>
            </w:pPr>
          </w:p>
        </w:tc>
        <w:tc>
          <w:tcPr>
            <w:tcW w:w="920" w:type="dxa"/>
            <w:vAlign w:val="bottom"/>
            <w:shd w:val="clear" w:color="auto" w:fill="F5F5F5"/>
          </w:tcPr>
          <w:p>
            <w:pPr>
              <w:spacing w:after="0"/>
              <w:rPr>
                <w:sz w:val="24"/>
                <w:szCs w:val="24"/>
                <w:color w:val="auto"/>
              </w:rPr>
            </w:pPr>
          </w:p>
        </w:tc>
        <w:tc>
          <w:tcPr>
            <w:tcW w:w="980" w:type="dxa"/>
            <w:vAlign w:val="bottom"/>
            <w:shd w:val="clear" w:color="auto" w:fill="F5F5F5"/>
          </w:tcPr>
          <w:p>
            <w:pPr>
              <w:spacing w:after="0"/>
              <w:rPr>
                <w:sz w:val="24"/>
                <w:szCs w:val="24"/>
                <w:color w:val="auto"/>
              </w:rPr>
            </w:pPr>
          </w:p>
        </w:tc>
        <w:tc>
          <w:tcPr>
            <w:tcW w:w="720" w:type="dxa"/>
            <w:vAlign w:val="bottom"/>
            <w:shd w:val="clear" w:color="auto" w:fill="F5F5F5"/>
          </w:tcPr>
          <w:p>
            <w:pPr>
              <w:spacing w:after="0"/>
              <w:rPr>
                <w:sz w:val="24"/>
                <w:szCs w:val="24"/>
                <w:color w:val="auto"/>
              </w:rPr>
            </w:pPr>
          </w:p>
        </w:tc>
      </w:tr>
    </w:tbl>
    <w:p>
      <w:pPr>
        <w:spacing w:after="0" w:line="23" w:lineRule="exact"/>
        <w:rPr>
          <w:sz w:val="20"/>
          <w:szCs w:val="20"/>
          <w:color w:val="auto"/>
        </w:rPr>
      </w:pPr>
    </w:p>
    <w:p>
      <w:pPr>
        <w:sectPr>
          <w:pgSz w:w="11900" w:h="16838" w:orient="portrait"/>
          <w:cols w:equalWidth="0" w:num="2">
            <w:col w:w="1760" w:space="20"/>
            <w:col w:w="94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500" w:type="dxa"/>
            <w:vAlign w:val="bottom"/>
          </w:tcPr>
          <w:p>
            <w:pPr>
              <w:ind w:left="100"/>
              <w:spacing w:after="0"/>
              <w:rPr>
                <w:sz w:val="20"/>
                <w:szCs w:val="20"/>
                <w:color w:val="auto"/>
              </w:rPr>
            </w:pPr>
            <w:r>
              <w:rPr>
                <w:rFonts w:ascii="Arial" w:cs="Arial" w:eastAsia="Arial" w:hAnsi="Arial"/>
                <w:sz w:val="13"/>
                <w:szCs w:val="13"/>
                <w:b w:val="1"/>
                <w:bCs w:val="1"/>
                <w:color w:val="auto"/>
              </w:rPr>
              <w:t>Compensation</w:t>
            </w:r>
          </w:p>
        </w:tc>
        <w:tc>
          <w:tcPr>
            <w:tcW w:w="13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14,181,268</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3,616,594</w:t>
            </w:r>
          </w:p>
        </w:tc>
        <w:tc>
          <w:tcPr>
            <w:tcW w:w="9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15,261,772</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3,279,985</w:t>
            </w:r>
          </w:p>
        </w:tc>
        <w:tc>
          <w:tcPr>
            <w:tcW w:w="100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12,238,436</w:t>
            </w:r>
          </w:p>
        </w:tc>
        <w:tc>
          <w:tcPr>
            <w:tcW w:w="92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3,829,745</w:t>
            </w:r>
          </w:p>
        </w:tc>
        <w:tc>
          <w:tcPr>
            <w:tcW w:w="94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rPr>
              <w:t>5,004,886</w:t>
            </w:r>
          </w:p>
        </w:tc>
        <w:tc>
          <w:tcPr>
            <w:tcW w:w="94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2,750,584</w:t>
            </w:r>
          </w:p>
        </w:tc>
        <w:tc>
          <w:tcPr>
            <w:tcW w:w="92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4,032,083</w:t>
            </w:r>
          </w:p>
        </w:tc>
        <w:tc>
          <w:tcPr>
            <w:tcW w:w="8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2,534,488</w:t>
            </w:r>
          </w:p>
        </w:tc>
        <w:tc>
          <w:tcPr>
            <w:tcW w:w="0" w:type="dxa"/>
            <w:vAlign w:val="bottom"/>
          </w:tcPr>
          <w:p>
            <w:pPr>
              <w:spacing w:after="0"/>
              <w:rPr>
                <w:sz w:val="1"/>
                <w:szCs w:val="1"/>
                <w:color w:val="auto"/>
              </w:rPr>
            </w:pPr>
          </w:p>
        </w:tc>
      </w:tr>
      <w:tr>
        <w:trPr>
          <w:trHeight w:val="104"/>
        </w:trPr>
        <w:tc>
          <w:tcPr>
            <w:tcW w:w="150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Actually Paid</w:t>
            </w:r>
          </w:p>
        </w:tc>
        <w:tc>
          <w:tcPr>
            <w:tcW w:w="13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500" w:type="dxa"/>
            <w:vAlign w:val="bottom"/>
            <w:vMerge w:val="continue"/>
          </w:tcPr>
          <w:p>
            <w:pPr>
              <w:spacing w:after="0"/>
              <w:rPr>
                <w:sz w:val="5"/>
                <w:szCs w:val="5"/>
                <w:color w:val="auto"/>
              </w:rPr>
            </w:pPr>
          </w:p>
        </w:tc>
        <w:tc>
          <w:tcPr>
            <w:tcW w:w="1320" w:type="dxa"/>
            <w:vAlign w:val="bottom"/>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500" w:type="dxa"/>
            <w:vAlign w:val="bottom"/>
            <w:tcBorders>
              <w:bottom w:val="single" w:sz="8" w:color="DC762A"/>
            </w:tcBorders>
          </w:tcPr>
          <w:p>
            <w:pPr>
              <w:spacing w:after="0"/>
              <w:rPr>
                <w:sz w:val="5"/>
                <w:szCs w:val="5"/>
                <w:color w:val="auto"/>
              </w:rPr>
            </w:pPr>
          </w:p>
        </w:tc>
        <w:tc>
          <w:tcPr>
            <w:tcW w:w="1320" w:type="dxa"/>
            <w:vAlign w:val="bottom"/>
            <w:tcBorders>
              <w:bottom w:val="single" w:sz="8" w:color="DC762A"/>
            </w:tcBorders>
          </w:tcPr>
          <w:p>
            <w:pPr>
              <w:spacing w:after="0"/>
              <w:rPr>
                <w:sz w:val="5"/>
                <w:szCs w:val="5"/>
                <w:color w:val="auto"/>
              </w:rPr>
            </w:pPr>
          </w:p>
        </w:tc>
        <w:tc>
          <w:tcPr>
            <w:tcW w:w="920" w:type="dxa"/>
            <w:vAlign w:val="bottom"/>
            <w:tcBorders>
              <w:bottom w:val="single" w:sz="8" w:color="DC762A"/>
            </w:tcBorders>
          </w:tcPr>
          <w:p>
            <w:pPr>
              <w:spacing w:after="0"/>
              <w:rPr>
                <w:sz w:val="5"/>
                <w:szCs w:val="5"/>
                <w:color w:val="auto"/>
              </w:rPr>
            </w:pPr>
          </w:p>
        </w:tc>
        <w:tc>
          <w:tcPr>
            <w:tcW w:w="980" w:type="dxa"/>
            <w:vAlign w:val="bottom"/>
            <w:tcBorders>
              <w:bottom w:val="single" w:sz="8" w:color="DC762A"/>
            </w:tcBorders>
          </w:tcPr>
          <w:p>
            <w:pPr>
              <w:spacing w:after="0"/>
              <w:rPr>
                <w:sz w:val="5"/>
                <w:szCs w:val="5"/>
                <w:color w:val="auto"/>
              </w:rPr>
            </w:pPr>
          </w:p>
        </w:tc>
        <w:tc>
          <w:tcPr>
            <w:tcW w:w="920" w:type="dxa"/>
            <w:vAlign w:val="bottom"/>
            <w:tcBorders>
              <w:bottom w:val="single" w:sz="8" w:color="DC762A"/>
            </w:tcBorders>
          </w:tcPr>
          <w:p>
            <w:pPr>
              <w:spacing w:after="0"/>
              <w:rPr>
                <w:sz w:val="5"/>
                <w:szCs w:val="5"/>
                <w:color w:val="auto"/>
              </w:rPr>
            </w:pPr>
          </w:p>
        </w:tc>
        <w:tc>
          <w:tcPr>
            <w:tcW w:w="1000" w:type="dxa"/>
            <w:vAlign w:val="bottom"/>
            <w:tcBorders>
              <w:bottom w:val="single" w:sz="8" w:color="DC762A"/>
            </w:tcBorders>
          </w:tcPr>
          <w:p>
            <w:pPr>
              <w:spacing w:after="0"/>
              <w:rPr>
                <w:sz w:val="5"/>
                <w:szCs w:val="5"/>
                <w:color w:val="auto"/>
              </w:rPr>
            </w:pPr>
          </w:p>
        </w:tc>
        <w:tc>
          <w:tcPr>
            <w:tcW w:w="920" w:type="dxa"/>
            <w:vAlign w:val="bottom"/>
            <w:tcBorders>
              <w:bottom w:val="single" w:sz="8" w:color="DC762A"/>
            </w:tcBorders>
          </w:tcPr>
          <w:p>
            <w:pPr>
              <w:spacing w:after="0"/>
              <w:rPr>
                <w:sz w:val="5"/>
                <w:szCs w:val="5"/>
                <w:color w:val="auto"/>
              </w:rPr>
            </w:pPr>
          </w:p>
        </w:tc>
        <w:tc>
          <w:tcPr>
            <w:tcW w:w="940" w:type="dxa"/>
            <w:vAlign w:val="bottom"/>
            <w:tcBorders>
              <w:bottom w:val="single" w:sz="8" w:color="DC762A"/>
            </w:tcBorders>
          </w:tcPr>
          <w:p>
            <w:pPr>
              <w:spacing w:after="0"/>
              <w:rPr>
                <w:sz w:val="5"/>
                <w:szCs w:val="5"/>
                <w:color w:val="auto"/>
              </w:rPr>
            </w:pPr>
          </w:p>
        </w:tc>
        <w:tc>
          <w:tcPr>
            <w:tcW w:w="940" w:type="dxa"/>
            <w:vAlign w:val="bottom"/>
            <w:tcBorders>
              <w:bottom w:val="single" w:sz="8" w:color="DC762A"/>
            </w:tcBorders>
          </w:tcPr>
          <w:p>
            <w:pPr>
              <w:spacing w:after="0"/>
              <w:rPr>
                <w:sz w:val="5"/>
                <w:szCs w:val="5"/>
                <w:color w:val="auto"/>
              </w:rPr>
            </w:pPr>
          </w:p>
        </w:tc>
        <w:tc>
          <w:tcPr>
            <w:tcW w:w="920" w:type="dxa"/>
            <w:vAlign w:val="bottom"/>
            <w:tcBorders>
              <w:bottom w:val="single" w:sz="8" w:color="DC762A"/>
            </w:tcBorders>
          </w:tcPr>
          <w:p>
            <w:pPr>
              <w:spacing w:after="0"/>
              <w:rPr>
                <w:sz w:val="5"/>
                <w:szCs w:val="5"/>
                <w:color w:val="auto"/>
              </w:rPr>
            </w:pPr>
          </w:p>
        </w:tc>
        <w:tc>
          <w:tcPr>
            <w:tcW w:w="880" w:type="dxa"/>
            <w:vAlign w:val="bottom"/>
            <w:tcBorders>
              <w:bottom w:val="single" w:sz="8" w:color="DC762A"/>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left="260" w:hanging="252"/>
        <w:spacing w:after="0" w:line="248" w:lineRule="auto"/>
        <w:tabs>
          <w:tab w:leader="none" w:pos="270" w:val="left"/>
        </w:tabs>
        <w:numPr>
          <w:ilvl w:val="0"/>
          <w:numId w:val="70"/>
        </w:numPr>
        <w:rPr>
          <w:rFonts w:ascii="Arial" w:cs="Arial" w:eastAsia="Arial" w:hAnsi="Arial"/>
          <w:sz w:val="13"/>
          <w:szCs w:val="13"/>
          <w:color w:val="6D6D6D"/>
        </w:rPr>
      </w:pPr>
      <w:r>
        <w:rPr>
          <w:rFonts w:ascii="Arial" w:cs="Arial" w:eastAsia="Arial" w:hAnsi="Arial"/>
          <w:sz w:val="13"/>
          <w:szCs w:val="13"/>
          <w:color w:val="6D6D6D"/>
        </w:rPr>
        <w:t>Compensation Actually Paid excludes the Stock Awards column from the relevant fiscal year’s "Summary Compensation Table" total. The Rule 402(v) Equity Values instead reflect the aggregate of the following components, where applicable to us: (i) the fair value as of the end of the listed fiscal year of unvested equity awards granted in that year; (ii) the change in fair value during the listed fiscal year of equity awards granted in prior years that remained outstanding and unvested at the end of the listed fiscal year; and (iii) the change in fair value during the listed fiscal year through the vesting date of equity awards granted in prior years that vested during the listed fiscal year. Equity values are calculated in accordance with ASC Topic 718, and the valuation assumptions used to calculate fair values did not materially differ from those disclosed at the time of the grant. The Company does not maintain, nor do the NEOs participate in, any defined benefit or actuarial pension plans for which adjustments were required pursuant to Item 402(v).</w:t>
      </w:r>
    </w:p>
    <w:p>
      <w:pPr>
        <w:spacing w:after="0" w:line="32" w:lineRule="exact"/>
        <w:rPr>
          <w:sz w:val="20"/>
          <w:szCs w:val="20"/>
          <w:color w:val="auto"/>
        </w:rPr>
      </w:pPr>
    </w:p>
    <w:p>
      <w:pPr>
        <w:ind w:left="260" w:right="80" w:hanging="252"/>
        <w:spacing w:after="0" w:line="264" w:lineRule="auto"/>
        <w:tabs>
          <w:tab w:leader="none" w:pos="257" w:val="left"/>
        </w:tabs>
        <w:numPr>
          <w:ilvl w:val="0"/>
          <w:numId w:val="71"/>
        </w:numPr>
        <w:rPr>
          <w:rFonts w:ascii="Arial" w:cs="Arial" w:eastAsia="Arial" w:hAnsi="Arial"/>
          <w:sz w:val="13"/>
          <w:szCs w:val="13"/>
          <w:color w:val="6D6D6D"/>
        </w:rPr>
      </w:pPr>
      <w:r>
        <w:rPr>
          <w:rFonts w:ascii="Arial" w:cs="Arial" w:eastAsia="Arial" w:hAnsi="Arial"/>
          <w:sz w:val="13"/>
          <w:szCs w:val="13"/>
          <w:color w:val="6D6D6D"/>
        </w:rPr>
        <w:t>The peer group used by the Company consists of the companies, including Essent Group Ltd., MGIC Investment Corporation, and Radian Group Inc., used in the Company’s performance graph as required by Item 201(e) of Regulation S-K and reported in Part II, Item 5 of its annual report on Form 10-K for the fiscal year ended December 31, 2025.</w:t>
      </w:r>
    </w:p>
    <w:p>
      <w:pPr>
        <w:spacing w:after="0" w:line="35" w:lineRule="exact"/>
        <w:rPr>
          <w:rFonts w:ascii="Arial" w:cs="Arial" w:eastAsia="Arial" w:hAnsi="Arial"/>
          <w:sz w:val="13"/>
          <w:szCs w:val="13"/>
          <w:color w:val="6D6D6D"/>
        </w:rPr>
      </w:pPr>
    </w:p>
    <w:p>
      <w:pPr>
        <w:ind w:left="260" w:right="20" w:hanging="252"/>
        <w:spacing w:after="0" w:line="264" w:lineRule="auto"/>
        <w:tabs>
          <w:tab w:leader="none" w:pos="257" w:val="left"/>
        </w:tabs>
        <w:numPr>
          <w:ilvl w:val="0"/>
          <w:numId w:val="71"/>
        </w:numPr>
        <w:rPr>
          <w:rFonts w:ascii="Arial" w:cs="Arial" w:eastAsia="Arial" w:hAnsi="Arial"/>
          <w:sz w:val="13"/>
          <w:szCs w:val="13"/>
          <w:color w:val="6D6D6D"/>
        </w:rPr>
      </w:pPr>
      <w:r>
        <w:rPr>
          <w:rFonts w:ascii="Arial" w:cs="Arial" w:eastAsia="Arial" w:hAnsi="Arial"/>
          <w:sz w:val="13"/>
          <w:szCs w:val="13"/>
          <w:color w:val="6D6D6D"/>
        </w:rPr>
        <w:t>BVPS (excluding net unrealized gains and losses) is a non-GAAP measure, and is defined as total shareholder's equity, excluding the after-tax effects of unrealized gains and losses on investments, divided by shares outstanding. For more detail, please see Appendix A.</w:t>
      </w:r>
    </w:p>
    <w:p>
      <w:pPr>
        <w:spacing w:after="0" w:line="27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58</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Relationship Between "Compensation Actually Paid" and Performance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graphs show the relationship between compensation actually paid to our executives in each of the last five years as disclosed in the Pay vs.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Performance table, and each of the following: the Company's cumulative TSR, the peer group cumulative TSR, the Company's net income, and the BVPS.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158750</wp:posOffset>
            </wp:positionV>
            <wp:extent cx="5572125" cy="52203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572125" cy="522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59</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452120</wp:posOffset>
            </wp:positionV>
            <wp:extent cx="5572125" cy="2468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57212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0C2940"/>
        </w:rPr>
        <w:t>Tabular List of Most Important Financial Performance Measures</w:t>
      </w:r>
    </w:p>
    <w:p>
      <w:pPr>
        <w:spacing w:after="0" w:line="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Below are the financial performance measures that we believe are the most important financial performance measures used to link NEO compensation to Company performance. For more information, please see “</w:t>
      </w:r>
      <w:r>
        <w:rPr>
          <w:rFonts w:ascii="Arial" w:cs="Arial" w:eastAsia="Arial" w:hAnsi="Arial"/>
          <w:sz w:val="16"/>
          <w:szCs w:val="16"/>
          <w:i w:val="1"/>
          <w:iCs w:val="1"/>
          <w:color w:val="auto"/>
        </w:rPr>
        <w:t>Compensation of Named Executive Officers – Compensation Discussion and Analysis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in this proxy statement for a reconciliation of the below financial measures to the most directly comparable GAAP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FFFFFF"/>
        </w:rPr>
        <w:t>2025 Most Important 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9"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BVPS</w:t>
      </w:r>
    </w:p>
    <w:p>
      <w:pPr>
        <w:spacing w:after="0" w:line="123" w:lineRule="exact"/>
        <w:rPr>
          <w:sz w:val="20"/>
          <w:szCs w:val="20"/>
          <w:color w:val="auto"/>
        </w:rPr>
      </w:pPr>
    </w:p>
    <w:p>
      <w:pPr>
        <w:ind w:left="5100"/>
        <w:spacing w:after="0"/>
        <w:rPr>
          <w:sz w:val="20"/>
          <w:szCs w:val="20"/>
          <w:color w:val="auto"/>
        </w:rPr>
      </w:pPr>
      <w:r>
        <w:rPr>
          <w:rFonts w:ascii="Arial" w:cs="Arial" w:eastAsia="Arial" w:hAnsi="Arial"/>
          <w:sz w:val="14"/>
          <w:szCs w:val="14"/>
          <w:color w:val="auto"/>
        </w:rPr>
        <w:t>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03"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Net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60</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3633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spacing w:after="0"/>
        <w:rPr>
          <w:sz w:val="20"/>
          <w:szCs w:val="20"/>
          <w:color w:val="auto"/>
        </w:rPr>
      </w:pPr>
      <w:r>
        <w:rPr>
          <w:rFonts w:ascii="Arial" w:cs="Arial" w:eastAsia="Arial" w:hAnsi="Arial"/>
          <w:sz w:val="43"/>
          <w:szCs w:val="43"/>
          <w:color w:val="A7A9AC"/>
        </w:rPr>
        <w:t>Item 2</w:t>
      </w:r>
    </w:p>
    <w:p>
      <w:pPr>
        <w:spacing w:after="0" w:line="61"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DE762B"/>
        </w:rPr>
        <w:t>Advisory Approval of Our</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43"/>
          <w:szCs w:val="43"/>
          <w:b w:val="1"/>
          <w:bCs w:val="1"/>
          <w:color w:val="DE762B"/>
        </w:rPr>
        <w:t>Executive Compensation</w:t>
      </w:r>
    </w:p>
    <w:p>
      <w:pPr>
        <w:spacing w:after="0" w:line="200" w:lineRule="exact"/>
        <w:rPr>
          <w:sz w:val="20"/>
          <w:szCs w:val="20"/>
          <w:color w:val="auto"/>
        </w:rPr>
      </w:pPr>
    </w:p>
    <w:p>
      <w:pPr>
        <w:spacing w:after="0" w:line="3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Section 14A of the Exchange Act, this "say-on-pay" proposal gives our stockholders the opportunity to approve on a non-binding, advisory basis, the compensation of our NEOs as described in detail above under the heading "</w:t>
      </w:r>
      <w:r>
        <w:rPr>
          <w:rFonts w:ascii="Arial" w:cs="Arial" w:eastAsia="Arial" w:hAnsi="Arial"/>
          <w:sz w:val="16"/>
          <w:szCs w:val="16"/>
          <w:i w:val="1"/>
          <w:iCs w:val="1"/>
          <w:color w:val="auto"/>
        </w:rPr>
        <w:t>Compensation of Named Executive Officers.</w:t>
      </w:r>
      <w:r>
        <w:rPr>
          <w:rFonts w:ascii="Arial" w:cs="Arial" w:eastAsia="Arial" w:hAnsi="Arial"/>
          <w:sz w:val="16"/>
          <w:szCs w:val="16"/>
          <w:color w:val="auto"/>
        </w:rPr>
        <w:t>"</w:t>
      </w:r>
    </w:p>
    <w:p>
      <w:pPr>
        <w:spacing w:after="0" w:line="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implemented strong governance and compensation practices. As described in this proxy statement, our executive compensation programs are designed to attract, retain and motivate our NEOs, who are critical to our success, while maximizing stockholder value creation over the long-term. In addition to weighting NEO compensation towards performance-based, variable compensation, we also (i) utilize a fully independent compensation committee and compensation consultant in overseeing our NEOs' compensation; (ii) prohibit hedging or other speculative transactions in our stock; (iii) impose a compensation clawback policy; (iv) impose stock ownership and share retention requirements; and (v) encourage and solicit feedback regarding our executive compensation program.</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above. Accordingly, we strongly believe you should approve our NEOs' compensation paid in 2025. Although the say-on-pay vote is advisory, we value stockholder input, and the Compensation Committee will review and consider the voting results when making future decisions regarding the Company's compensation philosophy and plan design.</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0C2940"/>
        </w:rPr>
        <w:t>STOCKHOLDER VOTE REQUIRED</w:t>
      </w:r>
    </w:p>
    <w:p>
      <w:pPr>
        <w:spacing w:after="0" w:line="7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Advisory approval of the compensation of our NEOs requires the affirmative vote of a majority of the shares present in person or represented by proxy at the Annual Meeting and entitled to vote at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0C2940"/>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4457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23" w:lineRule="exact"/>
        <w:rPr>
          <w:sz w:val="20"/>
          <w:szCs w:val="20"/>
          <w:color w:val="auto"/>
        </w:rPr>
      </w:pPr>
    </w:p>
    <w:p>
      <w:pPr>
        <w:ind w:left="240"/>
        <w:spacing w:after="0"/>
        <w:rPr>
          <w:sz w:val="20"/>
          <w:szCs w:val="20"/>
          <w:color w:val="auto"/>
        </w:rPr>
      </w:pPr>
      <w:r>
        <w:rPr>
          <w:rFonts w:ascii="Arial" w:cs="Arial" w:eastAsia="Arial" w:hAnsi="Arial"/>
          <w:sz w:val="16"/>
          <w:szCs w:val="16"/>
          <w:color w:val="0C2940"/>
        </w:rPr>
        <w:t xml:space="preserve">The Board unanimously recommends that you vote </w:t>
      </w:r>
      <w:r>
        <w:rPr>
          <w:rFonts w:ascii="Arial" w:cs="Arial" w:eastAsia="Arial" w:hAnsi="Arial"/>
          <w:sz w:val="16"/>
          <w:szCs w:val="16"/>
          <w:color w:val="00B8FC"/>
        </w:rPr>
        <w:t>FOR</w:t>
      </w:r>
      <w:r>
        <w:rPr>
          <w:rFonts w:ascii="Arial" w:cs="Arial" w:eastAsia="Arial" w:hAnsi="Arial"/>
          <w:sz w:val="16"/>
          <w:szCs w:val="16"/>
          <w:color w:val="0C2940"/>
        </w:rPr>
        <w:t xml:space="preserve"> the advisory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tabs>
          <w:tab w:leader="none" w:pos="550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61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3633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80"/>
        <w:spacing w:after="0"/>
        <w:rPr>
          <w:sz w:val="20"/>
          <w:szCs w:val="20"/>
          <w:color w:val="auto"/>
        </w:rPr>
      </w:pPr>
      <w:r>
        <w:rPr>
          <w:rFonts w:ascii="Arial" w:cs="Arial" w:eastAsia="Arial" w:hAnsi="Arial"/>
          <w:sz w:val="43"/>
          <w:szCs w:val="43"/>
          <w:color w:val="A7A9AC"/>
        </w:rPr>
        <w:t>Item 3</w:t>
      </w:r>
    </w:p>
    <w:p>
      <w:pPr>
        <w:spacing w:after="0" w:line="61" w:lineRule="exact"/>
        <w:rPr>
          <w:sz w:val="20"/>
          <w:szCs w:val="20"/>
          <w:color w:val="auto"/>
        </w:rPr>
      </w:pPr>
    </w:p>
    <w:p>
      <w:pPr>
        <w:ind w:left="880" w:right="4180"/>
        <w:spacing w:after="0" w:line="282" w:lineRule="auto"/>
        <w:rPr>
          <w:sz w:val="20"/>
          <w:szCs w:val="20"/>
          <w:color w:val="auto"/>
        </w:rPr>
      </w:pPr>
      <w:r>
        <w:rPr>
          <w:rFonts w:ascii="Arial" w:cs="Arial" w:eastAsia="Arial" w:hAnsi="Arial"/>
          <w:sz w:val="43"/>
          <w:szCs w:val="43"/>
          <w:b w:val="1"/>
          <w:bCs w:val="1"/>
          <w:color w:val="DE762B"/>
        </w:rPr>
        <w:t>Ratification of Appointment of Independent Auditors</w:t>
      </w:r>
    </w:p>
    <w:p>
      <w:pPr>
        <w:spacing w:after="0" w:line="200" w:lineRule="exact"/>
        <w:rPr>
          <w:sz w:val="20"/>
          <w:szCs w:val="20"/>
          <w:color w:val="auto"/>
        </w:rPr>
      </w:pPr>
    </w:p>
    <w:p>
      <w:pPr>
        <w:spacing w:after="0" w:line="20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Audit Committee has appointed the accounting firm of BDO USA, P.C. (BDO) as our independent registered public accounting firm for the year ending December 31, 2026. As a matter of good corporate governance, the Board is seeking stockholder ratification of the appointment even though ratification is not legally required. If stockholders do not ratify this appointment, the Audit Committee will take this into consideration in its future selection of an independent registered public accounting firm. A representative of BDO is expected to attend the Annual Meeting and will be given an opportunity to make a statement and respond to appropriate questions.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0C2940"/>
        </w:rPr>
        <w:t>AUDIT AND OTHER FEES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2025 and December 31, 2024, BDO billed us fees for services of the following types: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60" w:type="dxa"/>
            <w:vAlign w:val="bottom"/>
            <w:vMerge w:val="restart"/>
            <w:shd w:val="clear" w:color="auto" w:fill="0C2940"/>
          </w:tcPr>
          <w:p>
            <w:pPr>
              <w:ind w:left="140"/>
              <w:spacing w:after="0"/>
              <w:rPr>
                <w:sz w:val="20"/>
                <w:szCs w:val="20"/>
                <w:color w:val="auto"/>
              </w:rPr>
            </w:pPr>
            <w:r>
              <w:rPr>
                <w:rFonts w:ascii="Arial" w:cs="Arial" w:eastAsia="Arial" w:hAnsi="Arial"/>
                <w:sz w:val="14"/>
                <w:szCs w:val="14"/>
                <w:color w:val="FFFFFF"/>
              </w:rPr>
              <w:t>AUDIT AND OTHER FEES</w:t>
            </w:r>
          </w:p>
        </w:tc>
        <w:tc>
          <w:tcPr>
            <w:tcW w:w="4580" w:type="dxa"/>
            <w:vAlign w:val="bottom"/>
            <w:shd w:val="clear" w:color="auto" w:fill="0C2940"/>
          </w:tcPr>
          <w:p>
            <w:pPr>
              <w:jc w:val="right"/>
              <w:ind w:right="828"/>
              <w:spacing w:after="0"/>
              <w:rPr>
                <w:sz w:val="20"/>
                <w:szCs w:val="20"/>
                <w:color w:val="auto"/>
              </w:rPr>
            </w:pPr>
            <w:r>
              <w:rPr>
                <w:rFonts w:ascii="Arial" w:cs="Arial" w:eastAsia="Arial" w:hAnsi="Arial"/>
                <w:sz w:val="14"/>
                <w:szCs w:val="14"/>
                <w:color w:val="FFFFFF"/>
              </w:rPr>
              <w:t>2025</w:t>
            </w:r>
          </w:p>
        </w:tc>
        <w:tc>
          <w:tcPr>
            <w:tcW w:w="1700" w:type="dxa"/>
            <w:vAlign w:val="bottom"/>
            <w:shd w:val="clear" w:color="auto" w:fill="0C2940"/>
          </w:tcPr>
          <w:p>
            <w:pPr>
              <w:jc w:val="right"/>
              <w:ind w:right="48"/>
              <w:spacing w:after="0"/>
              <w:rPr>
                <w:sz w:val="20"/>
                <w:szCs w:val="20"/>
                <w:color w:val="auto"/>
              </w:rPr>
            </w:pPr>
            <w:r>
              <w:rPr>
                <w:rFonts w:ascii="Arial" w:cs="Arial" w:eastAsia="Arial" w:hAnsi="Arial"/>
                <w:sz w:val="14"/>
                <w:szCs w:val="14"/>
                <w:color w:val="FFFFFF"/>
              </w:rPr>
              <w:t>2024</w:t>
            </w:r>
          </w:p>
        </w:tc>
        <w:tc>
          <w:tcPr>
            <w:tcW w:w="0" w:type="dxa"/>
            <w:vAlign w:val="bottom"/>
          </w:tcPr>
          <w:p>
            <w:pPr>
              <w:spacing w:after="0"/>
              <w:rPr>
                <w:sz w:val="1"/>
                <w:szCs w:val="1"/>
                <w:color w:val="auto"/>
              </w:rPr>
            </w:pPr>
          </w:p>
        </w:tc>
      </w:tr>
      <w:tr>
        <w:trPr>
          <w:trHeight w:val="96"/>
        </w:trPr>
        <w:tc>
          <w:tcPr>
            <w:tcW w:w="4960" w:type="dxa"/>
            <w:vAlign w:val="bottom"/>
            <w:vMerge w:val="continue"/>
            <w:shd w:val="clear" w:color="auto" w:fill="0C2940"/>
          </w:tcPr>
          <w:p>
            <w:pPr>
              <w:spacing w:after="0"/>
              <w:rPr>
                <w:sz w:val="8"/>
                <w:szCs w:val="8"/>
                <w:color w:val="auto"/>
              </w:rPr>
            </w:pPr>
          </w:p>
        </w:tc>
        <w:tc>
          <w:tcPr>
            <w:tcW w:w="4580" w:type="dxa"/>
            <w:vAlign w:val="bottom"/>
            <w:vMerge w:val="restart"/>
            <w:shd w:val="clear" w:color="auto" w:fill="0C2940"/>
          </w:tcPr>
          <w:p>
            <w:pPr>
              <w:jc w:val="right"/>
              <w:ind w:right="828"/>
              <w:spacing w:after="0"/>
              <w:rPr>
                <w:sz w:val="20"/>
                <w:szCs w:val="20"/>
                <w:color w:val="auto"/>
              </w:rPr>
            </w:pPr>
            <w:r>
              <w:rPr>
                <w:rFonts w:ascii="Arial" w:cs="Arial" w:eastAsia="Arial" w:hAnsi="Arial"/>
                <w:sz w:val="14"/>
                <w:szCs w:val="14"/>
                <w:color w:val="FFFFFF"/>
              </w:rPr>
              <w:t>($)</w:t>
            </w:r>
          </w:p>
        </w:tc>
        <w:tc>
          <w:tcPr>
            <w:tcW w:w="1700" w:type="dxa"/>
            <w:vAlign w:val="bottom"/>
            <w:vMerge w:val="restart"/>
            <w:shd w:val="clear" w:color="auto" w:fill="0C2940"/>
          </w:tcPr>
          <w:p>
            <w:pPr>
              <w:jc w:val="right"/>
              <w:ind w:right="48"/>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96"/>
        </w:trPr>
        <w:tc>
          <w:tcPr>
            <w:tcW w:w="4960" w:type="dxa"/>
            <w:vAlign w:val="bottom"/>
            <w:tcBorders>
              <w:bottom w:val="single" w:sz="8" w:color="0C2940"/>
            </w:tcBorders>
            <w:shd w:val="clear" w:color="auto" w:fill="0C2940"/>
          </w:tcPr>
          <w:p>
            <w:pPr>
              <w:spacing w:after="0"/>
              <w:rPr>
                <w:sz w:val="8"/>
                <w:szCs w:val="8"/>
                <w:color w:val="auto"/>
              </w:rPr>
            </w:pPr>
          </w:p>
        </w:tc>
        <w:tc>
          <w:tcPr>
            <w:tcW w:w="4580" w:type="dxa"/>
            <w:vAlign w:val="bottom"/>
            <w:tcBorders>
              <w:bottom w:val="single" w:sz="8" w:color="0C2940"/>
            </w:tcBorders>
            <w:vMerge w:val="continue"/>
            <w:shd w:val="clear" w:color="auto" w:fill="0C2940"/>
          </w:tcPr>
          <w:p>
            <w:pPr>
              <w:spacing w:after="0"/>
              <w:rPr>
                <w:sz w:val="8"/>
                <w:szCs w:val="8"/>
                <w:color w:val="auto"/>
              </w:rPr>
            </w:pPr>
          </w:p>
        </w:tc>
        <w:tc>
          <w:tcPr>
            <w:tcW w:w="1700" w:type="dxa"/>
            <w:vAlign w:val="bottom"/>
            <w:tcBorders>
              <w:bottom w:val="single" w:sz="8" w:color="0C2940"/>
            </w:tcBorders>
            <w:vMerge w:val="continue"/>
            <w:shd w:val="clear" w:color="auto" w:fill="0C2940"/>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960" w:type="dxa"/>
            <w:vAlign w:val="bottom"/>
            <w:shd w:val="clear" w:color="auto" w:fill="F5F5F5"/>
          </w:tcPr>
          <w:p>
            <w:pPr>
              <w:ind w:left="240"/>
              <w:spacing w:after="0"/>
              <w:rPr>
                <w:sz w:val="20"/>
                <w:szCs w:val="20"/>
                <w:color w:val="auto"/>
              </w:rPr>
            </w:pPr>
            <w:r>
              <w:rPr>
                <w:rFonts w:ascii="Arial" w:cs="Arial" w:eastAsia="Arial" w:hAnsi="Arial"/>
                <w:sz w:val="14"/>
                <w:szCs w:val="14"/>
                <w:color w:val="auto"/>
              </w:rPr>
              <w:t>Audit Fees</w:t>
            </w:r>
          </w:p>
        </w:tc>
        <w:tc>
          <w:tcPr>
            <w:tcW w:w="4580" w:type="dxa"/>
            <w:vAlign w:val="bottom"/>
            <w:shd w:val="clear" w:color="auto" w:fill="F5F5F5"/>
          </w:tcPr>
          <w:p>
            <w:pPr>
              <w:jc w:val="right"/>
              <w:ind w:right="868"/>
              <w:spacing w:after="0"/>
              <w:rPr>
                <w:sz w:val="20"/>
                <w:szCs w:val="20"/>
                <w:color w:val="auto"/>
              </w:rPr>
            </w:pPr>
            <w:r>
              <w:rPr>
                <w:rFonts w:ascii="Arial" w:cs="Arial" w:eastAsia="Arial" w:hAnsi="Arial"/>
                <w:sz w:val="14"/>
                <w:szCs w:val="14"/>
                <w:color w:val="auto"/>
              </w:rPr>
              <w:t>1,096,914</w:t>
            </w:r>
          </w:p>
        </w:tc>
        <w:tc>
          <w:tcPr>
            <w:tcW w:w="17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1,161,927</w:t>
            </w:r>
          </w:p>
        </w:tc>
        <w:tc>
          <w:tcPr>
            <w:tcW w:w="0" w:type="dxa"/>
            <w:vAlign w:val="bottom"/>
          </w:tcPr>
          <w:p>
            <w:pPr>
              <w:spacing w:after="0"/>
              <w:rPr>
                <w:sz w:val="1"/>
                <w:szCs w:val="1"/>
                <w:color w:val="auto"/>
              </w:rPr>
            </w:pPr>
          </w:p>
        </w:tc>
      </w:tr>
      <w:tr>
        <w:trPr>
          <w:trHeight w:val="76"/>
        </w:trPr>
        <w:tc>
          <w:tcPr>
            <w:tcW w:w="4960" w:type="dxa"/>
            <w:vAlign w:val="bottom"/>
            <w:shd w:val="clear" w:color="auto" w:fill="F5F5F5"/>
          </w:tcPr>
          <w:p>
            <w:pPr>
              <w:spacing w:after="0"/>
              <w:rPr>
                <w:sz w:val="6"/>
                <w:szCs w:val="6"/>
                <w:color w:val="auto"/>
              </w:rPr>
            </w:pPr>
          </w:p>
        </w:tc>
        <w:tc>
          <w:tcPr>
            <w:tcW w:w="4580" w:type="dxa"/>
            <w:vAlign w:val="bottom"/>
            <w:shd w:val="clear" w:color="auto" w:fill="F5F5F5"/>
          </w:tcPr>
          <w:p>
            <w:pPr>
              <w:spacing w:after="0"/>
              <w:rPr>
                <w:sz w:val="6"/>
                <w:szCs w:val="6"/>
                <w:color w:val="auto"/>
              </w:rPr>
            </w:pPr>
          </w:p>
        </w:tc>
        <w:tc>
          <w:tcPr>
            <w:tcW w:w="170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960" w:type="dxa"/>
            <w:vAlign w:val="bottom"/>
          </w:tcPr>
          <w:p>
            <w:pPr>
              <w:ind w:left="240"/>
              <w:spacing w:after="0"/>
              <w:rPr>
                <w:sz w:val="20"/>
                <w:szCs w:val="20"/>
                <w:color w:val="auto"/>
              </w:rPr>
            </w:pPr>
            <w:r>
              <w:rPr>
                <w:rFonts w:ascii="Arial" w:cs="Arial" w:eastAsia="Arial" w:hAnsi="Arial"/>
                <w:sz w:val="14"/>
                <w:szCs w:val="14"/>
                <w:color w:val="auto"/>
              </w:rPr>
              <w:t>Audit-Related Fees</w:t>
            </w:r>
          </w:p>
        </w:tc>
        <w:tc>
          <w:tcPr>
            <w:tcW w:w="458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49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960" w:type="dxa"/>
            <w:vAlign w:val="bottom"/>
            <w:shd w:val="clear" w:color="auto" w:fill="F5F5F5"/>
          </w:tcPr>
          <w:p>
            <w:pPr>
              <w:ind w:left="240"/>
              <w:spacing w:after="0"/>
              <w:rPr>
                <w:sz w:val="20"/>
                <w:szCs w:val="20"/>
                <w:color w:val="auto"/>
              </w:rPr>
            </w:pPr>
            <w:r>
              <w:rPr>
                <w:rFonts w:ascii="Arial" w:cs="Arial" w:eastAsia="Arial" w:hAnsi="Arial"/>
                <w:sz w:val="14"/>
                <w:szCs w:val="14"/>
                <w:color w:val="auto"/>
              </w:rPr>
              <w:t>Tax Fees</w:t>
            </w:r>
          </w:p>
        </w:tc>
        <w:tc>
          <w:tcPr>
            <w:tcW w:w="4580" w:type="dxa"/>
            <w:vAlign w:val="bottom"/>
            <w:shd w:val="clear" w:color="auto" w:fill="F5F5F5"/>
          </w:tcPr>
          <w:p>
            <w:pPr>
              <w:jc w:val="right"/>
              <w:ind w:right="868"/>
              <w:spacing w:after="0"/>
              <w:rPr>
                <w:sz w:val="20"/>
                <w:szCs w:val="20"/>
                <w:color w:val="auto"/>
              </w:rPr>
            </w:pPr>
            <w:r>
              <w:rPr>
                <w:rFonts w:ascii="Arial" w:cs="Arial" w:eastAsia="Arial" w:hAnsi="Arial"/>
                <w:sz w:val="14"/>
                <w:szCs w:val="14"/>
                <w:color w:val="auto"/>
              </w:rPr>
              <w:t>—</w:t>
            </w:r>
          </w:p>
        </w:tc>
        <w:tc>
          <w:tcPr>
            <w:tcW w:w="17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4960" w:type="dxa"/>
            <w:vAlign w:val="bottom"/>
            <w:shd w:val="clear" w:color="auto" w:fill="F5F5F5"/>
          </w:tcPr>
          <w:p>
            <w:pPr>
              <w:spacing w:after="0"/>
              <w:rPr>
                <w:sz w:val="6"/>
                <w:szCs w:val="6"/>
                <w:color w:val="auto"/>
              </w:rPr>
            </w:pPr>
          </w:p>
        </w:tc>
        <w:tc>
          <w:tcPr>
            <w:tcW w:w="4580" w:type="dxa"/>
            <w:vAlign w:val="bottom"/>
            <w:shd w:val="clear" w:color="auto" w:fill="F5F5F5"/>
          </w:tcPr>
          <w:p>
            <w:pPr>
              <w:spacing w:after="0"/>
              <w:rPr>
                <w:sz w:val="6"/>
                <w:szCs w:val="6"/>
                <w:color w:val="auto"/>
              </w:rPr>
            </w:pPr>
          </w:p>
        </w:tc>
        <w:tc>
          <w:tcPr>
            <w:tcW w:w="170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960" w:type="dxa"/>
            <w:vAlign w:val="bottom"/>
          </w:tcPr>
          <w:p>
            <w:pPr>
              <w:ind w:left="240"/>
              <w:spacing w:after="0"/>
              <w:rPr>
                <w:sz w:val="20"/>
                <w:szCs w:val="20"/>
                <w:color w:val="auto"/>
              </w:rPr>
            </w:pPr>
            <w:r>
              <w:rPr>
                <w:rFonts w:ascii="Arial" w:cs="Arial" w:eastAsia="Arial" w:hAnsi="Arial"/>
                <w:sz w:val="14"/>
                <w:szCs w:val="14"/>
                <w:color w:val="auto"/>
              </w:rPr>
              <w:t>All Other Fees</w:t>
            </w:r>
          </w:p>
        </w:tc>
        <w:tc>
          <w:tcPr>
            <w:tcW w:w="458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6"/>
        </w:trPr>
        <w:tc>
          <w:tcPr>
            <w:tcW w:w="496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960" w:type="dxa"/>
            <w:vAlign w:val="bottom"/>
            <w:shd w:val="clear" w:color="auto" w:fill="F5F5F5"/>
          </w:tcPr>
          <w:p>
            <w:pPr>
              <w:ind w:left="240"/>
              <w:spacing w:after="0"/>
              <w:rPr>
                <w:sz w:val="20"/>
                <w:szCs w:val="20"/>
                <w:color w:val="auto"/>
              </w:rPr>
            </w:pPr>
            <w:r>
              <w:rPr>
                <w:rFonts w:ascii="Arial" w:cs="Arial" w:eastAsia="Arial" w:hAnsi="Arial"/>
                <w:sz w:val="14"/>
                <w:szCs w:val="14"/>
                <w:color w:val="auto"/>
              </w:rPr>
              <w:t>Total Audit and Other Fees</w:t>
            </w:r>
          </w:p>
        </w:tc>
        <w:tc>
          <w:tcPr>
            <w:tcW w:w="4580" w:type="dxa"/>
            <w:vAlign w:val="bottom"/>
            <w:shd w:val="clear" w:color="auto" w:fill="F5F5F5"/>
          </w:tcPr>
          <w:p>
            <w:pPr>
              <w:jc w:val="right"/>
              <w:ind w:right="868"/>
              <w:spacing w:after="0"/>
              <w:rPr>
                <w:sz w:val="20"/>
                <w:szCs w:val="20"/>
                <w:color w:val="auto"/>
              </w:rPr>
            </w:pPr>
            <w:r>
              <w:rPr>
                <w:rFonts w:ascii="Arial" w:cs="Arial" w:eastAsia="Arial" w:hAnsi="Arial"/>
                <w:sz w:val="14"/>
                <w:szCs w:val="14"/>
                <w:color w:val="auto"/>
              </w:rPr>
              <w:t>1,096,914</w:t>
            </w:r>
          </w:p>
        </w:tc>
        <w:tc>
          <w:tcPr>
            <w:tcW w:w="1700" w:type="dxa"/>
            <w:vAlign w:val="bottom"/>
            <w:shd w:val="clear" w:color="auto" w:fill="F5F5F5"/>
          </w:tcPr>
          <w:p>
            <w:pPr>
              <w:jc w:val="right"/>
              <w:ind w:right="88"/>
              <w:spacing w:after="0"/>
              <w:rPr>
                <w:sz w:val="20"/>
                <w:szCs w:val="20"/>
                <w:color w:val="auto"/>
              </w:rPr>
            </w:pPr>
            <w:r>
              <w:rPr>
                <w:rFonts w:ascii="Arial" w:cs="Arial" w:eastAsia="Arial" w:hAnsi="Arial"/>
                <w:sz w:val="14"/>
                <w:szCs w:val="14"/>
                <w:color w:val="auto"/>
              </w:rPr>
              <w:t>1,161,927</w:t>
            </w:r>
          </w:p>
        </w:tc>
        <w:tc>
          <w:tcPr>
            <w:tcW w:w="0" w:type="dxa"/>
            <w:vAlign w:val="bottom"/>
          </w:tcPr>
          <w:p>
            <w:pPr>
              <w:spacing w:after="0"/>
              <w:rPr>
                <w:sz w:val="1"/>
                <w:szCs w:val="1"/>
                <w:color w:val="auto"/>
              </w:rPr>
            </w:pPr>
          </w:p>
        </w:tc>
      </w:tr>
      <w:tr>
        <w:trPr>
          <w:trHeight w:val="76"/>
        </w:trPr>
        <w:tc>
          <w:tcPr>
            <w:tcW w:w="4960" w:type="dxa"/>
            <w:vAlign w:val="bottom"/>
            <w:tcBorders>
              <w:bottom w:val="single" w:sz="8" w:color="DE762B"/>
            </w:tcBorders>
            <w:shd w:val="clear" w:color="auto" w:fill="F5F5F5"/>
          </w:tcPr>
          <w:p>
            <w:pPr>
              <w:spacing w:after="0"/>
              <w:rPr>
                <w:sz w:val="6"/>
                <w:szCs w:val="6"/>
                <w:color w:val="auto"/>
              </w:rPr>
            </w:pPr>
          </w:p>
        </w:tc>
        <w:tc>
          <w:tcPr>
            <w:tcW w:w="4580" w:type="dxa"/>
            <w:vAlign w:val="bottom"/>
            <w:tcBorders>
              <w:bottom w:val="single" w:sz="8" w:color="DE762B"/>
            </w:tcBorders>
            <w:shd w:val="clear" w:color="auto" w:fill="F5F5F5"/>
          </w:tcPr>
          <w:p>
            <w:pPr>
              <w:spacing w:after="0"/>
              <w:rPr>
                <w:sz w:val="6"/>
                <w:szCs w:val="6"/>
                <w:color w:val="auto"/>
              </w:rPr>
            </w:pPr>
          </w:p>
        </w:tc>
        <w:tc>
          <w:tcPr>
            <w:tcW w:w="1700" w:type="dxa"/>
            <w:vAlign w:val="bottom"/>
            <w:tcBorders>
              <w:bottom w:val="single" w:sz="8" w:color="DE762B"/>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-920750</wp:posOffset>
            </wp:positionV>
            <wp:extent cx="33655" cy="925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655" cy="92519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-920750</wp:posOffset>
            </wp:positionV>
            <wp:extent cx="33655" cy="925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925195"/>
                    </a:xfrm>
                    <a:prstGeom prst="rect">
                      <a:avLst/>
                    </a:prstGeom>
                    <a:noFill/>
                  </pic:spPr>
                </pic:pic>
              </a:graphicData>
            </a:graphic>
          </wp:anchor>
        </w:drawing>
      </w:r>
    </w:p>
    <w:p>
      <w:pPr>
        <w:spacing w:after="0" w:line="2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Audit Fees for 2025 and 2024 include BDO's review of our quarterly GAAP financial statements, audit of our year-end financial statements on a GAAP and statutory basis, review of SEC filings and expenses incurred by BDO in connection with providing services to NMI under the terms of the engagement.</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Audit-Related Fees are generally fees for assurance and related services (e.g., due diligence services) that are reasonably related to the performance of the audit or review of the financial statements and which are not reported under "Audit Fees."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Audit Committee is responsible for pre-approving audit services and all permitted non-audit services to be performed by the independent auditor that will cost in excess of $30,000. The Audit Committee is also responsible for establishing policies and procedures for the engagement of the independent auditor to provide permitted audit and non-audit services. If we desire the independent auditor to provide an audit or non-audit service that has not been pre-approved, the service may be presented for pre-approval by the Audit Committee at its next meeting, or for services that arise between Audit Committee meetings, such pre-approval may be delegated to the Chair of the Audit Committee or a sub-committee of the Audit Committee, with any such delegated approval reported to the Audit Committee at its next meeting. The Audit Committee pre-approved all of the services that BDO provided in 2025.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0C2940"/>
        </w:rPr>
        <w:t>STOCKHOLDER VOTE REQUIRED</w:t>
      </w:r>
    </w:p>
    <w:p>
      <w:pPr>
        <w:spacing w:after="0" w:line="59"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ratification of the appointment of BDO USA, P.C. as our independent registered public accounting firm for the year ending December 31, 2026 requires the affirmative vote of a majority of the shares present in person or represented by proxy at the Annual Meeting and entitled to vote at the Annual Meeting.</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0C2940"/>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5829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336" w:lineRule="exact"/>
        <w:rPr>
          <w:sz w:val="20"/>
          <w:szCs w:val="20"/>
          <w:color w:val="auto"/>
        </w:rPr>
      </w:pPr>
    </w:p>
    <w:p>
      <w:pPr>
        <w:jc w:val="center"/>
        <w:ind w:right="20"/>
        <w:spacing w:after="0" w:line="321" w:lineRule="auto"/>
        <w:rPr>
          <w:sz w:val="20"/>
          <w:szCs w:val="20"/>
          <w:color w:val="auto"/>
        </w:rPr>
      </w:pPr>
      <w:r>
        <w:rPr>
          <w:rFonts w:ascii="Arial" w:cs="Arial" w:eastAsia="Arial" w:hAnsi="Arial"/>
          <w:sz w:val="16"/>
          <w:szCs w:val="16"/>
          <w:color w:val="0C2940"/>
        </w:rPr>
        <w:t xml:space="preserve">The Board unanimously recommends that you vote </w:t>
      </w:r>
      <w:r>
        <w:rPr>
          <w:rFonts w:ascii="Arial" w:cs="Arial" w:eastAsia="Arial" w:hAnsi="Arial"/>
          <w:sz w:val="16"/>
          <w:szCs w:val="16"/>
          <w:b w:val="1"/>
          <w:bCs w:val="1"/>
          <w:color w:val="00B8FC"/>
        </w:rPr>
        <w:t>FOR</w:t>
      </w:r>
      <w:r>
        <w:rPr>
          <w:rFonts w:ascii="Arial" w:cs="Arial" w:eastAsia="Arial" w:hAnsi="Arial"/>
          <w:sz w:val="16"/>
          <w:szCs w:val="16"/>
          <w:color w:val="0C2940"/>
        </w:rPr>
        <w:t xml:space="preserve"> the ratification of the appointment of BDO USA, P.C. as the Company's independent registered public accounting firm for the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tabs>
          <w:tab w:leader="none" w:pos="550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62</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sz w:val="1"/>
          <w:szCs w:val="1"/>
          <w:color w:val="auto"/>
        </w:rPr>
        <w:drawing>
          <wp:inline distT="0" distB="0" distL="0" distR="0">
            <wp:extent cx="539750" cy="702945"/>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9750" cy="702945"/>
                    </a:xfrm>
                    <a:prstGeom prst="rect">
                      <a:avLst/>
                    </a:prstGeom>
                    <a:noFill/>
                    <a:ln>
                      <a:noFill/>
                    </a:ln>
                  </pic:spPr>
                </pic:pic>
              </a:graphicData>
            </a:graphic>
          </wp:inline>
        </w:drawing>
      </w:r>
      <w:r>
        <w:rPr>
          <w:rFonts w:ascii="Arial" w:cs="Arial" w:eastAsia="Arial" w:hAnsi="Arial"/>
          <w:sz w:val="43"/>
          <w:szCs w:val="43"/>
          <w:color w:val="A7A9AC"/>
        </w:rPr>
        <w:t xml:space="preserve">Appendix </w:t>
      </w:r>
      <w:r>
        <w:rPr>
          <w:rFonts w:ascii="Arial" w:cs="Arial" w:eastAsia="Arial" w:hAnsi="Arial"/>
          <w:sz w:val="43"/>
          <w:szCs w:val="43"/>
          <w:b w:val="1"/>
          <w:bCs w:val="1"/>
          <w:color w:val="DE762B"/>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-530860</wp:posOffset>
            </wp:positionV>
            <wp:extent cx="6591935" cy="531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91935" cy="53149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C2940"/>
        </w:rPr>
        <w:t>EXPLANATION AND RECONCILIATION OF OUR USE OF NON-GAAP FINANCIAL MEASURES</w:t>
      </w:r>
    </w:p>
    <w:p>
      <w:pPr>
        <w:spacing w:after="0" w:line="12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the use of the non-GAAP measures of adjusted income before tax, adjusted net income and adjusted diluted EPS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7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color w:val="005388"/>
        </w:rPr>
        <w:t xml:space="preserve">Adjusted income before tax </w:t>
      </w:r>
      <w:r>
        <w:rPr>
          <w:rFonts w:ascii="Arial" w:cs="Arial" w:eastAsia="Arial" w:hAnsi="Arial"/>
          <w:sz w:val="16"/>
          <w:szCs w:val="16"/>
          <w:color w:val="000000"/>
        </w:rPr>
        <w:t>is defined as GAAP income before tax, excluding the pre-tax effects of the gain or loss related to periodic costs incurred in</w:t>
      </w:r>
      <w:r>
        <w:rPr>
          <w:rFonts w:ascii="Arial" w:cs="Arial" w:eastAsia="Arial" w:hAnsi="Arial"/>
          <w:sz w:val="16"/>
          <w:szCs w:val="16"/>
          <w:b w:val="1"/>
          <w:bCs w:val="1"/>
          <w:color w:val="005388"/>
        </w:rPr>
        <w:t xml:space="preserve"> </w:t>
      </w:r>
      <w:r>
        <w:rPr>
          <w:rFonts w:ascii="Arial" w:cs="Arial" w:eastAsia="Arial" w:hAnsi="Arial"/>
          <w:sz w:val="16"/>
          <w:szCs w:val="16"/>
          <w:color w:val="000000"/>
        </w:rPr>
        <w:t>connection with capital markets transactions, net realized gains or losses from our investment portfolio, and other infrequent, unusual or non-operating items in the periods in which such items are incurred.</w:t>
      </w:r>
    </w:p>
    <w:p>
      <w:pPr>
        <w:spacing w:after="0" w:line="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005388"/>
        </w:rPr>
        <w:t xml:space="preserve">Adjusted net income </w:t>
      </w:r>
      <w:r>
        <w:rPr>
          <w:rFonts w:ascii="Arial" w:cs="Arial" w:eastAsia="Arial" w:hAnsi="Arial"/>
          <w:sz w:val="16"/>
          <w:szCs w:val="16"/>
          <w:color w:val="000000"/>
        </w:rPr>
        <w:t>is defined as GAAP net income, excluding the after-tax effects of the gain or loss related to periodic costs incurred in connection with</w:t>
      </w:r>
      <w:r>
        <w:rPr>
          <w:rFonts w:ascii="Arial" w:cs="Arial" w:eastAsia="Arial" w:hAnsi="Arial"/>
          <w:sz w:val="16"/>
          <w:szCs w:val="16"/>
          <w:color w:val="005388"/>
        </w:rPr>
        <w:t xml:space="preserve"> </w:t>
      </w:r>
      <w:r>
        <w:rPr>
          <w:rFonts w:ascii="Arial" w:cs="Arial" w:eastAsia="Arial" w:hAnsi="Arial"/>
          <w:sz w:val="16"/>
          <w:szCs w:val="16"/>
          <w:color w:val="000000"/>
        </w:rPr>
        <w:t>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78" w:lineRule="exact"/>
        <w:rPr>
          <w:sz w:val="20"/>
          <w:szCs w:val="20"/>
          <w:color w:val="auto"/>
        </w:rPr>
      </w:pPr>
    </w:p>
    <w:p>
      <w:pPr>
        <w:ind w:left="220" w:hanging="212"/>
        <w:spacing w:after="0"/>
        <w:tabs>
          <w:tab w:leader="none" w:pos="220" w:val="left"/>
        </w:tabs>
        <w:numPr>
          <w:ilvl w:val="0"/>
          <w:numId w:val="72"/>
        </w:numPr>
        <w:rPr>
          <w:rFonts w:ascii="Arial" w:cs="Arial" w:eastAsia="Arial" w:hAnsi="Arial"/>
          <w:sz w:val="16"/>
          <w:szCs w:val="16"/>
          <w:b w:val="1"/>
          <w:bCs w:val="1"/>
          <w:color w:val="005388"/>
        </w:rPr>
      </w:pPr>
      <w:r>
        <w:rPr>
          <w:rFonts w:ascii="Arial" w:cs="Arial" w:eastAsia="Arial" w:hAnsi="Arial"/>
          <w:sz w:val="14"/>
          <w:szCs w:val="14"/>
          <w:b w:val="1"/>
          <w:bCs w:val="1"/>
          <w:color w:val="005388"/>
        </w:rPr>
        <w:t>Capital markets transaction costs.</w:t>
      </w:r>
    </w:p>
    <w:p>
      <w:pPr>
        <w:spacing w:after="0" w:line="3" w:lineRule="exact"/>
        <w:rPr>
          <w:sz w:val="20"/>
          <w:szCs w:val="20"/>
          <w:color w:val="auto"/>
        </w:rPr>
      </w:pPr>
    </w:p>
    <w:p>
      <w:pPr>
        <w:jc w:val="both"/>
        <w:ind w:left="260"/>
        <w:spacing w:after="0" w:line="264" w:lineRule="auto"/>
        <w:rPr>
          <w:sz w:val="20"/>
          <w:szCs w:val="20"/>
          <w:color w:val="auto"/>
        </w:rPr>
      </w:pPr>
      <w:r>
        <w:rPr>
          <w:rFonts w:ascii="Arial" w:cs="Arial" w:eastAsia="Arial" w:hAnsi="Arial"/>
          <w:sz w:val="16"/>
          <w:szCs w:val="16"/>
          <w:color w:val="auto"/>
        </w:rPr>
        <w:t>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w:t>
      </w:r>
    </w:p>
    <w:p>
      <w:pPr>
        <w:spacing w:after="0" w:line="43" w:lineRule="exact"/>
        <w:rPr>
          <w:sz w:val="20"/>
          <w:szCs w:val="20"/>
          <w:color w:val="auto"/>
        </w:rPr>
      </w:pPr>
    </w:p>
    <w:p>
      <w:pPr>
        <w:ind w:left="220" w:hanging="212"/>
        <w:spacing w:after="0"/>
        <w:tabs>
          <w:tab w:leader="none" w:pos="220" w:val="left"/>
        </w:tabs>
        <w:numPr>
          <w:ilvl w:val="0"/>
          <w:numId w:val="73"/>
        </w:numPr>
        <w:rPr>
          <w:rFonts w:ascii="Arial" w:cs="Arial" w:eastAsia="Arial" w:hAnsi="Arial"/>
          <w:sz w:val="16"/>
          <w:szCs w:val="16"/>
          <w:b w:val="1"/>
          <w:bCs w:val="1"/>
          <w:color w:val="005388"/>
        </w:rPr>
      </w:pPr>
      <w:r>
        <w:rPr>
          <w:rFonts w:ascii="Arial" w:cs="Arial" w:eastAsia="Arial" w:hAnsi="Arial"/>
          <w:sz w:val="14"/>
          <w:szCs w:val="14"/>
          <w:b w:val="1"/>
          <w:bCs w:val="1"/>
          <w:color w:val="005388"/>
        </w:rPr>
        <w:t>Net realized investment gains and losses.</w:t>
      </w:r>
    </w:p>
    <w:p>
      <w:pPr>
        <w:spacing w:after="0" w:line="3" w:lineRule="exact"/>
        <w:rPr>
          <w:sz w:val="20"/>
          <w:szCs w:val="20"/>
          <w:color w:val="auto"/>
        </w:rPr>
      </w:pPr>
    </w:p>
    <w:p>
      <w:pPr>
        <w:ind w:left="260"/>
        <w:spacing w:after="0" w:line="265" w:lineRule="auto"/>
        <w:rPr>
          <w:sz w:val="20"/>
          <w:szCs w:val="20"/>
          <w:color w:val="auto"/>
        </w:rPr>
      </w:pPr>
      <w:r>
        <w:rPr>
          <w:rFonts w:ascii="Arial" w:cs="Arial" w:eastAsia="Arial" w:hAnsi="Arial"/>
          <w:sz w:val="16"/>
          <w:szCs w:val="16"/>
          <w:color w:val="auto"/>
        </w:rPr>
        <w:t>The recognition of the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spacing w:after="0" w:line="96" w:lineRule="exact"/>
        <w:rPr>
          <w:sz w:val="20"/>
          <w:szCs w:val="20"/>
          <w:color w:val="auto"/>
        </w:rPr>
      </w:pPr>
    </w:p>
    <w:p>
      <w:pPr>
        <w:ind w:left="220" w:hanging="212"/>
        <w:spacing w:after="0"/>
        <w:tabs>
          <w:tab w:leader="none" w:pos="220" w:val="left"/>
        </w:tabs>
        <w:numPr>
          <w:ilvl w:val="0"/>
          <w:numId w:val="74"/>
        </w:numPr>
        <w:rPr>
          <w:rFonts w:ascii="Arial" w:cs="Arial" w:eastAsia="Arial" w:hAnsi="Arial"/>
          <w:sz w:val="16"/>
          <w:szCs w:val="16"/>
          <w:b w:val="1"/>
          <w:bCs w:val="1"/>
          <w:color w:val="005388"/>
        </w:rPr>
      </w:pPr>
      <w:r>
        <w:rPr>
          <w:rFonts w:ascii="Arial" w:cs="Arial" w:eastAsia="Arial" w:hAnsi="Arial"/>
          <w:sz w:val="14"/>
          <w:szCs w:val="14"/>
          <w:b w:val="1"/>
          <w:bCs w:val="1"/>
          <w:color w:val="005388"/>
        </w:rPr>
        <w:t>Other infrequent, unusual or non-operating items.</w:t>
      </w:r>
    </w:p>
    <w:p>
      <w:pPr>
        <w:spacing w:after="0" w:line="3" w:lineRule="exact"/>
        <w:rPr>
          <w:sz w:val="20"/>
          <w:szCs w:val="20"/>
          <w:color w:val="auto"/>
        </w:rPr>
      </w:pPr>
    </w:p>
    <w:p>
      <w:pPr>
        <w:jc w:val="both"/>
        <w:ind w:left="260"/>
        <w:spacing w:after="0" w:line="257" w:lineRule="auto"/>
        <w:rPr>
          <w:sz w:val="20"/>
          <w:szCs w:val="20"/>
          <w:color w:val="auto"/>
        </w:rPr>
      </w:pPr>
      <w:r>
        <w:rPr>
          <w:rFonts w:ascii="Arial" w:cs="Arial" w:eastAsia="Arial" w:hAnsi="Arial"/>
          <w:sz w:val="16"/>
          <w:szCs w:val="16"/>
          <w:color w:val="auto"/>
        </w:rPr>
        <w:t>Items that are the result of unforeseen or uncommon events, and are not expected to recur with frequency in the future. Identification and exclusion of these items provides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in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337" w:lineRule="exact"/>
        <w:rPr>
          <w:sz w:val="20"/>
          <w:szCs w:val="20"/>
          <w:color w:val="auto"/>
        </w:rPr>
      </w:pPr>
    </w:p>
    <w:p>
      <w:pPr>
        <w:ind w:left="20"/>
        <w:spacing w:after="0"/>
        <w:tabs>
          <w:tab w:leader="none" w:pos="54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A-1</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0C2940"/>
        </w:rPr>
        <w:t>NON-GAAP FINANCIAL MEASURE RECONCILIATION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shd w:val="clear" w:color="auto" w:fill="0C2940"/>
          </w:tcPr>
          <w:p>
            <w:pPr>
              <w:spacing w:after="0"/>
              <w:rPr>
                <w:sz w:val="18"/>
                <w:szCs w:val="18"/>
                <w:color w:val="auto"/>
              </w:rPr>
            </w:pPr>
          </w:p>
        </w:tc>
        <w:tc>
          <w:tcPr>
            <w:tcW w:w="2780" w:type="dxa"/>
            <w:vAlign w:val="bottom"/>
            <w:gridSpan w:val="3"/>
            <w:shd w:val="clear" w:color="auto" w:fill="0C2940"/>
          </w:tcPr>
          <w:p>
            <w:pPr>
              <w:jc w:val="center"/>
              <w:ind w:left="828"/>
              <w:spacing w:after="0"/>
              <w:rPr>
                <w:sz w:val="20"/>
                <w:szCs w:val="20"/>
                <w:color w:val="auto"/>
              </w:rPr>
            </w:pPr>
            <w:r>
              <w:rPr>
                <w:rFonts w:ascii="Arial" w:cs="Arial" w:eastAsia="Arial" w:hAnsi="Arial"/>
                <w:sz w:val="14"/>
                <w:szCs w:val="14"/>
                <w:color w:val="FFFFFF"/>
              </w:rPr>
              <w:t>For the years ended</w:t>
            </w:r>
          </w:p>
        </w:tc>
        <w:tc>
          <w:tcPr>
            <w:tcW w:w="880" w:type="dxa"/>
            <w:vAlign w:val="bottom"/>
            <w:shd w:val="clear" w:color="auto" w:fill="0C2940"/>
          </w:tcPr>
          <w:p>
            <w:pPr>
              <w:spacing w:after="0"/>
              <w:rPr>
                <w:sz w:val="18"/>
                <w:szCs w:val="18"/>
                <w:color w:val="auto"/>
              </w:rPr>
            </w:pPr>
          </w:p>
        </w:tc>
        <w:tc>
          <w:tcPr>
            <w:tcW w:w="100" w:type="dxa"/>
            <w:vAlign w:val="bottom"/>
            <w:shd w:val="clear" w:color="auto" w:fill="0C2940"/>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480" w:type="dxa"/>
            <w:vAlign w:val="bottom"/>
            <w:shd w:val="clear" w:color="auto" w:fill="0C2940"/>
          </w:tcPr>
          <w:p>
            <w:pPr>
              <w:spacing w:after="0"/>
              <w:rPr>
                <w:sz w:val="19"/>
                <w:szCs w:val="19"/>
                <w:color w:val="auto"/>
              </w:rPr>
            </w:pPr>
          </w:p>
        </w:tc>
        <w:tc>
          <w:tcPr>
            <w:tcW w:w="17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2025</w:t>
            </w:r>
          </w:p>
        </w:tc>
        <w:tc>
          <w:tcPr>
            <w:tcW w:w="100" w:type="dxa"/>
            <w:vAlign w:val="bottom"/>
            <w:shd w:val="clear" w:color="auto" w:fill="0C2940"/>
          </w:tcPr>
          <w:p>
            <w:pPr>
              <w:spacing w:after="0"/>
              <w:rPr>
                <w:sz w:val="19"/>
                <w:szCs w:val="19"/>
                <w:color w:val="auto"/>
              </w:rPr>
            </w:pPr>
          </w:p>
        </w:tc>
        <w:tc>
          <w:tcPr>
            <w:tcW w:w="900" w:type="dxa"/>
            <w:vAlign w:val="bottom"/>
            <w:shd w:val="clear" w:color="auto" w:fill="0C2940"/>
          </w:tcPr>
          <w:p>
            <w:pPr>
              <w:spacing w:after="0"/>
              <w:rPr>
                <w:sz w:val="19"/>
                <w:szCs w:val="19"/>
                <w:color w:val="auto"/>
              </w:rPr>
            </w:pPr>
          </w:p>
        </w:tc>
        <w:tc>
          <w:tcPr>
            <w:tcW w:w="8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2024</w:t>
            </w:r>
          </w:p>
        </w:tc>
        <w:tc>
          <w:tcPr>
            <w:tcW w:w="100" w:type="dxa"/>
            <w:vAlign w:val="bottom"/>
            <w:shd w:val="clear" w:color="auto" w:fill="0C2940"/>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7480" w:type="dxa"/>
            <w:vAlign w:val="bottom"/>
            <w:shd w:val="clear" w:color="auto" w:fill="0C2940"/>
          </w:tcPr>
          <w:p>
            <w:pPr>
              <w:spacing w:after="0"/>
              <w:rPr>
                <w:sz w:val="16"/>
                <w:szCs w:val="16"/>
                <w:color w:val="auto"/>
              </w:rPr>
            </w:pPr>
          </w:p>
        </w:tc>
        <w:tc>
          <w:tcPr>
            <w:tcW w:w="17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00" w:type="dxa"/>
            <w:vAlign w:val="bottom"/>
            <w:shd w:val="clear" w:color="auto" w:fill="0C2940"/>
          </w:tcPr>
          <w:p>
            <w:pPr>
              <w:spacing w:after="0"/>
              <w:rPr>
                <w:sz w:val="16"/>
                <w:szCs w:val="16"/>
                <w:color w:val="auto"/>
              </w:rPr>
            </w:pPr>
          </w:p>
        </w:tc>
        <w:tc>
          <w:tcPr>
            <w:tcW w:w="900" w:type="dxa"/>
            <w:vAlign w:val="bottom"/>
            <w:shd w:val="clear" w:color="auto" w:fill="0C2940"/>
          </w:tcPr>
          <w:p>
            <w:pPr>
              <w:spacing w:after="0"/>
              <w:rPr>
                <w:sz w:val="16"/>
                <w:szCs w:val="16"/>
                <w:color w:val="auto"/>
              </w:rPr>
            </w:pPr>
          </w:p>
        </w:tc>
        <w:tc>
          <w:tcPr>
            <w:tcW w:w="880" w:type="dxa"/>
            <w:vAlign w:val="bottom"/>
            <w:shd w:val="clear" w:color="auto" w:fill="0C2940"/>
          </w:tcPr>
          <w:p>
            <w:pPr>
              <w:jc w:val="right"/>
              <w:spacing w:after="0"/>
              <w:rPr>
                <w:sz w:val="20"/>
                <w:szCs w:val="20"/>
                <w:color w:val="auto"/>
              </w:rPr>
            </w:pPr>
            <w:r>
              <w:rPr>
                <w:rFonts w:ascii="Arial" w:cs="Arial" w:eastAsia="Arial" w:hAnsi="Arial"/>
                <w:sz w:val="14"/>
                <w:szCs w:val="14"/>
                <w:color w:val="FFFFFF"/>
              </w:rPr>
              <w:t>($)</w:t>
            </w:r>
          </w:p>
        </w:tc>
        <w:tc>
          <w:tcPr>
            <w:tcW w:w="100" w:type="dxa"/>
            <w:vAlign w:val="bottom"/>
            <w:shd w:val="clear" w:color="auto" w:fill="0C2940"/>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80" w:type="dxa"/>
            <w:vAlign w:val="bottom"/>
            <w:tcBorders>
              <w:bottom w:val="single" w:sz="8" w:color="0C2940"/>
            </w:tcBorders>
            <w:shd w:val="clear" w:color="auto" w:fill="0C2940"/>
          </w:tcPr>
          <w:p>
            <w:pPr>
              <w:ind w:left="140"/>
              <w:spacing w:after="0"/>
              <w:rPr>
                <w:sz w:val="20"/>
                <w:szCs w:val="20"/>
                <w:color w:val="auto"/>
              </w:rPr>
            </w:pPr>
            <w:r>
              <w:rPr>
                <w:rFonts w:ascii="Arial" w:cs="Arial" w:eastAsia="Arial" w:hAnsi="Arial"/>
                <w:sz w:val="14"/>
                <w:szCs w:val="14"/>
                <w:color w:val="FFFFFF"/>
              </w:rPr>
              <w:t>AS REPORTED</w:t>
            </w:r>
          </w:p>
        </w:tc>
        <w:tc>
          <w:tcPr>
            <w:tcW w:w="2780" w:type="dxa"/>
            <w:vAlign w:val="bottom"/>
            <w:tcBorders>
              <w:bottom w:val="single" w:sz="8" w:color="0C2940"/>
            </w:tcBorders>
            <w:gridSpan w:val="3"/>
            <w:shd w:val="clear" w:color="auto" w:fill="0C2940"/>
          </w:tcPr>
          <w:p>
            <w:pPr>
              <w:jc w:val="center"/>
              <w:ind w:left="828"/>
              <w:spacing w:after="0"/>
              <w:rPr>
                <w:sz w:val="20"/>
                <w:szCs w:val="20"/>
                <w:color w:val="auto"/>
              </w:rPr>
            </w:pPr>
            <w:r>
              <w:rPr>
                <w:rFonts w:ascii="Arial" w:cs="Arial" w:eastAsia="Arial" w:hAnsi="Arial"/>
                <w:sz w:val="14"/>
                <w:szCs w:val="14"/>
                <w:i w:val="1"/>
                <w:iCs w:val="1"/>
                <w:color w:val="FFFFFF"/>
              </w:rPr>
              <w:t>($ In Thousands)</w:t>
            </w:r>
          </w:p>
        </w:tc>
        <w:tc>
          <w:tcPr>
            <w:tcW w:w="880" w:type="dxa"/>
            <w:vAlign w:val="bottom"/>
            <w:tcBorders>
              <w:bottom w:val="single" w:sz="8" w:color="0C2940"/>
            </w:tcBorders>
            <w:shd w:val="clear" w:color="auto" w:fill="0C2940"/>
          </w:tcPr>
          <w:p>
            <w:pPr>
              <w:spacing w:after="0"/>
              <w:rPr>
                <w:sz w:val="20"/>
                <w:szCs w:val="20"/>
                <w:color w:val="auto"/>
              </w:rPr>
            </w:pPr>
          </w:p>
        </w:tc>
        <w:tc>
          <w:tcPr>
            <w:tcW w:w="100" w:type="dxa"/>
            <w:vAlign w:val="bottom"/>
            <w:tcBorders>
              <w:bottom w:val="single" w:sz="8" w:color="0C2940"/>
            </w:tcBorders>
            <w:shd w:val="clear" w:color="auto" w:fill="0C2940"/>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748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005388"/>
              </w:rPr>
              <w:t>Revenues</w:t>
            </w:r>
          </w:p>
        </w:tc>
        <w:tc>
          <w:tcPr>
            <w:tcW w:w="1780" w:type="dxa"/>
            <w:vAlign w:val="bottom"/>
            <w:shd w:val="clear" w:color="auto" w:fill="F5F5F5"/>
          </w:tcPr>
          <w:p>
            <w:pPr>
              <w:spacing w:after="0"/>
              <w:rPr>
                <w:sz w:val="24"/>
                <w:szCs w:val="24"/>
                <w:color w:val="auto"/>
              </w:rPr>
            </w:pP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spacing w:after="0"/>
              <w:rPr>
                <w:sz w:val="24"/>
                <w:szCs w:val="24"/>
                <w:color w:val="auto"/>
              </w:rPr>
            </w:pP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480" w:type="dxa"/>
            <w:vAlign w:val="bottom"/>
            <w:shd w:val="clear" w:color="auto" w:fill="F5F5F5"/>
          </w:tcPr>
          <w:p>
            <w:pPr>
              <w:ind w:left="680"/>
              <w:spacing w:after="0"/>
              <w:rPr>
                <w:sz w:val="20"/>
                <w:szCs w:val="20"/>
                <w:color w:val="auto"/>
              </w:rPr>
            </w:pPr>
            <w:r>
              <w:rPr>
                <w:rFonts w:ascii="Arial" w:cs="Arial" w:eastAsia="Arial" w:hAnsi="Arial"/>
                <w:sz w:val="14"/>
                <w:szCs w:val="14"/>
                <w:color w:val="auto"/>
              </w:rPr>
              <w:t>Net premiums earned</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602,212</w:t>
            </w: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564,688</w:t>
            </w: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F5F5F5"/>
          </w:tcPr>
          <w:p>
            <w:pPr>
              <w:ind w:left="680"/>
              <w:spacing w:after="0"/>
              <w:rPr>
                <w:sz w:val="20"/>
                <w:szCs w:val="20"/>
                <w:color w:val="auto"/>
              </w:rPr>
            </w:pPr>
            <w:r>
              <w:rPr>
                <w:rFonts w:ascii="Arial" w:cs="Arial" w:eastAsia="Arial" w:hAnsi="Arial"/>
                <w:sz w:val="14"/>
                <w:szCs w:val="14"/>
                <w:color w:val="auto"/>
              </w:rPr>
              <w:t>Net investment income</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102,937</w:t>
            </w: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85,316</w:t>
            </w: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F5F5F5"/>
          </w:tcPr>
          <w:p>
            <w:pPr>
              <w:ind w:left="360"/>
              <w:spacing w:after="0"/>
              <w:rPr>
                <w:sz w:val="20"/>
                <w:szCs w:val="20"/>
                <w:color w:val="auto"/>
              </w:rPr>
            </w:pPr>
            <w:r>
              <w:rPr>
                <w:rFonts w:ascii="Arial" w:cs="Arial" w:eastAsia="Arial" w:hAnsi="Arial"/>
                <w:sz w:val="14"/>
                <w:szCs w:val="14"/>
                <w:color w:val="auto"/>
              </w:rPr>
              <w:t>Net realized investment (losses) gains</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F5F5F5"/>
          </w:tcPr>
          <w:p>
            <w:pPr>
              <w:ind w:left="680"/>
              <w:spacing w:after="0"/>
              <w:rPr>
                <w:sz w:val="20"/>
                <w:szCs w:val="20"/>
                <w:color w:val="auto"/>
              </w:rPr>
            </w:pPr>
            <w:r>
              <w:rPr>
                <w:rFonts w:ascii="Arial" w:cs="Arial" w:eastAsia="Arial" w:hAnsi="Arial"/>
                <w:sz w:val="14"/>
                <w:szCs w:val="14"/>
                <w:color w:val="auto"/>
              </w:rPr>
              <w:t>Other revenues</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944</w:t>
            </w: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480" w:type="dxa"/>
            <w:vAlign w:val="bottom"/>
            <w:tcBorders>
              <w:bottom w:val="single" w:sz="8" w:color="F5F5F5"/>
            </w:tcBorders>
            <w:vMerge w:val="restart"/>
            <w:shd w:val="clear" w:color="auto" w:fill="F5F5F5"/>
          </w:tcPr>
          <w:p>
            <w:pPr>
              <w:ind w:left="240"/>
              <w:spacing w:after="0"/>
              <w:rPr>
                <w:sz w:val="20"/>
                <w:szCs w:val="20"/>
                <w:color w:val="auto"/>
              </w:rPr>
            </w:pPr>
            <w:r>
              <w:rPr>
                <w:rFonts w:ascii="Arial" w:cs="Arial" w:eastAsia="Arial" w:hAnsi="Arial"/>
                <w:sz w:val="14"/>
                <w:szCs w:val="14"/>
                <w:b w:val="1"/>
                <w:bCs w:val="1"/>
                <w:color w:val="auto"/>
              </w:rPr>
              <w:t>Total revenues</w:t>
            </w:r>
          </w:p>
        </w:tc>
        <w:tc>
          <w:tcPr>
            <w:tcW w:w="1780" w:type="dxa"/>
            <w:vAlign w:val="bottom"/>
            <w:tcBorders>
              <w:bottom w:val="single" w:sz="8" w:color="auto"/>
            </w:tcBorders>
            <w:shd w:val="clear" w:color="auto" w:fill="F5F5F5"/>
          </w:tcPr>
          <w:p>
            <w:pPr>
              <w:spacing w:after="0"/>
              <w:rPr>
                <w:sz w:val="6"/>
                <w:szCs w:val="6"/>
                <w:color w:val="auto"/>
              </w:rPr>
            </w:pPr>
          </w:p>
        </w:tc>
        <w:tc>
          <w:tcPr>
            <w:tcW w:w="100" w:type="dxa"/>
            <w:vAlign w:val="bottom"/>
            <w:tcBorders>
              <w:bottom w:val="single" w:sz="8" w:color="F5F5F5"/>
            </w:tcBorders>
            <w:shd w:val="clear" w:color="auto" w:fill="F5F5F5"/>
          </w:tcPr>
          <w:p>
            <w:pPr>
              <w:spacing w:after="0"/>
              <w:rPr>
                <w:sz w:val="6"/>
                <w:szCs w:val="6"/>
                <w:color w:val="auto"/>
              </w:rPr>
            </w:pPr>
          </w:p>
        </w:tc>
        <w:tc>
          <w:tcPr>
            <w:tcW w:w="900" w:type="dxa"/>
            <w:vAlign w:val="bottom"/>
            <w:tcBorders>
              <w:bottom w:val="single" w:sz="8" w:color="auto"/>
            </w:tcBorders>
            <w:shd w:val="clear" w:color="auto" w:fill="F5F5F5"/>
          </w:tcPr>
          <w:p>
            <w:pPr>
              <w:spacing w:after="0"/>
              <w:rPr>
                <w:sz w:val="6"/>
                <w:szCs w:val="6"/>
                <w:color w:val="auto"/>
              </w:rPr>
            </w:pPr>
          </w:p>
        </w:tc>
        <w:tc>
          <w:tcPr>
            <w:tcW w:w="880" w:type="dxa"/>
            <w:vAlign w:val="bottom"/>
            <w:tcBorders>
              <w:bottom w:val="single" w:sz="8" w:color="auto"/>
            </w:tcBorders>
            <w:shd w:val="clear" w:color="auto" w:fill="F5F5F5"/>
          </w:tcPr>
          <w:p>
            <w:pPr>
              <w:spacing w:after="0"/>
              <w:rPr>
                <w:sz w:val="6"/>
                <w:szCs w:val="6"/>
                <w:color w:val="auto"/>
              </w:rPr>
            </w:pPr>
          </w:p>
        </w:tc>
        <w:tc>
          <w:tcPr>
            <w:tcW w:w="100" w:type="dxa"/>
            <w:vAlign w:val="bottom"/>
            <w:tcBorders>
              <w:bottom w:val="single" w:sz="8" w:color="F5F5F5"/>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80" w:type="dxa"/>
            <w:vAlign w:val="bottom"/>
            <w:vMerge w:val="continue"/>
            <w:shd w:val="clear" w:color="auto" w:fill="F5F5F5"/>
          </w:tcPr>
          <w:p>
            <w:pPr>
              <w:spacing w:after="0"/>
              <w:rPr>
                <w:sz w:val="18"/>
                <w:szCs w:val="18"/>
                <w:color w:val="auto"/>
              </w:rPr>
            </w:pP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b w:val="1"/>
                <w:bCs w:val="1"/>
                <w:color w:val="auto"/>
              </w:rPr>
              <w:t>706,440</w:t>
            </w:r>
          </w:p>
        </w:tc>
        <w:tc>
          <w:tcPr>
            <w:tcW w:w="10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b w:val="1"/>
                <w:bCs w:val="1"/>
                <w:color w:val="auto"/>
              </w:rPr>
              <w:t>650,971</w:t>
            </w:r>
          </w:p>
        </w:tc>
        <w:tc>
          <w:tcPr>
            <w:tcW w:w="10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80" w:type="dxa"/>
            <w:vAlign w:val="bottom"/>
            <w:shd w:val="clear" w:color="auto" w:fill="F5F5F5"/>
          </w:tcPr>
          <w:p>
            <w:pPr>
              <w:spacing w:after="0"/>
              <w:rPr>
                <w:sz w:val="6"/>
                <w:szCs w:val="6"/>
                <w:color w:val="auto"/>
              </w:rPr>
            </w:pPr>
          </w:p>
        </w:tc>
        <w:tc>
          <w:tcPr>
            <w:tcW w:w="1780" w:type="dxa"/>
            <w:vAlign w:val="bottom"/>
            <w:shd w:val="clear" w:color="auto" w:fill="F5F5F5"/>
          </w:tcPr>
          <w:p>
            <w:pPr>
              <w:spacing w:after="0"/>
              <w:rPr>
                <w:sz w:val="6"/>
                <w:szCs w:val="6"/>
                <w:color w:val="auto"/>
              </w:rPr>
            </w:pPr>
          </w:p>
        </w:tc>
        <w:tc>
          <w:tcPr>
            <w:tcW w:w="100" w:type="dxa"/>
            <w:vAlign w:val="bottom"/>
            <w:shd w:val="clear" w:color="auto" w:fill="F5F5F5"/>
          </w:tcPr>
          <w:p>
            <w:pPr>
              <w:spacing w:after="0"/>
              <w:rPr>
                <w:sz w:val="6"/>
                <w:szCs w:val="6"/>
                <w:color w:val="auto"/>
              </w:rPr>
            </w:pPr>
          </w:p>
        </w:tc>
        <w:tc>
          <w:tcPr>
            <w:tcW w:w="900" w:type="dxa"/>
            <w:vAlign w:val="bottom"/>
            <w:shd w:val="clear" w:color="auto" w:fill="F5F5F5"/>
          </w:tcPr>
          <w:p>
            <w:pPr>
              <w:spacing w:after="0"/>
              <w:rPr>
                <w:sz w:val="6"/>
                <w:szCs w:val="6"/>
                <w:color w:val="auto"/>
              </w:rPr>
            </w:pPr>
          </w:p>
        </w:tc>
        <w:tc>
          <w:tcPr>
            <w:tcW w:w="880" w:type="dxa"/>
            <w:vAlign w:val="bottom"/>
            <w:shd w:val="clear" w:color="auto" w:fill="F5F5F5"/>
          </w:tcPr>
          <w:p>
            <w:pPr>
              <w:spacing w:after="0"/>
              <w:rPr>
                <w:sz w:val="6"/>
                <w:szCs w:val="6"/>
                <w:color w:val="auto"/>
              </w:rPr>
            </w:pPr>
          </w:p>
        </w:tc>
        <w:tc>
          <w:tcPr>
            <w:tcW w:w="100" w:type="dxa"/>
            <w:vAlign w:val="bottom"/>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322"/>
        </w:trPr>
        <w:tc>
          <w:tcPr>
            <w:tcW w:w="7480" w:type="dxa"/>
            <w:vAlign w:val="bottom"/>
          </w:tcPr>
          <w:p>
            <w:pPr>
              <w:ind w:left="240"/>
              <w:spacing w:after="0"/>
              <w:rPr>
                <w:sz w:val="20"/>
                <w:szCs w:val="20"/>
                <w:color w:val="auto"/>
              </w:rPr>
            </w:pPr>
            <w:r>
              <w:rPr>
                <w:rFonts w:ascii="Arial" w:cs="Arial" w:eastAsia="Arial" w:hAnsi="Arial"/>
                <w:sz w:val="14"/>
                <w:szCs w:val="14"/>
                <w:b w:val="1"/>
                <w:bCs w:val="1"/>
                <w:color w:val="005388"/>
              </w:rPr>
              <w:t>Expenses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480" w:type="dxa"/>
            <w:vAlign w:val="bottom"/>
          </w:tcPr>
          <w:p>
            <w:pPr>
              <w:ind w:left="680"/>
              <w:spacing w:after="0"/>
              <w:rPr>
                <w:sz w:val="20"/>
                <w:szCs w:val="20"/>
                <w:color w:val="auto"/>
              </w:rPr>
            </w:pPr>
            <w:r>
              <w:rPr>
                <w:rFonts w:ascii="Arial" w:cs="Arial" w:eastAsia="Arial" w:hAnsi="Arial"/>
                <w:sz w:val="14"/>
                <w:szCs w:val="14"/>
                <w:color w:val="auto"/>
              </w:rPr>
              <w:t>Insurance claims and claim expenses (benefits)</w:t>
            </w:r>
          </w:p>
        </w:tc>
        <w:tc>
          <w:tcPr>
            <w:tcW w:w="1780" w:type="dxa"/>
            <w:vAlign w:val="bottom"/>
          </w:tcPr>
          <w:p>
            <w:pPr>
              <w:jc w:val="right"/>
              <w:spacing w:after="0"/>
              <w:rPr>
                <w:sz w:val="20"/>
                <w:szCs w:val="20"/>
                <w:color w:val="auto"/>
              </w:rPr>
            </w:pPr>
            <w:r>
              <w:rPr>
                <w:rFonts w:ascii="Arial" w:cs="Arial" w:eastAsia="Arial" w:hAnsi="Arial"/>
                <w:sz w:val="14"/>
                <w:szCs w:val="14"/>
                <w:color w:val="auto"/>
              </w:rPr>
              <w:t>57,649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31,544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680"/>
              <w:spacing w:after="0"/>
              <w:rPr>
                <w:sz w:val="20"/>
                <w:szCs w:val="20"/>
                <w:color w:val="auto"/>
              </w:rPr>
            </w:pPr>
            <w:r>
              <w:rPr>
                <w:rFonts w:ascii="Arial" w:cs="Arial" w:eastAsia="Arial" w:hAnsi="Arial"/>
                <w:sz w:val="14"/>
                <w:szCs w:val="14"/>
                <w:color w:val="auto"/>
              </w:rPr>
              <w:t>Underwriting and operating expenses</w:t>
            </w:r>
          </w:p>
        </w:tc>
        <w:tc>
          <w:tcPr>
            <w:tcW w:w="1780" w:type="dxa"/>
            <w:vAlign w:val="bottom"/>
          </w:tcPr>
          <w:p>
            <w:pPr>
              <w:jc w:val="right"/>
              <w:spacing w:after="0"/>
              <w:rPr>
                <w:sz w:val="20"/>
                <w:szCs w:val="20"/>
                <w:color w:val="auto"/>
              </w:rPr>
            </w:pPr>
            <w:r>
              <w:rPr>
                <w:rFonts w:ascii="Arial" w:cs="Arial" w:eastAsia="Arial" w:hAnsi="Arial"/>
                <w:sz w:val="14"/>
                <w:szCs w:val="14"/>
                <w:color w:val="auto"/>
              </w:rPr>
              <w:t>119,908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118,397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680"/>
              <w:spacing w:after="0"/>
              <w:rPr>
                <w:sz w:val="20"/>
                <w:szCs w:val="20"/>
                <w:color w:val="auto"/>
              </w:rPr>
            </w:pPr>
            <w:r>
              <w:rPr>
                <w:rFonts w:ascii="Arial" w:cs="Arial" w:eastAsia="Arial" w:hAnsi="Arial"/>
                <w:sz w:val="14"/>
                <w:szCs w:val="14"/>
                <w:color w:val="auto"/>
              </w:rPr>
              <w:t>Service expenses</w:t>
            </w:r>
          </w:p>
        </w:tc>
        <w:tc>
          <w:tcPr>
            <w:tcW w:w="1780" w:type="dxa"/>
            <w:vAlign w:val="bottom"/>
          </w:tcPr>
          <w:p>
            <w:pPr>
              <w:jc w:val="right"/>
              <w:spacing w:after="0"/>
              <w:rPr>
                <w:sz w:val="20"/>
                <w:szCs w:val="20"/>
                <w:color w:val="auto"/>
              </w:rPr>
            </w:pPr>
            <w:r>
              <w:rPr>
                <w:rFonts w:ascii="Arial" w:cs="Arial" w:eastAsia="Arial" w:hAnsi="Arial"/>
                <w:sz w:val="14"/>
                <w:szCs w:val="14"/>
                <w:color w:val="auto"/>
              </w:rPr>
              <w:t>601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680"/>
              <w:spacing w:after="0"/>
              <w:rPr>
                <w:sz w:val="20"/>
                <w:szCs w:val="20"/>
                <w:color w:val="auto"/>
              </w:rPr>
            </w:pPr>
            <w:r>
              <w:rPr>
                <w:rFonts w:ascii="Arial" w:cs="Arial" w:eastAsia="Arial" w:hAnsi="Arial"/>
                <w:sz w:val="14"/>
                <w:szCs w:val="14"/>
                <w:color w:val="auto"/>
              </w:rPr>
              <w:t>Interest expense</w:t>
            </w:r>
          </w:p>
        </w:tc>
        <w:tc>
          <w:tcPr>
            <w:tcW w:w="1780" w:type="dxa"/>
            <w:vAlign w:val="bottom"/>
          </w:tcPr>
          <w:p>
            <w:pPr>
              <w:jc w:val="right"/>
              <w:spacing w:after="0"/>
              <w:rPr>
                <w:sz w:val="20"/>
                <w:szCs w:val="20"/>
                <w:color w:val="auto"/>
              </w:rPr>
            </w:pPr>
            <w:r>
              <w:rPr>
                <w:rFonts w:ascii="Arial" w:cs="Arial" w:eastAsia="Arial" w:hAnsi="Arial"/>
                <w:sz w:val="14"/>
                <w:szCs w:val="14"/>
                <w:color w:val="auto"/>
              </w:rPr>
              <w:t>28,478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36,896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Total expenses</w:t>
            </w:r>
          </w:p>
        </w:tc>
        <w:tc>
          <w:tcPr>
            <w:tcW w:w="1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748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206,636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187,560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74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80" w:type="dxa"/>
            <w:vAlign w:val="bottom"/>
            <w:shd w:val="clear" w:color="auto" w:fill="F5F5F5"/>
          </w:tcPr>
          <w:p>
            <w:pPr>
              <w:ind w:left="240"/>
              <w:spacing w:after="0"/>
              <w:rPr>
                <w:sz w:val="20"/>
                <w:szCs w:val="20"/>
                <w:color w:val="auto"/>
              </w:rPr>
            </w:pPr>
            <w:r>
              <w:rPr>
                <w:rFonts w:ascii="Arial" w:cs="Arial" w:eastAsia="Arial" w:hAnsi="Arial"/>
                <w:sz w:val="14"/>
                <w:szCs w:val="14"/>
                <w:color w:val="auto"/>
              </w:rPr>
              <w:t>Income before income taxes</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499,804</w:t>
            </w:r>
          </w:p>
        </w:tc>
        <w:tc>
          <w:tcPr>
            <w:tcW w:w="10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463,411</w:t>
            </w:r>
          </w:p>
        </w:tc>
        <w:tc>
          <w:tcPr>
            <w:tcW w:w="10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7480" w:type="dxa"/>
            <w:vAlign w:val="bottom"/>
            <w:shd w:val="clear" w:color="auto" w:fill="F5F5F5"/>
          </w:tcPr>
          <w:p>
            <w:pPr>
              <w:ind w:left="240"/>
              <w:spacing w:after="0"/>
              <w:rPr>
                <w:sz w:val="20"/>
                <w:szCs w:val="20"/>
                <w:color w:val="auto"/>
              </w:rPr>
            </w:pPr>
            <w:r>
              <w:rPr>
                <w:rFonts w:ascii="Arial" w:cs="Arial" w:eastAsia="Arial" w:hAnsi="Arial"/>
                <w:sz w:val="14"/>
                <w:szCs w:val="14"/>
                <w:color w:val="auto"/>
              </w:rPr>
              <w:t>Income tax expense</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110,878</w:t>
            </w:r>
          </w:p>
        </w:tc>
        <w:tc>
          <w:tcPr>
            <w:tcW w:w="100" w:type="dxa"/>
            <w:vAlign w:val="bottom"/>
            <w:shd w:val="clear" w:color="auto" w:fill="F5F5F5"/>
          </w:tcPr>
          <w:p>
            <w:pPr>
              <w:spacing w:after="0"/>
              <w:rPr>
                <w:sz w:val="24"/>
                <w:szCs w:val="24"/>
                <w:color w:val="auto"/>
              </w:rPr>
            </w:pPr>
          </w:p>
        </w:tc>
        <w:tc>
          <w:tcPr>
            <w:tcW w:w="900" w:type="dxa"/>
            <w:vAlign w:val="bottom"/>
            <w:shd w:val="clear" w:color="auto" w:fill="F5F5F5"/>
          </w:tcPr>
          <w:p>
            <w:pPr>
              <w:spacing w:after="0"/>
              <w:rPr>
                <w:sz w:val="24"/>
                <w:szCs w:val="24"/>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color w:val="auto"/>
              </w:rPr>
              <w:t>103,305</w:t>
            </w:r>
          </w:p>
        </w:tc>
        <w:tc>
          <w:tcPr>
            <w:tcW w:w="100" w:type="dxa"/>
            <w:vAlign w:val="bottom"/>
            <w:shd w:val="clear" w:color="auto" w:fill="F5F5F5"/>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480" w:type="dxa"/>
            <w:vAlign w:val="bottom"/>
            <w:tcBorders>
              <w:bottom w:val="single" w:sz="8" w:color="F5F5F5"/>
            </w:tcBorders>
            <w:shd w:val="clear" w:color="auto" w:fill="F5F5F5"/>
          </w:tcPr>
          <w:p>
            <w:pPr>
              <w:spacing w:after="0"/>
              <w:rPr>
                <w:sz w:val="6"/>
                <w:szCs w:val="6"/>
                <w:color w:val="auto"/>
              </w:rPr>
            </w:pPr>
          </w:p>
        </w:tc>
        <w:tc>
          <w:tcPr>
            <w:tcW w:w="1780" w:type="dxa"/>
            <w:vAlign w:val="bottom"/>
            <w:tcBorders>
              <w:bottom w:val="single" w:sz="8" w:color="auto"/>
            </w:tcBorders>
            <w:shd w:val="clear" w:color="auto" w:fill="F5F5F5"/>
          </w:tcPr>
          <w:p>
            <w:pPr>
              <w:spacing w:after="0"/>
              <w:rPr>
                <w:sz w:val="6"/>
                <w:szCs w:val="6"/>
                <w:color w:val="auto"/>
              </w:rPr>
            </w:pPr>
          </w:p>
        </w:tc>
        <w:tc>
          <w:tcPr>
            <w:tcW w:w="100" w:type="dxa"/>
            <w:vAlign w:val="bottom"/>
            <w:tcBorders>
              <w:bottom w:val="single" w:sz="8" w:color="F5F5F5"/>
            </w:tcBorders>
            <w:shd w:val="clear" w:color="auto" w:fill="F5F5F5"/>
          </w:tcPr>
          <w:p>
            <w:pPr>
              <w:spacing w:after="0"/>
              <w:rPr>
                <w:sz w:val="6"/>
                <w:szCs w:val="6"/>
                <w:color w:val="auto"/>
              </w:rPr>
            </w:pPr>
          </w:p>
        </w:tc>
        <w:tc>
          <w:tcPr>
            <w:tcW w:w="900" w:type="dxa"/>
            <w:vAlign w:val="bottom"/>
            <w:tcBorders>
              <w:bottom w:val="single" w:sz="8" w:color="auto"/>
            </w:tcBorders>
            <w:shd w:val="clear" w:color="auto" w:fill="F5F5F5"/>
          </w:tcPr>
          <w:p>
            <w:pPr>
              <w:spacing w:after="0"/>
              <w:rPr>
                <w:sz w:val="6"/>
                <w:szCs w:val="6"/>
                <w:color w:val="auto"/>
              </w:rPr>
            </w:pPr>
          </w:p>
        </w:tc>
        <w:tc>
          <w:tcPr>
            <w:tcW w:w="880" w:type="dxa"/>
            <w:vAlign w:val="bottom"/>
            <w:tcBorders>
              <w:bottom w:val="single" w:sz="8" w:color="auto"/>
            </w:tcBorders>
            <w:shd w:val="clear" w:color="auto" w:fill="F5F5F5"/>
          </w:tcPr>
          <w:p>
            <w:pPr>
              <w:spacing w:after="0"/>
              <w:rPr>
                <w:sz w:val="6"/>
                <w:szCs w:val="6"/>
                <w:color w:val="auto"/>
              </w:rPr>
            </w:pPr>
          </w:p>
        </w:tc>
        <w:tc>
          <w:tcPr>
            <w:tcW w:w="100" w:type="dxa"/>
            <w:vAlign w:val="bottom"/>
            <w:tcBorders>
              <w:bottom w:val="single" w:sz="8" w:color="F5F5F5"/>
            </w:tcBorders>
            <w:shd w:val="clear" w:color="auto" w:fill="F5F5F5"/>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80" w:type="dxa"/>
            <w:vAlign w:val="bottom"/>
            <w:shd w:val="clear" w:color="auto" w:fill="F5F5F5"/>
          </w:tcPr>
          <w:p>
            <w:pPr>
              <w:ind w:left="240"/>
              <w:spacing w:after="0"/>
              <w:rPr>
                <w:sz w:val="20"/>
                <w:szCs w:val="20"/>
                <w:color w:val="auto"/>
              </w:rPr>
            </w:pPr>
            <w:r>
              <w:rPr>
                <w:rFonts w:ascii="Arial" w:cs="Arial" w:eastAsia="Arial" w:hAnsi="Arial"/>
                <w:sz w:val="14"/>
                <w:szCs w:val="14"/>
                <w:b w:val="1"/>
                <w:bCs w:val="1"/>
                <w:color w:val="auto"/>
              </w:rPr>
              <w:t>Net income</w:t>
            </w:r>
          </w:p>
        </w:tc>
        <w:tc>
          <w:tcPr>
            <w:tcW w:w="1780" w:type="dxa"/>
            <w:vAlign w:val="bottom"/>
            <w:shd w:val="clear" w:color="auto" w:fill="F5F5F5"/>
          </w:tcPr>
          <w:p>
            <w:pPr>
              <w:jc w:val="right"/>
              <w:spacing w:after="0"/>
              <w:rPr>
                <w:sz w:val="20"/>
                <w:szCs w:val="20"/>
                <w:color w:val="auto"/>
              </w:rPr>
            </w:pPr>
            <w:r>
              <w:rPr>
                <w:rFonts w:ascii="Arial" w:cs="Arial" w:eastAsia="Arial" w:hAnsi="Arial"/>
                <w:sz w:val="14"/>
                <w:szCs w:val="14"/>
                <w:b w:val="1"/>
                <w:bCs w:val="1"/>
                <w:color w:val="auto"/>
              </w:rPr>
              <w:t>388,926</w:t>
            </w:r>
          </w:p>
        </w:tc>
        <w:tc>
          <w:tcPr>
            <w:tcW w:w="100" w:type="dxa"/>
            <w:vAlign w:val="bottom"/>
            <w:shd w:val="clear" w:color="auto" w:fill="F5F5F5"/>
          </w:tcPr>
          <w:p>
            <w:pPr>
              <w:spacing w:after="0"/>
              <w:rPr>
                <w:sz w:val="18"/>
                <w:szCs w:val="18"/>
                <w:color w:val="auto"/>
              </w:rPr>
            </w:pPr>
          </w:p>
        </w:tc>
        <w:tc>
          <w:tcPr>
            <w:tcW w:w="900" w:type="dxa"/>
            <w:vAlign w:val="bottom"/>
            <w:shd w:val="clear" w:color="auto" w:fill="F5F5F5"/>
          </w:tcPr>
          <w:p>
            <w:pPr>
              <w:spacing w:after="0"/>
              <w:rPr>
                <w:sz w:val="18"/>
                <w:szCs w:val="18"/>
                <w:color w:val="auto"/>
              </w:rPr>
            </w:pPr>
          </w:p>
        </w:tc>
        <w:tc>
          <w:tcPr>
            <w:tcW w:w="880" w:type="dxa"/>
            <w:vAlign w:val="bottom"/>
            <w:shd w:val="clear" w:color="auto" w:fill="F5F5F5"/>
          </w:tcPr>
          <w:p>
            <w:pPr>
              <w:jc w:val="right"/>
              <w:spacing w:after="0"/>
              <w:rPr>
                <w:sz w:val="20"/>
                <w:szCs w:val="20"/>
                <w:color w:val="auto"/>
              </w:rPr>
            </w:pPr>
            <w:r>
              <w:rPr>
                <w:rFonts w:ascii="Arial" w:cs="Arial" w:eastAsia="Arial" w:hAnsi="Arial"/>
                <w:sz w:val="14"/>
                <w:szCs w:val="14"/>
                <w:b w:val="1"/>
                <w:bCs w:val="1"/>
                <w:color w:val="auto"/>
              </w:rPr>
              <w:t>360,106</w:t>
            </w:r>
          </w:p>
        </w:tc>
        <w:tc>
          <w:tcPr>
            <w:tcW w:w="100" w:type="dxa"/>
            <w:vAlign w:val="bottom"/>
            <w:shd w:val="clear" w:color="auto" w:fill="F5F5F5"/>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7480" w:type="dxa"/>
            <w:vAlign w:val="bottom"/>
            <w:tcBorders>
              <w:bottom w:val="single" w:sz="8" w:color="F5F5F5"/>
            </w:tcBorders>
            <w:shd w:val="clear" w:color="auto" w:fill="F5F5F5"/>
          </w:tcPr>
          <w:p>
            <w:pPr>
              <w:spacing w:after="0"/>
              <w:rPr>
                <w:sz w:val="7"/>
                <w:szCs w:val="7"/>
                <w:color w:val="auto"/>
              </w:rPr>
            </w:pPr>
          </w:p>
        </w:tc>
        <w:tc>
          <w:tcPr>
            <w:tcW w:w="1780" w:type="dxa"/>
            <w:vAlign w:val="bottom"/>
            <w:tcBorders>
              <w:bottom w:val="single" w:sz="8" w:color="auto"/>
            </w:tcBorders>
            <w:shd w:val="clear" w:color="auto" w:fill="F5F5F5"/>
          </w:tcPr>
          <w:p>
            <w:pPr>
              <w:spacing w:after="0"/>
              <w:rPr>
                <w:sz w:val="7"/>
                <w:szCs w:val="7"/>
                <w:color w:val="auto"/>
              </w:rPr>
            </w:pPr>
          </w:p>
        </w:tc>
        <w:tc>
          <w:tcPr>
            <w:tcW w:w="100" w:type="dxa"/>
            <w:vAlign w:val="bottom"/>
            <w:tcBorders>
              <w:bottom w:val="single" w:sz="8" w:color="F5F5F5"/>
            </w:tcBorders>
            <w:shd w:val="clear" w:color="auto" w:fill="F5F5F5"/>
          </w:tcPr>
          <w:p>
            <w:pPr>
              <w:spacing w:after="0"/>
              <w:rPr>
                <w:sz w:val="7"/>
                <w:szCs w:val="7"/>
                <w:color w:val="auto"/>
              </w:rPr>
            </w:pPr>
          </w:p>
        </w:tc>
        <w:tc>
          <w:tcPr>
            <w:tcW w:w="900" w:type="dxa"/>
            <w:vAlign w:val="bottom"/>
            <w:tcBorders>
              <w:bottom w:val="single" w:sz="8" w:color="auto"/>
            </w:tcBorders>
            <w:shd w:val="clear" w:color="auto" w:fill="F5F5F5"/>
          </w:tcPr>
          <w:p>
            <w:pPr>
              <w:spacing w:after="0"/>
              <w:rPr>
                <w:sz w:val="7"/>
                <w:szCs w:val="7"/>
                <w:color w:val="auto"/>
              </w:rPr>
            </w:pPr>
          </w:p>
        </w:tc>
        <w:tc>
          <w:tcPr>
            <w:tcW w:w="880" w:type="dxa"/>
            <w:vAlign w:val="bottom"/>
            <w:tcBorders>
              <w:bottom w:val="single" w:sz="8" w:color="auto"/>
            </w:tcBorders>
            <w:shd w:val="clear" w:color="auto" w:fill="F5F5F5"/>
          </w:tcPr>
          <w:p>
            <w:pPr>
              <w:spacing w:after="0"/>
              <w:rPr>
                <w:sz w:val="7"/>
                <w:szCs w:val="7"/>
                <w:color w:val="auto"/>
              </w:rPr>
            </w:pPr>
          </w:p>
        </w:tc>
        <w:tc>
          <w:tcPr>
            <w:tcW w:w="100" w:type="dxa"/>
            <w:vAlign w:val="bottom"/>
            <w:tcBorders>
              <w:bottom w:val="single" w:sz="8" w:color="F5F5F5"/>
            </w:tcBorders>
            <w:shd w:val="clear" w:color="auto" w:fill="F5F5F5"/>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F5F5F5"/>
              <w:bottom w:val="single" w:sz="8" w:color="F5F5F5"/>
            </w:tcBorders>
            <w:vMerge w:val="restart"/>
          </w:tcPr>
          <w:p>
            <w:pPr>
              <w:ind w:left="240"/>
              <w:spacing w:after="0"/>
              <w:rPr>
                <w:sz w:val="20"/>
                <w:szCs w:val="20"/>
                <w:color w:val="auto"/>
              </w:rPr>
            </w:pPr>
            <w:r>
              <w:rPr>
                <w:rFonts w:ascii="Arial" w:cs="Arial" w:eastAsia="Arial" w:hAnsi="Arial"/>
                <w:sz w:val="14"/>
                <w:szCs w:val="14"/>
                <w:b w:val="1"/>
                <w:bCs w:val="1"/>
                <w:color w:val="005388"/>
              </w:rPr>
              <w:t>Adjustments:</w:t>
            </w:r>
          </w:p>
        </w:tc>
        <w:tc>
          <w:tcPr>
            <w:tcW w:w="178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900" w:type="dxa"/>
            <w:vAlign w:val="bottom"/>
            <w:tcBorders>
              <w:top w:val="single" w:sz="8" w:color="F5F5F5"/>
              <w:bottom w:val="single" w:sz="8" w:color="auto"/>
            </w:tcBorders>
          </w:tcPr>
          <w:p>
            <w:pPr>
              <w:spacing w:after="0" w:line="20" w:lineRule="exact"/>
              <w:rPr>
                <w:sz w:val="1"/>
                <w:szCs w:val="1"/>
                <w:color w:val="auto"/>
              </w:rPr>
            </w:pPr>
          </w:p>
        </w:tc>
        <w:tc>
          <w:tcPr>
            <w:tcW w:w="880" w:type="dxa"/>
            <w:vAlign w:val="bottom"/>
            <w:tcBorders>
              <w:top w:val="single" w:sz="8" w:color="F5F5F5"/>
              <w:bottom w:val="single" w:sz="8" w:color="auto"/>
            </w:tcBorders>
          </w:tcPr>
          <w:p>
            <w:pPr>
              <w:spacing w:after="0" w:line="20" w:lineRule="exact"/>
              <w:rPr>
                <w:sz w:val="1"/>
                <w:szCs w:val="1"/>
                <w:color w:val="auto"/>
              </w:rPr>
            </w:pPr>
          </w:p>
        </w:tc>
        <w:tc>
          <w:tcPr>
            <w:tcW w:w="100" w:type="dxa"/>
            <w:vAlign w:val="bottom"/>
            <w:tcBorders>
              <w:top w:val="single" w:sz="8" w:color="F5F5F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7480" w:type="dxa"/>
            <w:vAlign w:val="bottom"/>
            <w:vMerge w:val="continue"/>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1"/>
        </w:trPr>
        <w:tc>
          <w:tcPr>
            <w:tcW w:w="7480" w:type="dxa"/>
            <w:vAlign w:val="bottom"/>
          </w:tcPr>
          <w:p>
            <w:pPr>
              <w:ind w:left="360"/>
              <w:spacing w:after="0"/>
              <w:rPr>
                <w:sz w:val="20"/>
                <w:szCs w:val="20"/>
                <w:color w:val="auto"/>
              </w:rPr>
            </w:pPr>
            <w:r>
              <w:rPr>
                <w:rFonts w:ascii="Arial" w:cs="Arial" w:eastAsia="Arial" w:hAnsi="Arial"/>
                <w:sz w:val="14"/>
                <w:szCs w:val="14"/>
                <w:color w:val="auto"/>
              </w:rPr>
              <w:t>Net realized investment losses (gains)</w:t>
            </w:r>
          </w:p>
        </w:tc>
        <w:tc>
          <w:tcPr>
            <w:tcW w:w="178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680"/>
              <w:spacing w:after="0"/>
              <w:rPr>
                <w:sz w:val="20"/>
                <w:szCs w:val="20"/>
                <w:color w:val="auto"/>
              </w:rPr>
            </w:pPr>
            <w:r>
              <w:rPr>
                <w:rFonts w:ascii="Arial" w:cs="Arial" w:eastAsia="Arial" w:hAnsi="Arial"/>
                <w:sz w:val="14"/>
                <w:szCs w:val="14"/>
                <w:color w:val="auto"/>
              </w:rPr>
              <w:t>Capital markets transaction costs</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7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Adjusted income before taxes</w:t>
            </w:r>
          </w:p>
        </w:tc>
        <w:tc>
          <w:tcPr>
            <w:tcW w:w="1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499,372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470,354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7480" w:type="dxa"/>
            <w:vAlign w:val="bottom"/>
          </w:tcPr>
          <w:p>
            <w:pPr>
              <w:ind w:left="140"/>
              <w:spacing w:after="0"/>
              <w:rPr>
                <w:sz w:val="20"/>
                <w:szCs w:val="20"/>
                <w:color w:val="auto"/>
              </w:rPr>
            </w:pPr>
            <w:r>
              <w:rPr>
                <w:rFonts w:ascii="Arial" w:cs="Arial" w:eastAsia="Arial" w:hAnsi="Arial"/>
                <w:sz w:val="14"/>
                <w:szCs w:val="14"/>
                <w:color w:val="auto"/>
              </w:rPr>
              <w:t>Income tax expense (benefit) on adjustments</w:t>
            </w:r>
            <w:r>
              <w:rPr>
                <w:rFonts w:ascii="Arial" w:cs="Arial" w:eastAsia="Arial" w:hAnsi="Arial"/>
                <w:sz w:val="9"/>
                <w:szCs w:val="9"/>
                <w:color w:val="auto"/>
              </w:rPr>
              <w:t>(1)</w:t>
            </w:r>
          </w:p>
        </w:tc>
        <w:tc>
          <w:tcPr>
            <w:tcW w:w="17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74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Adjusted net income</w:t>
            </w:r>
          </w:p>
        </w:tc>
        <w:tc>
          <w:tcPr>
            <w:tcW w:w="17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7480" w:type="dxa"/>
            <w:vAlign w:val="bottom"/>
            <w:vMerge w:val="continue"/>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388,584</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365,591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7480" w:type="dxa"/>
            <w:vAlign w:val="bottom"/>
            <w:tcBorders>
              <w:bottom w:val="single" w:sz="8" w:color="DE762B"/>
            </w:tcBorders>
          </w:tcPr>
          <w:p>
            <w:pPr>
              <w:spacing w:after="0"/>
              <w:rPr>
                <w:sz w:val="6"/>
                <w:szCs w:val="6"/>
                <w:color w:val="auto"/>
              </w:rPr>
            </w:pPr>
          </w:p>
        </w:tc>
        <w:tc>
          <w:tcPr>
            <w:tcW w:w="1780" w:type="dxa"/>
            <w:vAlign w:val="bottom"/>
            <w:tcBorders>
              <w:bottom w:val="single" w:sz="8" w:color="DE762B"/>
            </w:tcBorders>
          </w:tcPr>
          <w:p>
            <w:pPr>
              <w:spacing w:after="0"/>
              <w:rPr>
                <w:sz w:val="6"/>
                <w:szCs w:val="6"/>
                <w:color w:val="auto"/>
              </w:rPr>
            </w:pPr>
          </w:p>
        </w:tc>
        <w:tc>
          <w:tcPr>
            <w:tcW w:w="100" w:type="dxa"/>
            <w:vAlign w:val="bottom"/>
            <w:tcBorders>
              <w:bottom w:val="single" w:sz="8" w:color="DE762B"/>
            </w:tcBorders>
          </w:tcPr>
          <w:p>
            <w:pPr>
              <w:spacing w:after="0"/>
              <w:rPr>
                <w:sz w:val="6"/>
                <w:szCs w:val="6"/>
                <w:color w:val="auto"/>
              </w:rPr>
            </w:pPr>
          </w:p>
        </w:tc>
        <w:tc>
          <w:tcPr>
            <w:tcW w:w="900" w:type="dxa"/>
            <w:vAlign w:val="bottom"/>
            <w:tcBorders>
              <w:bottom w:val="single" w:sz="8" w:color="DE762B"/>
            </w:tcBorders>
          </w:tcPr>
          <w:p>
            <w:pPr>
              <w:spacing w:after="0"/>
              <w:rPr>
                <w:sz w:val="6"/>
                <w:szCs w:val="6"/>
                <w:color w:val="auto"/>
              </w:rPr>
            </w:pPr>
          </w:p>
        </w:tc>
        <w:tc>
          <w:tcPr>
            <w:tcW w:w="880" w:type="dxa"/>
            <w:vAlign w:val="bottom"/>
            <w:tcBorders>
              <w:bottom w:val="single" w:sz="8" w:color="DE762B"/>
            </w:tcBorders>
          </w:tcPr>
          <w:p>
            <w:pPr>
              <w:spacing w:after="0"/>
              <w:rPr>
                <w:sz w:val="6"/>
                <w:szCs w:val="6"/>
                <w:color w:val="auto"/>
              </w:rPr>
            </w:pPr>
          </w:p>
        </w:tc>
        <w:tc>
          <w:tcPr>
            <w:tcW w:w="100" w:type="dxa"/>
            <w:vAlign w:val="bottom"/>
            <w:tcBorders>
              <w:bottom w:val="single" w:sz="8" w:color="DE762B"/>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4741545</wp:posOffset>
            </wp:positionH>
            <wp:positionV relativeFrom="paragraph">
              <wp:posOffset>-4568190</wp:posOffset>
            </wp:positionV>
            <wp:extent cx="2336165" cy="45732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336165" cy="4573270"/>
                    </a:xfrm>
                    <a:prstGeom prst="rect">
                      <a:avLst/>
                    </a:prstGeom>
                    <a:noFill/>
                  </pic:spPr>
                </pic:pic>
              </a:graphicData>
            </a:graphic>
          </wp:anchor>
        </w:drawing>
      </w:r>
    </w:p>
    <w:p>
      <w:pPr>
        <w:spacing w:after="0" w:line="219" w:lineRule="exact"/>
        <w:rPr>
          <w:sz w:val="20"/>
          <w:szCs w:val="20"/>
          <w:color w:val="auto"/>
        </w:rPr>
      </w:pPr>
    </w:p>
    <w:p>
      <w:pPr>
        <w:ind w:left="260" w:right="20" w:hanging="252"/>
        <w:spacing w:after="0" w:line="264" w:lineRule="auto"/>
        <w:tabs>
          <w:tab w:leader="none" w:pos="257" w:val="left"/>
        </w:tabs>
        <w:numPr>
          <w:ilvl w:val="0"/>
          <w:numId w:val="75"/>
        </w:numPr>
        <w:rPr>
          <w:rFonts w:ascii="Arial" w:cs="Arial" w:eastAsia="Arial" w:hAnsi="Arial"/>
          <w:sz w:val="13"/>
          <w:szCs w:val="13"/>
          <w:color w:val="6D6D6D"/>
        </w:rPr>
      </w:pPr>
      <w:r>
        <w:rPr>
          <w:rFonts w:ascii="Arial" w:cs="Arial" w:eastAsia="Arial" w:hAnsi="Arial"/>
          <w:sz w:val="13"/>
          <w:szCs w:val="13"/>
          <w:color w:val="6D6D6D"/>
        </w:rPr>
        <w:t>Marginal tax impact of non-GAAP adjustments is calculated based on our statutory U.S. federal corporate income tax rate of 21%, except for those items that are not eligible for an income tax deduction.</w:t>
      </w:r>
    </w:p>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also believe that use of the non-GAAP measures of adjusted operating income, adjusted return on equity and adjusted expense ratio assist in the measurement of performance for bonus determination and that adjusted book value per share is a key metric in the measurement of performance for our performance restricted stock units. Use of these non-GAAP financial measures are consistent with the performance goals set forth in the NMI Holdings, Inc. Amended and Restated 2014 Omnibus Incentive Plan and the Company's 2025 operational plan and budget approved by the Board.</w:t>
      </w:r>
    </w:p>
    <w:p>
      <w:pPr>
        <w:spacing w:after="0" w:line="6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005388"/>
        </w:rPr>
        <w:t>Adjusted net operating income</w:t>
      </w:r>
      <w:r>
        <w:rPr>
          <w:rFonts w:ascii="Arial" w:cs="Arial" w:eastAsia="Arial" w:hAnsi="Arial"/>
          <w:sz w:val="16"/>
          <w:szCs w:val="16"/>
          <w:color w:val="000000"/>
        </w:rPr>
        <w:t>, as approved by the Compensation Committee, is calculated on pre-tax GAAP basis, excluding the pre-tax impact of</w:t>
      </w:r>
      <w:r>
        <w:rPr>
          <w:rFonts w:ascii="Arial" w:cs="Arial" w:eastAsia="Arial" w:hAnsi="Arial"/>
          <w:sz w:val="16"/>
          <w:szCs w:val="16"/>
          <w:color w:val="005388"/>
        </w:rPr>
        <w:t xml:space="preserve"> </w:t>
      </w:r>
      <w:r>
        <w:rPr>
          <w:rFonts w:ascii="Arial" w:cs="Arial" w:eastAsia="Arial" w:hAnsi="Arial"/>
          <w:sz w:val="16"/>
          <w:szCs w:val="16"/>
          <w:color w:val="000000"/>
        </w:rPr>
        <w:t>bonuses, performance awards above/below budget, changes in fair value of embedded derivatives (if recorded), realized investment gains/losses, non-budgeted capital and reinsurance transactions, budgeted capital and reinsurance transactions with unexpected accounting treatment, and changes to the U.S. federal tax code.</w:t>
      </w:r>
    </w:p>
    <w:p>
      <w:pPr>
        <w:spacing w:after="0" w:line="27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05388"/>
        </w:rPr>
        <w:t>Adjusted return on equity</w:t>
      </w:r>
      <w:r>
        <w:rPr>
          <w:rFonts w:ascii="Arial" w:cs="Arial" w:eastAsia="Arial" w:hAnsi="Arial"/>
          <w:sz w:val="16"/>
          <w:szCs w:val="16"/>
          <w:color w:val="000000"/>
        </w:rPr>
        <w:t>, as approved by the Compensation Committee, is calculated as GAAP net income excluding the after-tax impact of bonus</w:t>
      </w:r>
      <w:r>
        <w:rPr>
          <w:rFonts w:ascii="Arial" w:cs="Arial" w:eastAsia="Arial" w:hAnsi="Arial"/>
          <w:sz w:val="16"/>
          <w:szCs w:val="16"/>
          <w:color w:val="005388"/>
        </w:rPr>
        <w:t xml:space="preserve"> </w:t>
      </w:r>
      <w:r>
        <w:rPr>
          <w:rFonts w:ascii="Arial" w:cs="Arial" w:eastAsia="Arial" w:hAnsi="Arial"/>
          <w:sz w:val="16"/>
          <w:szCs w:val="16"/>
          <w:color w:val="000000"/>
        </w:rPr>
        <w:t>above/below target and performance awards above/below budget, changes in fair value of embedded derivatives (if recorded), realized investment gains/losses, non-budgeted capital and reinsurance transactions, budgeted capital and reinsurance transactions with unexpected accounting treatment, and changes to the U.S. federal tax code, divided by the</w:t>
      </w:r>
    </w:p>
    <w:p>
      <w:pPr>
        <w:spacing w:after="0" w:line="317" w:lineRule="exact"/>
        <w:rPr>
          <w:sz w:val="20"/>
          <w:szCs w:val="20"/>
          <w:color w:val="auto"/>
        </w:rPr>
      </w:pPr>
    </w:p>
    <w:p>
      <w:pPr>
        <w:ind w:left="20"/>
        <w:spacing w:after="0"/>
        <w:tabs>
          <w:tab w:leader="none" w:pos="5460" w:val="left"/>
          <w:tab w:leader="none" w:pos="9520" w:val="left"/>
        </w:tabs>
        <w:rPr>
          <w:sz w:val="20"/>
          <w:szCs w:val="20"/>
          <w:color w:val="auto"/>
        </w:rPr>
      </w:pPr>
      <w:r>
        <w:rPr>
          <w:rFonts w:ascii="Arial" w:cs="Arial" w:eastAsia="Arial" w:hAnsi="Arial"/>
          <w:sz w:val="14"/>
          <w:szCs w:val="14"/>
          <w:color w:val="auto"/>
        </w:rPr>
        <w:t>2026 Proxy Statement</w:t>
      </w:r>
      <w:r>
        <w:rPr>
          <w:sz w:val="20"/>
          <w:szCs w:val="20"/>
          <w:color w:val="auto"/>
        </w:rPr>
        <w:tab/>
      </w:r>
      <w:r>
        <w:rPr>
          <w:rFonts w:ascii="Arial" w:cs="Arial" w:eastAsia="Arial" w:hAnsi="Arial"/>
          <w:sz w:val="32"/>
          <w:szCs w:val="32"/>
          <w:b w:val="1"/>
          <w:bCs w:val="1"/>
          <w:color w:val="00B8FC"/>
          <w:vertAlign w:val="subscript"/>
        </w:rPr>
        <w:t>A-2</w:t>
      </w:r>
      <w:r>
        <w:rPr>
          <w:sz w:val="20"/>
          <w:szCs w:val="20"/>
          <w:color w:val="auto"/>
        </w:rPr>
        <w:tab/>
      </w:r>
      <w:r>
        <w:rPr>
          <w:rFonts w:ascii="Arial" w:cs="Arial" w:eastAsia="Arial" w:hAnsi="Arial"/>
          <w:sz w:val="14"/>
          <w:szCs w:val="14"/>
          <w:color w:val="auto"/>
        </w:rPr>
        <w:t>NMI Holdings, Inc. (NMIH)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average of 12/31/24 and 12/31/25 GAAP shareholders’ equity excluding the impact of changes in accumulated comprehensive other income from plan, and changes in the fair value of embedded derivatives (if recorded).</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005388"/>
        </w:rPr>
        <w:t>Adjusted expense ratio</w:t>
      </w:r>
      <w:r>
        <w:rPr>
          <w:rFonts w:ascii="Arial" w:cs="Arial" w:eastAsia="Arial" w:hAnsi="Arial"/>
          <w:sz w:val="16"/>
          <w:szCs w:val="16"/>
          <w:color w:val="000000"/>
        </w:rPr>
        <w:t>, as approved by the Compensation Committee, is calculated as GAAP underwriting and operating expenses excluding the pre-tax</w:t>
      </w:r>
      <w:r>
        <w:rPr>
          <w:rFonts w:ascii="Arial" w:cs="Arial" w:eastAsia="Arial" w:hAnsi="Arial"/>
          <w:sz w:val="16"/>
          <w:szCs w:val="16"/>
          <w:color w:val="005388"/>
        </w:rPr>
        <w:t xml:space="preserve"> </w:t>
      </w:r>
      <w:r>
        <w:rPr>
          <w:rFonts w:ascii="Arial" w:cs="Arial" w:eastAsia="Arial" w:hAnsi="Arial"/>
          <w:sz w:val="16"/>
          <w:szCs w:val="16"/>
          <w:color w:val="000000"/>
        </w:rPr>
        <w:t>impact of bonuses, reinsurer ceding commissions and deferred acquisition cost reimbursement, performance awards above/below budget, non-budgeted capital and reinsurance transactions, budgeted capital and reinsurance transactions with unexpected accounting treatment, and changes to the U.S. federal tax code, divided by GAAP net premiums earned excluding ceded premiums and profit commission earned, the pre-tax impact of non-budgeted capital and reinsurance transactions and budgeted capital and reinsurance transactions with unexpected accounting treatment.</w:t>
      </w:r>
    </w:p>
    <w:p>
      <w:pPr>
        <w:spacing w:after="0" w:line="8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005388"/>
        </w:rPr>
        <w:t>Adjusted book value per share</w:t>
      </w:r>
      <w:r>
        <w:rPr>
          <w:rFonts w:ascii="Arial" w:cs="Arial" w:eastAsia="Arial" w:hAnsi="Arial"/>
          <w:sz w:val="16"/>
          <w:szCs w:val="16"/>
          <w:color w:val="000000"/>
        </w:rPr>
        <w:t>, as approved by the Compensation Committee, is defined as total shareholder's equity, excluding the after-tax effects of</w:t>
      </w:r>
      <w:r>
        <w:rPr>
          <w:rFonts w:ascii="Arial" w:cs="Arial" w:eastAsia="Arial" w:hAnsi="Arial"/>
          <w:sz w:val="16"/>
          <w:szCs w:val="16"/>
          <w:color w:val="005388"/>
        </w:rPr>
        <w:t xml:space="preserve"> </w:t>
      </w:r>
      <w:r>
        <w:rPr>
          <w:rFonts w:ascii="Arial" w:cs="Arial" w:eastAsia="Arial" w:hAnsi="Arial"/>
          <w:sz w:val="16"/>
          <w:szCs w:val="16"/>
          <w:color w:val="000000"/>
        </w:rPr>
        <w:t>unrealized gains and losses on investments, cash dividends paid, share repurchases, changes in accounting principles, and changes in tax law, divided by shares outstanding.</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items excluded from adjusted operating income, adjusted return on equity, adjusted expense ratio, and adjusted book value per share represent items that are calculated in accordance with formulas approved by the Compensation Committee. The primary purpose of the exclusions from operating income is to remove elements of income or loss which, in the judgment of the Compensation Committee, are not appropriate to consider for purposes of assessing the Company's achievement of the corporate bonus objectives.</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005388"/>
        </w:rPr>
        <w:t xml:space="preserve">Net realized investment gains and losses, </w:t>
      </w:r>
      <w:r>
        <w:rPr>
          <w:rFonts w:ascii="Arial" w:cs="Arial" w:eastAsia="Arial" w:hAnsi="Arial"/>
          <w:sz w:val="16"/>
          <w:szCs w:val="16"/>
          <w:color w:val="000000"/>
        </w:rPr>
        <w:t>the recognition of net investment gains or losses can vary significantly across periods as the timing is highly</w:t>
      </w:r>
      <w:r>
        <w:rPr>
          <w:rFonts w:ascii="Arial" w:cs="Arial" w:eastAsia="Arial" w:hAnsi="Arial"/>
          <w:sz w:val="16"/>
          <w:szCs w:val="16"/>
          <w:color w:val="005388"/>
        </w:rPr>
        <w:t xml:space="preserve"> </w:t>
      </w:r>
      <w:r>
        <w:rPr>
          <w:rFonts w:ascii="Arial" w:cs="Arial" w:eastAsia="Arial" w:hAnsi="Arial"/>
          <w:sz w:val="16"/>
          <w:szCs w:val="16"/>
          <w:color w:val="000000"/>
        </w:rPr>
        <w:t>discretionary and is influenced by factors such as market opportunities, tax and capital profile, and overall market cycles that do not reflect our current period operating results.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05388"/>
        </w:rPr>
        <w:t xml:space="preserve">Net unrealized gains and losses on investments, </w:t>
      </w:r>
      <w:r>
        <w:rPr>
          <w:rFonts w:ascii="Arial" w:cs="Arial" w:eastAsia="Arial" w:hAnsi="Arial"/>
          <w:sz w:val="16"/>
          <w:szCs w:val="16"/>
          <w:color w:val="000000"/>
        </w:rPr>
        <w:t>the recognition of the net unrealized gains or losses on investments can vary significantly across periods</w:t>
      </w:r>
      <w:r>
        <w:rPr>
          <w:rFonts w:ascii="Arial" w:cs="Arial" w:eastAsia="Arial" w:hAnsi="Arial"/>
          <w:sz w:val="16"/>
          <w:szCs w:val="16"/>
          <w:color w:val="005388"/>
        </w:rPr>
        <w:t xml:space="preserve"> </w:t>
      </w:r>
      <w:r>
        <w:rPr>
          <w:rFonts w:ascii="Arial" w:cs="Arial" w:eastAsia="Arial" w:hAnsi="Arial"/>
          <w:sz w:val="16"/>
          <w:szCs w:val="16"/>
          <w:color w:val="000000"/>
        </w:rPr>
        <w:t>and is influenced by factors such as interest rate movement, overall market and economic conditions, and tax and capital profiles. These valuation adjustments may not necessarily result in economic gains or losses and not reflective of ongoing operations. Trends in the profitability of our fundamental operating activities can be more clearly identified without the fluctuations of these unrealized gains or losses.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005388"/>
        </w:rPr>
        <w:t>Bonus accruals and performance awards above/below target</w:t>
      </w:r>
      <w:r>
        <w:rPr>
          <w:rFonts w:ascii="Arial" w:cs="Arial" w:eastAsia="Arial" w:hAnsi="Arial"/>
          <w:sz w:val="16"/>
          <w:szCs w:val="16"/>
          <w:color w:val="000000"/>
        </w:rPr>
        <w:t>, adjusted operating income is one of the metrics used to set the threshold for the establishment</w:t>
      </w:r>
      <w:r>
        <w:rPr>
          <w:rFonts w:ascii="Arial" w:cs="Arial" w:eastAsia="Arial" w:hAnsi="Arial"/>
          <w:sz w:val="16"/>
          <w:szCs w:val="16"/>
          <w:color w:val="005388"/>
        </w:rPr>
        <w:t xml:space="preserve"> </w:t>
      </w:r>
      <w:r>
        <w:rPr>
          <w:rFonts w:ascii="Arial" w:cs="Arial" w:eastAsia="Arial" w:hAnsi="Arial"/>
          <w:sz w:val="16"/>
          <w:szCs w:val="16"/>
          <w:color w:val="000000"/>
        </w:rPr>
        <w:t>of a bonus pool and performance targets; therefore, the metric was defined in a manner that would illustrate trends in profitability and operating performance without the impact of bonuses or performance awards above/below target. Expenses associated with these items are estimates recorded throughout the fiscal year, which are ultimately dependent on approval from the Compensation Committee.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005388"/>
        </w:rPr>
        <w:t>Capital markets and reinsurance transactions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Non-budgeted capital and reinsurance transactions and budgeted capital and reinsurance transactions with unexpected accounting treatment are excluded. 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 Reinsurance transactions are undertaken to actively manage our risk, enhance our capital position, and support growth through activities such as excess of loss treaties and quota share treaties that may vary in their size and cost due to factors such as reinsurance market opportunities and capacity. Reinsurance impacts are also excluded entirely from the expense ratio calculation to better reflect current period operating results from both a revenue and expense perspective.</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005388"/>
        </w:rPr>
        <w:t>Tax Code Changes</w:t>
      </w:r>
    </w:p>
    <w:p>
      <w:pPr>
        <w:spacing w:after="0" w:line="11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exclude fluctuations in results related to changes in the U.S. federal tax code. We believe such changes are infrequent or non-recurring in nature, and are not indicative of the performance of, or ongoing trends in, our primary operating activities or business.</w:t>
      </w:r>
    </w:p>
    <w:p>
      <w:pPr>
        <w:spacing w:after="0" w:line="286" w:lineRule="exact"/>
        <w:rPr>
          <w:sz w:val="20"/>
          <w:szCs w:val="20"/>
          <w:color w:val="auto"/>
        </w:rPr>
      </w:pPr>
    </w:p>
    <w:p>
      <w:pPr>
        <w:ind w:left="20"/>
        <w:spacing w:after="0"/>
        <w:tabs>
          <w:tab w:leader="none" w:pos="5460" w:val="left"/>
          <w:tab w:leader="none" w:pos="9780" w:val="left"/>
        </w:tabs>
        <w:rPr>
          <w:sz w:val="20"/>
          <w:szCs w:val="20"/>
          <w:color w:val="auto"/>
        </w:rPr>
      </w:pPr>
      <w:r>
        <w:rPr>
          <w:rFonts w:ascii="Arial" w:cs="Arial" w:eastAsia="Arial" w:hAnsi="Arial"/>
          <w:sz w:val="14"/>
          <w:szCs w:val="14"/>
          <w:color w:val="auto"/>
        </w:rPr>
        <w:t>NMI Holdings, Inc. (NMIH)</w:t>
      </w:r>
      <w:r>
        <w:rPr>
          <w:sz w:val="20"/>
          <w:szCs w:val="20"/>
          <w:color w:val="auto"/>
        </w:rPr>
        <w:tab/>
      </w:r>
      <w:r>
        <w:rPr>
          <w:rFonts w:ascii="Arial" w:cs="Arial" w:eastAsia="Arial" w:hAnsi="Arial"/>
          <w:sz w:val="32"/>
          <w:szCs w:val="32"/>
          <w:b w:val="1"/>
          <w:bCs w:val="1"/>
          <w:color w:val="00B8FC"/>
          <w:vertAlign w:val="subscript"/>
        </w:rPr>
        <w:t>A-3</w:t>
      </w:r>
      <w:r>
        <w:rPr>
          <w:sz w:val="20"/>
          <w:szCs w:val="20"/>
          <w:color w:val="auto"/>
        </w:rPr>
        <w:tab/>
      </w:r>
      <w:r>
        <w:rPr>
          <w:rFonts w:ascii="Arial" w:cs="Arial" w:eastAsia="Arial" w:hAnsi="Arial"/>
          <w:sz w:val="14"/>
          <w:szCs w:val="14"/>
          <w:color w:val="auto"/>
        </w:rPr>
        <w:t>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1" w:name="page72"/>
    <w:bookmarkEnd w:id="71"/>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2393950</wp:posOffset>
            </wp:positionH>
            <wp:positionV relativeFrom="page">
              <wp:posOffset>706120</wp:posOffset>
            </wp:positionV>
            <wp:extent cx="1414145" cy="3346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414145" cy="33464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1"/>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NMI HOLDINGS, INC.</w:t>
            </w: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VOTE BY INTERNET</w:t>
            </w:r>
          </w:p>
        </w:tc>
        <w:tc>
          <w:tcPr>
            <w:tcW w:w="0" w:type="dxa"/>
            <w:vAlign w:val="bottom"/>
          </w:tcPr>
          <w:p>
            <w:pPr>
              <w:spacing w:after="0"/>
              <w:rPr>
                <w:sz w:val="1"/>
                <w:szCs w:val="1"/>
                <w:color w:val="auto"/>
              </w:rPr>
            </w:pPr>
          </w:p>
        </w:tc>
      </w:tr>
      <w:tr>
        <w:trPr>
          <w:trHeight w:val="135"/>
        </w:trPr>
        <w:tc>
          <w:tcPr>
            <w:tcW w:w="2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2100 POWELL STREET, 12th FLOOR</w:t>
            </w:r>
          </w:p>
        </w:tc>
        <w:tc>
          <w:tcPr>
            <w:tcW w:w="21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i w:val="1"/>
                <w:iCs w:val="1"/>
                <w:color w:val="auto"/>
              </w:rPr>
              <w:t xml:space="preserve">Before The Meeting - </w:t>
            </w:r>
            <w:r>
              <w:rPr>
                <w:rFonts w:ascii="Times New Roman" w:cs="Times New Roman" w:eastAsia="Times New Roman" w:hAnsi="Times New Roman"/>
                <w:sz w:val="14"/>
                <w:szCs w:val="14"/>
                <w:b w:val="1"/>
                <w:bCs w:val="1"/>
                <w:color w:val="auto"/>
              </w:rPr>
              <w:t>Go to</w:t>
            </w:r>
          </w:p>
        </w:tc>
        <w:tc>
          <w:tcPr>
            <w:tcW w:w="126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www.proxyvote.com</w:t>
            </w:r>
          </w:p>
        </w:tc>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 scan the QR Barcode above.</w:t>
            </w:r>
          </w:p>
        </w:tc>
        <w:tc>
          <w:tcPr>
            <w:tcW w:w="0" w:type="dxa"/>
            <w:vAlign w:val="bottom"/>
          </w:tcPr>
          <w:p>
            <w:pPr>
              <w:spacing w:after="0"/>
              <w:rPr>
                <w:sz w:val="1"/>
                <w:szCs w:val="1"/>
                <w:color w:val="auto"/>
              </w:rPr>
            </w:pPr>
          </w:p>
        </w:tc>
      </w:tr>
      <w:tr>
        <w:trPr>
          <w:trHeight w:val="34"/>
        </w:trPr>
        <w:tc>
          <w:tcPr>
            <w:tcW w:w="2900" w:type="dxa"/>
            <w:vAlign w:val="bottom"/>
            <w:vMerge w:val="continue"/>
          </w:tcPr>
          <w:p>
            <w:pPr>
              <w:spacing w:after="0"/>
              <w:rPr>
                <w:sz w:val="2"/>
                <w:szCs w:val="2"/>
                <w:color w:val="auto"/>
              </w:rPr>
            </w:pPr>
          </w:p>
        </w:tc>
        <w:tc>
          <w:tcPr>
            <w:tcW w:w="2160" w:type="dxa"/>
            <w:vAlign w:val="bottom"/>
            <w:vMerge w:val="continue"/>
          </w:tcPr>
          <w:p>
            <w:pPr>
              <w:spacing w:after="0"/>
              <w:rPr>
                <w:sz w:val="2"/>
                <w:szCs w:val="2"/>
                <w:color w:val="auto"/>
              </w:rPr>
            </w:pPr>
          </w:p>
        </w:tc>
        <w:tc>
          <w:tcPr>
            <w:tcW w:w="1260" w:type="dxa"/>
            <w:vAlign w:val="bottom"/>
          </w:tcPr>
          <w:p>
            <w:pPr>
              <w:spacing w:after="0"/>
              <w:rPr>
                <w:sz w:val="2"/>
                <w:szCs w:val="2"/>
                <w:color w:val="auto"/>
              </w:rPr>
            </w:pPr>
          </w:p>
        </w:tc>
        <w:tc>
          <w:tcPr>
            <w:tcW w:w="48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EMERYVILLE, CA 94608</w:t>
            </w:r>
          </w:p>
        </w:tc>
        <w:tc>
          <w:tcPr>
            <w:tcW w:w="2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spacing w:after="0"/>
              <w:rPr>
                <w:sz w:val="17"/>
                <w:szCs w:val="17"/>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Vote by 11:59 P.M. Eastern Time on</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Wednesday, May 13, 2026. Have this proxy card and the information that is printed in the box marked by the arrow in hand when you</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access the website and follow the instructions to obtain your records and to create an electronic voting instruction form.</w:t>
            </w:r>
          </w:p>
        </w:tc>
        <w:tc>
          <w:tcPr>
            <w:tcW w:w="0" w:type="dxa"/>
            <w:vAlign w:val="bottom"/>
          </w:tcPr>
          <w:p>
            <w:pPr>
              <w:spacing w:after="0"/>
              <w:rPr>
                <w:sz w:val="1"/>
                <w:szCs w:val="1"/>
                <w:color w:val="auto"/>
              </w:rPr>
            </w:pPr>
          </w:p>
        </w:tc>
      </w:tr>
      <w:tr>
        <w:trPr>
          <w:trHeight w:val="231"/>
        </w:trPr>
        <w:tc>
          <w:tcPr>
            <w:tcW w:w="2900" w:type="dxa"/>
            <w:vAlign w:val="bottom"/>
          </w:tcPr>
          <w:p>
            <w:pPr>
              <w:spacing w:after="0"/>
              <w:rPr>
                <w:sz w:val="20"/>
                <w:szCs w:val="20"/>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 </w:t>
            </w:r>
            <w:r>
              <w:rPr>
                <w:rFonts w:ascii="Times New Roman" w:cs="Times New Roman" w:eastAsia="Times New Roman" w:hAnsi="Times New Roman"/>
                <w:sz w:val="14"/>
                <w:szCs w:val="14"/>
                <w:color w:val="auto"/>
              </w:rPr>
              <w:t>Go to</w:t>
            </w:r>
            <w:r>
              <w:rPr>
                <w:rFonts w:ascii="Times New Roman" w:cs="Times New Roman" w:eastAsia="Times New Roman" w:hAnsi="Times New Roman"/>
                <w:sz w:val="14"/>
                <w:szCs w:val="14"/>
                <w:i w:val="1"/>
                <w:iCs w:val="1"/>
                <w:color w:val="auto"/>
              </w:rPr>
              <w:t xml:space="preserve"> </w:t>
            </w:r>
            <w:r>
              <w:rPr>
                <w:rFonts w:ascii="Arial" w:cs="Arial" w:eastAsia="Arial" w:hAnsi="Arial"/>
                <w:sz w:val="14"/>
                <w:szCs w:val="14"/>
                <w:color w:val="auto"/>
              </w:rPr>
              <w:t>www.virtualshareholdermeeting.com/NMIH2026</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You may attend the Annual Meeting via the Internet and vote during the Annual Meeting until voting is closed. Have the information</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that is printed in the box marked by the arrow available and follow the instructions.</w:t>
            </w:r>
          </w:p>
        </w:tc>
        <w:tc>
          <w:tcPr>
            <w:tcW w:w="0" w:type="dxa"/>
            <w:vAlign w:val="bottom"/>
          </w:tcPr>
          <w:p>
            <w:pPr>
              <w:spacing w:after="0"/>
              <w:rPr>
                <w:sz w:val="1"/>
                <w:szCs w:val="1"/>
                <w:color w:val="auto"/>
              </w:rPr>
            </w:pPr>
          </w:p>
        </w:tc>
      </w:tr>
      <w:tr>
        <w:trPr>
          <w:trHeight w:val="185"/>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tc>
        <w:tc>
          <w:tcPr>
            <w:tcW w:w="0" w:type="dxa"/>
            <w:vAlign w:val="bottom"/>
          </w:tcPr>
          <w:p>
            <w:pPr>
              <w:spacing w:after="0"/>
              <w:rPr>
                <w:sz w:val="1"/>
                <w:szCs w:val="1"/>
                <w:color w:val="auto"/>
              </w:rPr>
            </w:pPr>
          </w:p>
        </w:tc>
      </w:tr>
      <w:tr>
        <w:trPr>
          <w:trHeight w:val="139"/>
        </w:trPr>
        <w:tc>
          <w:tcPr>
            <w:tcW w:w="2900" w:type="dxa"/>
            <w:vAlign w:val="bottom"/>
          </w:tcPr>
          <w:p>
            <w:pPr>
              <w:spacing w:after="0"/>
              <w:rPr>
                <w:sz w:val="12"/>
                <w:szCs w:val="12"/>
                <w:color w:val="auto"/>
              </w:rPr>
            </w:pPr>
          </w:p>
        </w:tc>
        <w:tc>
          <w:tcPr>
            <w:tcW w:w="8240" w:type="dxa"/>
            <w:vAlign w:val="bottom"/>
            <w:gridSpan w:val="3"/>
          </w:tcPr>
          <w:p>
            <w:pPr>
              <w:ind w:left="540"/>
              <w:spacing w:after="0" w:line="139" w:lineRule="exact"/>
              <w:rPr>
                <w:sz w:val="20"/>
                <w:szCs w:val="20"/>
                <w:color w:val="auto"/>
              </w:rPr>
            </w:pPr>
            <w:r>
              <w:rPr>
                <w:rFonts w:ascii="Times New Roman" w:cs="Times New Roman" w:eastAsia="Times New Roman" w:hAnsi="Times New Roman"/>
                <w:sz w:val="14"/>
                <w:szCs w:val="14"/>
                <w:color w:val="auto"/>
              </w:rPr>
              <w:t>Use any touch-tone telephone to transmit your voting instructions until 11:59 P.M. Eastern Time on Wednesday, May 13, 2026. Have</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your proxy card in hand when you call and then follow the instructions.</w:t>
            </w:r>
          </w:p>
        </w:tc>
        <w:tc>
          <w:tcPr>
            <w:tcW w:w="0" w:type="dxa"/>
            <w:vAlign w:val="bottom"/>
          </w:tcPr>
          <w:p>
            <w:pPr>
              <w:spacing w:after="0"/>
              <w:rPr>
                <w:sz w:val="1"/>
                <w:szCs w:val="1"/>
                <w:color w:val="auto"/>
              </w:rPr>
            </w:pPr>
          </w:p>
        </w:tc>
      </w:tr>
      <w:tr>
        <w:trPr>
          <w:trHeight w:val="158"/>
        </w:trPr>
        <w:tc>
          <w:tcPr>
            <w:tcW w:w="2900" w:type="dxa"/>
            <w:vAlign w:val="bottom"/>
          </w:tcPr>
          <w:p>
            <w:pPr>
              <w:spacing w:after="0"/>
              <w:rPr>
                <w:sz w:val="13"/>
                <w:szCs w:val="13"/>
                <w:color w:val="auto"/>
              </w:rPr>
            </w:pPr>
          </w:p>
        </w:tc>
        <w:tc>
          <w:tcPr>
            <w:tcW w:w="8240" w:type="dxa"/>
            <w:vAlign w:val="bottom"/>
            <w:gridSpan w:val="3"/>
          </w:tcPr>
          <w:p>
            <w:pPr>
              <w:ind w:left="540"/>
              <w:spacing w:after="0" w:line="159" w:lineRule="exact"/>
              <w:rPr>
                <w:sz w:val="20"/>
                <w:szCs w:val="20"/>
                <w:color w:val="auto"/>
              </w:rPr>
            </w:pPr>
            <w:r>
              <w:rPr>
                <w:rFonts w:ascii="Times New Roman" w:cs="Times New Roman" w:eastAsia="Times New Roman" w:hAnsi="Times New Roman"/>
                <w:sz w:val="14"/>
                <w:szCs w:val="14"/>
                <w:b w:val="1"/>
                <w:bCs w:val="1"/>
                <w:color w:val="auto"/>
              </w:rPr>
              <w:t>VOTE BY MAIL</w:t>
            </w:r>
          </w:p>
        </w:tc>
        <w:tc>
          <w:tcPr>
            <w:tcW w:w="0" w:type="dxa"/>
            <w:vAlign w:val="bottom"/>
          </w:tcPr>
          <w:p>
            <w:pPr>
              <w:spacing w:after="0"/>
              <w:rPr>
                <w:sz w:val="1"/>
                <w:szCs w:val="1"/>
                <w:color w:val="auto"/>
              </w:rPr>
            </w:pPr>
          </w:p>
        </w:tc>
      </w:tr>
      <w:tr>
        <w:trPr>
          <w:trHeight w:val="139"/>
        </w:trPr>
        <w:tc>
          <w:tcPr>
            <w:tcW w:w="2900" w:type="dxa"/>
            <w:vAlign w:val="bottom"/>
          </w:tcPr>
          <w:p>
            <w:pPr>
              <w:spacing w:after="0"/>
              <w:rPr>
                <w:sz w:val="12"/>
                <w:szCs w:val="12"/>
                <w:color w:val="auto"/>
              </w:rPr>
            </w:pPr>
          </w:p>
        </w:tc>
        <w:tc>
          <w:tcPr>
            <w:tcW w:w="8240" w:type="dxa"/>
            <w:vAlign w:val="bottom"/>
            <w:gridSpan w:val="3"/>
          </w:tcPr>
          <w:p>
            <w:pPr>
              <w:ind w:left="540"/>
              <w:spacing w:after="0" w:line="139" w:lineRule="exact"/>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w:t>
            </w:r>
          </w:p>
        </w:tc>
        <w:tc>
          <w:tcPr>
            <w:tcW w:w="0" w:type="dxa"/>
            <w:vAlign w:val="bottom"/>
          </w:tcPr>
          <w:p>
            <w:pPr>
              <w:spacing w:after="0"/>
              <w:rPr>
                <w:sz w:val="1"/>
                <w:szCs w:val="1"/>
                <w:color w:val="auto"/>
              </w:rPr>
            </w:pPr>
          </w:p>
        </w:tc>
      </w:tr>
      <w:tr>
        <w:trPr>
          <w:trHeight w:val="188"/>
        </w:trPr>
        <w:tc>
          <w:tcPr>
            <w:tcW w:w="2900" w:type="dxa"/>
            <w:vAlign w:val="bottom"/>
          </w:tcPr>
          <w:p>
            <w:pPr>
              <w:spacing w:after="0"/>
              <w:rPr>
                <w:sz w:val="16"/>
                <w:szCs w:val="16"/>
                <w:color w:val="auto"/>
              </w:rPr>
            </w:pPr>
          </w:p>
        </w:tc>
        <w:tc>
          <w:tcPr>
            <w:tcW w:w="82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Broadridge, 51 Mercedes Way, Edgewood, NY 11717.</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4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D73469-P68072 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7157720" cy="336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35"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149465" cy="33515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335153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NMI HOLDINGS, INC.</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w:t>
      </w:r>
    </w:p>
    <w:p>
      <w:pPr>
        <w:spacing w:after="0" w:line="6" w:lineRule="exact"/>
        <w:rPr>
          <w:sz w:val="20"/>
          <w:szCs w:val="20"/>
          <w:color w:val="auto"/>
        </w:rPr>
      </w:pPr>
    </w:p>
    <w:p>
      <w:pPr>
        <w:ind w:left="40"/>
        <w:spacing w:after="0" w:line="229" w:lineRule="auto"/>
        <w:rPr>
          <w:sz w:val="20"/>
          <w:szCs w:val="20"/>
          <w:color w:val="auto"/>
        </w:rPr>
      </w:pPr>
      <w:r>
        <w:rPr>
          <w:rFonts w:ascii="Times New Roman" w:cs="Times New Roman" w:eastAsia="Times New Roman" w:hAnsi="Times New Roman"/>
          <w:sz w:val="14"/>
          <w:szCs w:val="14"/>
          <w:b w:val="1"/>
          <w:bCs w:val="1"/>
          <w:color w:val="auto"/>
        </w:rPr>
        <w:t>Election of Directors, FOR Proposal 2 and FOR Proposal 3</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Withhold</w:t>
            </w:r>
          </w:p>
        </w:tc>
        <w:tc>
          <w:tcPr>
            <w:tcW w:w="64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For All</w:t>
            </w:r>
          </w:p>
        </w:tc>
        <w:tc>
          <w:tcPr>
            <w:tcW w:w="51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withhold authority to vote for any individual nominee(s), mark "For All Except" and</w:t>
            </w:r>
          </w:p>
        </w:tc>
      </w:tr>
      <w:tr>
        <w:trPr>
          <w:trHeight w:val="160"/>
        </w:trPr>
        <w:tc>
          <w:tcPr>
            <w:tcW w:w="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All</w:t>
            </w:r>
          </w:p>
        </w:tc>
        <w:tc>
          <w:tcPr>
            <w:tcW w:w="980" w:type="dxa"/>
            <w:vAlign w:val="bottom"/>
            <w:gridSpan w:val="3"/>
          </w:tcPr>
          <w:p>
            <w:pPr>
              <w:jc w:val="center"/>
              <w:ind w:left="8"/>
              <w:spacing w:after="0" w:line="160" w:lineRule="exact"/>
              <w:rPr>
                <w:sz w:val="20"/>
                <w:szCs w:val="20"/>
                <w:color w:val="auto"/>
              </w:rPr>
            </w:pPr>
            <w:r>
              <w:rPr>
                <w:rFonts w:ascii="Times New Roman" w:cs="Times New Roman" w:eastAsia="Times New Roman" w:hAnsi="Times New Roman"/>
                <w:sz w:val="14"/>
                <w:szCs w:val="14"/>
                <w:b w:val="1"/>
                <w:bCs w:val="1"/>
                <w:color w:val="auto"/>
              </w:rPr>
              <w:t>All</w:t>
            </w:r>
          </w:p>
        </w:tc>
        <w:tc>
          <w:tcPr>
            <w:tcW w:w="64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Except</w:t>
            </w:r>
          </w:p>
        </w:tc>
        <w:tc>
          <w:tcPr>
            <w:tcW w:w="5120" w:type="dxa"/>
            <w:vAlign w:val="bottom"/>
          </w:tcPr>
          <w:p>
            <w:pPr>
              <w:ind w:left="60"/>
              <w:spacing w:after="0" w:line="160" w:lineRule="exact"/>
              <w:rPr>
                <w:sz w:val="20"/>
                <w:szCs w:val="20"/>
                <w:color w:val="auto"/>
              </w:rPr>
            </w:pPr>
            <w:r>
              <w:rPr>
                <w:rFonts w:ascii="Times New Roman" w:cs="Times New Roman" w:eastAsia="Times New Roman" w:hAnsi="Times New Roman"/>
                <w:sz w:val="14"/>
                <w:szCs w:val="14"/>
                <w:color w:val="auto"/>
              </w:rPr>
              <w:t>write the number(s) of the nominee(s) on the line below.</w:t>
            </w:r>
          </w:p>
        </w:tc>
      </w:tr>
      <w:tr>
        <w:trPr>
          <w:trHeight w:val="418"/>
        </w:trPr>
        <w:tc>
          <w:tcPr>
            <w:tcW w:w="20" w:type="dxa"/>
            <w:vAlign w:val="bottom"/>
          </w:tcPr>
          <w:p>
            <w:pPr>
              <w:spacing w:after="0"/>
              <w:rPr>
                <w:sz w:val="24"/>
                <w:szCs w:val="24"/>
                <w:color w:val="auto"/>
              </w:rPr>
            </w:pPr>
          </w:p>
        </w:tc>
        <w:tc>
          <w:tcPr>
            <w:tcW w:w="180" w:type="dxa"/>
            <w:vAlign w:val="bottom"/>
            <w:tcBorders>
              <w:top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w w:val="70"/>
              </w:rPr>
              <w:t>ú</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jc w:val="center"/>
              <w:spacing w:after="0"/>
              <w:rPr>
                <w:sz w:val="20"/>
                <w:szCs w:val="20"/>
                <w:color w:val="auto"/>
              </w:rPr>
            </w:pPr>
            <w:r>
              <w:rPr>
                <w:rFonts w:ascii="Wingdings" w:cs="Wingdings" w:eastAsia="Wingdings" w:hAnsi="Wingdings"/>
                <w:sz w:val="14"/>
                <w:szCs w:val="14"/>
                <w:b w:val="1"/>
                <w:bCs w:val="1"/>
                <w:color w:val="auto"/>
                <w:w w:val="71"/>
              </w:rPr>
              <w:t>ú</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Borders>
              <w:top w:val="single" w:sz="8" w:color="auto"/>
            </w:tcBorders>
          </w:tcPr>
          <w:p>
            <w:pPr>
              <w:jc w:val="center"/>
              <w:spacing w:after="0"/>
              <w:rPr>
                <w:sz w:val="20"/>
                <w:szCs w:val="20"/>
                <w:color w:val="auto"/>
              </w:rPr>
            </w:pPr>
            <w:r>
              <w:rPr>
                <w:rFonts w:ascii="Wingdings" w:cs="Wingdings" w:eastAsia="Wingdings" w:hAnsi="Wingdings"/>
                <w:sz w:val="17"/>
                <w:szCs w:val="17"/>
                <w:b w:val="1"/>
                <w:bCs w:val="1"/>
                <w:color w:val="auto"/>
                <w:w w:val="70"/>
              </w:rPr>
              <w:t>ú</w:t>
            </w:r>
          </w:p>
        </w:tc>
        <w:tc>
          <w:tcPr>
            <w:tcW w:w="8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spacing w:after="0" w:line="78" w:lineRule="exact"/>
        <w:rPr>
          <w:sz w:val="20"/>
          <w:szCs w:val="20"/>
          <w:color w:val="auto"/>
        </w:rPr>
      </w:pPr>
    </w:p>
    <w:p>
      <w:pPr>
        <w:sectPr>
          <w:pgSz w:w="11900" w:h="16838" w:orient="portrait"/>
          <w:cols w:equalWidth="0" w:num="2">
            <w:col w:w="3520" w:space="320"/>
            <w:col w:w="7420"/>
          </w:cols>
          <w:pgMar w:left="320" w:top="1440" w:right="319" w:bottom="1440" w:gutter="0" w:footer="0" w:header="0"/>
          <w:type w:val="continuous"/>
        </w:sectPr>
      </w:pPr>
    </w:p>
    <w:p>
      <w:pPr>
        <w:ind w:left="880" w:hanging="503"/>
        <w:spacing w:after="0"/>
        <w:tabs>
          <w:tab w:leader="none" w:pos="88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Directors</w:t>
      </w:r>
    </w:p>
    <w:p>
      <w:pPr>
        <w:spacing w:after="0" w:line="39" w:lineRule="exact"/>
        <w:rPr>
          <w:rFonts w:ascii="Times New Roman" w:cs="Times New Roman" w:eastAsia="Times New Roman" w:hAnsi="Times New Roman"/>
          <w:sz w:val="14"/>
          <w:szCs w:val="14"/>
          <w:color w:val="auto"/>
        </w:rPr>
      </w:pPr>
    </w:p>
    <w:p>
      <w:pPr>
        <w:ind w:left="8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Nominees:</w:t>
      </w:r>
    </w:p>
    <w:p>
      <w:pPr>
        <w:spacing w:after="0" w:line="44" w:lineRule="exact"/>
        <w:rPr>
          <w:sz w:val="20"/>
          <w:szCs w:val="20"/>
          <w:color w:val="auto"/>
        </w:rPr>
      </w:pPr>
    </w:p>
    <w:tbl>
      <w:tblPr>
        <w:tblLayout w:type="fixed"/>
        <w:tblInd w:w="520" w:type="dxa"/>
        <w:tblCellMar>
          <w:top w:w="0" w:type="dxa"/>
          <w:left w:w="0" w:type="dxa"/>
          <w:bottom w:w="0" w:type="dxa"/>
          <w:right w:w="0" w:type="dxa"/>
        </w:tblCellMar>
      </w:tblPr>
      <w:tr>
        <w:trPr>
          <w:trHeight w:val="188"/>
        </w:trPr>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01)</w:t>
            </w:r>
          </w:p>
        </w:tc>
        <w:tc>
          <w:tcPr>
            <w:tcW w:w="2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Bradley M. Shuster</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04)</w:t>
            </w:r>
          </w:p>
        </w:tc>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Michael Embler</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07)</w:t>
            </w: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Lynn S. McCreary</w:t>
            </w:r>
          </w:p>
        </w:tc>
      </w:tr>
      <w:tr>
        <w:trPr>
          <w:trHeight w:val="203"/>
        </w:trPr>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02)</w:t>
            </w:r>
          </w:p>
        </w:tc>
        <w:tc>
          <w:tcPr>
            <w:tcW w:w="2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Adam S. Pollitzer</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John C. Erickson</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08)</w:t>
            </w: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99"/>
              </w:rPr>
              <w:t>Michael Montgomery</w:t>
            </w:r>
          </w:p>
        </w:tc>
      </w:tr>
      <w:tr>
        <w:trPr>
          <w:trHeight w:val="203"/>
        </w:trPr>
        <w:tc>
          <w:tcPr>
            <w:tcW w:w="2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03)</w:t>
            </w:r>
          </w:p>
        </w:tc>
        <w:tc>
          <w:tcPr>
            <w:tcW w:w="20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Renu Agrawal</w:t>
            </w:r>
          </w:p>
        </w:tc>
        <w:tc>
          <w:tcPr>
            <w:tcW w:w="11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2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Priya Huskins</w:t>
            </w:r>
          </w:p>
        </w:tc>
        <w:tc>
          <w:tcPr>
            <w:tcW w:w="1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09)</w:t>
            </w:r>
          </w:p>
        </w:tc>
        <w:tc>
          <w:tcPr>
            <w:tcW w:w="1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Steven L. Scheid</w:t>
            </w:r>
          </w:p>
        </w:tc>
      </w:tr>
    </w:tbl>
    <w:p>
      <w:pPr>
        <w:spacing w:after="0" w:line="65"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500" w:type="dxa"/>
            <w:vAlign w:val="bottom"/>
          </w:tcPr>
          <w:p>
            <w:pPr>
              <w:spacing w:after="0"/>
              <w:rPr>
                <w:sz w:val="13"/>
                <w:szCs w:val="13"/>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213"/>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75"/>
              </w:rPr>
              <w:t>2.</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Advisory approval of NMI Holdings, Inc.'s executive compensation.</w:t>
            </w:r>
          </w:p>
        </w:tc>
        <w:tc>
          <w:tcPr>
            <w:tcW w:w="20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71"/>
              </w:rPr>
              <w:t>ú</w:t>
            </w:r>
          </w:p>
        </w:tc>
        <w:tc>
          <w:tcPr>
            <w:tcW w:w="50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44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7"/>
                <w:szCs w:val="17"/>
                <w:b w:val="1"/>
                <w:bCs w:val="1"/>
                <w:color w:val="auto"/>
                <w:w w:val="70"/>
              </w:rPr>
              <w:t>ú</w:t>
            </w:r>
          </w:p>
        </w:tc>
        <w:tc>
          <w:tcPr>
            <w:tcW w:w="860" w:type="dxa"/>
            <w:vAlign w:val="bottom"/>
          </w:tcPr>
          <w:p>
            <w:pPr>
              <w:spacing w:after="0"/>
              <w:rPr>
                <w:sz w:val="18"/>
                <w:szCs w:val="18"/>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71"/>
              </w:rPr>
              <w:t>ú</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500" w:type="dxa"/>
            <w:vAlign w:val="bottom"/>
          </w:tcPr>
          <w:p>
            <w:pPr>
              <w:spacing w:after="0"/>
              <w:rPr>
                <w:sz w:val="18"/>
                <w:szCs w:val="18"/>
                <w:color w:val="auto"/>
              </w:rPr>
            </w:pPr>
          </w:p>
        </w:tc>
        <w:tc>
          <w:tcPr>
            <w:tcW w:w="18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color w:val="auto"/>
              </w:rPr>
              <w:t>Against</w:t>
            </w: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c>
          <w:tcPr>
            <w:tcW w:w="0" w:type="dxa"/>
            <w:vAlign w:val="bottom"/>
          </w:tcPr>
          <w:p>
            <w:pPr>
              <w:spacing w:after="0"/>
              <w:rPr>
                <w:sz w:val="1"/>
                <w:szCs w:val="1"/>
                <w:color w:val="auto"/>
              </w:rPr>
            </w:pPr>
          </w:p>
        </w:tc>
      </w:tr>
      <w:tr>
        <w:trPr>
          <w:trHeight w:val="213"/>
        </w:trPr>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75"/>
              </w:rPr>
              <w:t>3.</w:t>
            </w:r>
          </w:p>
        </w:tc>
        <w:tc>
          <w:tcPr>
            <w:tcW w:w="71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Ratification of the appointment of BDO USA, P.C. as NMI Holdings, Inc.'s independent auditors.</w:t>
            </w:r>
          </w:p>
        </w:tc>
        <w:tc>
          <w:tcPr>
            <w:tcW w:w="20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71"/>
              </w:rPr>
              <w:t>ú</w:t>
            </w:r>
          </w:p>
        </w:tc>
        <w:tc>
          <w:tcPr>
            <w:tcW w:w="500" w:type="dxa"/>
            <w:vAlign w:val="bottom"/>
          </w:tcPr>
          <w:p>
            <w:pPr>
              <w:spacing w:after="0"/>
              <w:rPr>
                <w:sz w:val="18"/>
                <w:szCs w:val="18"/>
                <w:color w:val="auto"/>
              </w:rPr>
            </w:pPr>
          </w:p>
        </w:tc>
        <w:tc>
          <w:tcPr>
            <w:tcW w:w="500" w:type="dxa"/>
            <w:vAlign w:val="bottom"/>
            <w:vMerge w:val="restart"/>
          </w:tcPr>
          <w:p>
            <w:pPr>
              <w:spacing w:after="0"/>
              <w:rPr>
                <w:sz w:val="18"/>
                <w:szCs w:val="18"/>
                <w:color w:val="auto"/>
              </w:rPr>
            </w:pPr>
          </w:p>
        </w:tc>
        <w:tc>
          <w:tcPr>
            <w:tcW w:w="44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7"/>
                <w:szCs w:val="17"/>
                <w:b w:val="1"/>
                <w:bCs w:val="1"/>
                <w:color w:val="auto"/>
                <w:w w:val="70"/>
              </w:rPr>
              <w:t>ú</w:t>
            </w:r>
          </w:p>
        </w:tc>
        <w:tc>
          <w:tcPr>
            <w:tcW w:w="860" w:type="dxa"/>
            <w:vAlign w:val="bottom"/>
          </w:tcPr>
          <w:p>
            <w:pPr>
              <w:spacing w:after="0"/>
              <w:rPr>
                <w:sz w:val="18"/>
                <w:szCs w:val="18"/>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Wingdings" w:cs="Wingdings" w:eastAsia="Wingdings" w:hAnsi="Wingdings"/>
                <w:sz w:val="14"/>
                <w:szCs w:val="14"/>
                <w:b w:val="1"/>
                <w:bCs w:val="1"/>
                <w:color w:val="auto"/>
                <w:w w:val="71"/>
              </w:rPr>
              <w:t>ú</w:t>
            </w:r>
          </w:p>
        </w:tc>
        <w:tc>
          <w:tcPr>
            <w:tcW w:w="0" w:type="dxa"/>
            <w:vAlign w:val="bottom"/>
          </w:tcPr>
          <w:p>
            <w:pPr>
              <w:spacing w:after="0"/>
              <w:rPr>
                <w:sz w:val="1"/>
                <w:szCs w:val="1"/>
                <w:color w:val="auto"/>
              </w:rPr>
            </w:pPr>
          </w:p>
        </w:tc>
      </w:tr>
      <w:tr>
        <w:trPr>
          <w:trHeight w:val="151"/>
        </w:trPr>
        <w:tc>
          <w:tcPr>
            <w:tcW w:w="30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right="3600"/>
        <w:spacing w:after="0" w:line="264" w:lineRule="auto"/>
        <w:rPr>
          <w:sz w:val="20"/>
          <w:szCs w:val="20"/>
          <w:color w:val="auto"/>
        </w:rPr>
      </w:pPr>
      <w:r>
        <w:rPr>
          <w:rFonts w:ascii="Times New Roman" w:cs="Times New Roman" w:eastAsia="Times New Roman" w:hAnsi="Times New Roman"/>
          <w:sz w:val="14"/>
          <w:szCs w:val="14"/>
          <w:b w:val="1"/>
          <w:bCs w:val="1"/>
          <w:color w:val="auto"/>
        </w:rPr>
        <w:t>NOTE</w:t>
      </w:r>
      <w:r>
        <w:rPr>
          <w:rFonts w:ascii="Times New Roman" w:cs="Times New Roman" w:eastAsia="Times New Roman" w:hAnsi="Times New Roman"/>
          <w:sz w:val="14"/>
          <w:szCs w:val="14"/>
          <w:color w:val="auto"/>
        </w:rPr>
        <w:t>: In their discretion, each of the proxies is authorized to vote upon such other business as may properly come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Annual Meeting or any adjournment thereof.</w:t>
      </w:r>
    </w:p>
    <w:p>
      <w:pPr>
        <w:spacing w:after="0" w:line="39" w:lineRule="exact"/>
        <w:rPr>
          <w:sz w:val="20"/>
          <w:szCs w:val="20"/>
          <w:color w:val="auto"/>
        </w:rPr>
      </w:pPr>
    </w:p>
    <w:p>
      <w:pPr>
        <w:ind w:left="380" w:right="380"/>
        <w:spacing w:after="0" w:line="261"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bl>
      <w:tblPr>
        <w:tblLayout w:type="fixed"/>
        <w:tblInd w:w="0" w:type="dxa"/>
        <w:tblCellMar>
          <w:top w:w="0" w:type="dxa"/>
          <w:left w:w="0" w:type="dxa"/>
          <w:bottom w:w="0" w:type="dxa"/>
          <w:right w:w="0" w:type="dxa"/>
        </w:tblCellMar>
      </w:tblPr>
      <w:tr>
        <w:trPr>
          <w:trHeight w:val="355"/>
        </w:trPr>
        <w:tc>
          <w:tcPr>
            <w:tcW w:w="380" w:type="dxa"/>
            <w:vAlign w:val="bottom"/>
            <w:tcBorders>
              <w:bottom w:val="single" w:sz="8" w:color="auto"/>
              <w:right w:val="single" w:sz="8" w:color="auto"/>
            </w:tcBorders>
          </w:tcPr>
          <w:p>
            <w:pPr>
              <w:spacing w:after="0"/>
              <w:rPr>
                <w:sz w:val="24"/>
                <w:szCs w:val="24"/>
                <w:color w:val="auto"/>
              </w:rPr>
            </w:pPr>
          </w:p>
        </w:tc>
        <w:tc>
          <w:tcPr>
            <w:tcW w:w="3980" w:type="dxa"/>
            <w:vAlign w:val="bottom"/>
            <w:tcBorders>
              <w:top w:val="single" w:sz="8" w:color="auto"/>
              <w:bottom w:val="single" w:sz="8" w:color="auto"/>
              <w:right w:val="single" w:sz="8" w:color="auto"/>
            </w:tcBorders>
          </w:tcPr>
          <w:p>
            <w:pPr>
              <w:spacing w:after="0"/>
              <w:rPr>
                <w:sz w:val="24"/>
                <w:szCs w:val="24"/>
                <w:color w:val="auto"/>
              </w:rPr>
            </w:pPr>
          </w:p>
        </w:tc>
        <w:tc>
          <w:tcPr>
            <w:tcW w:w="600" w:type="dxa"/>
            <w:vAlign w:val="bottom"/>
            <w:tcBorders>
              <w:top w:val="single" w:sz="8" w:color="auto"/>
              <w:bottom w:val="single" w:sz="8" w:color="auto"/>
              <w:right w:val="single" w:sz="8" w:color="auto"/>
            </w:tcBorders>
          </w:tcPr>
          <w:p>
            <w:pPr>
              <w:spacing w:after="0"/>
              <w:rPr>
                <w:sz w:val="24"/>
                <w:szCs w:val="24"/>
                <w:color w:val="auto"/>
              </w:rPr>
            </w:pPr>
          </w:p>
        </w:tc>
        <w:tc>
          <w:tcPr>
            <w:tcW w:w="340" w:type="dxa"/>
            <w:vAlign w:val="bottom"/>
            <w:tcBorders>
              <w:top w:val="single" w:sz="8" w:color="auto"/>
              <w:bottom w:val="single" w:sz="8" w:color="auto"/>
              <w:right w:val="single" w:sz="8" w:color="auto"/>
            </w:tcBorders>
          </w:tcPr>
          <w:p>
            <w:pPr>
              <w:spacing w:after="0"/>
              <w:rPr>
                <w:sz w:val="24"/>
                <w:szCs w:val="24"/>
                <w:color w:val="auto"/>
              </w:rPr>
            </w:pPr>
          </w:p>
        </w:tc>
        <w:tc>
          <w:tcPr>
            <w:tcW w:w="3320" w:type="dxa"/>
            <w:vAlign w:val="bottom"/>
            <w:tcBorders>
              <w:top w:val="single" w:sz="8" w:color="auto"/>
              <w:bottom w:val="single" w:sz="8" w:color="auto"/>
              <w:right w:val="single" w:sz="8" w:color="auto"/>
            </w:tcBorders>
          </w:tcPr>
          <w:p>
            <w:pPr>
              <w:spacing w:after="0"/>
              <w:rPr>
                <w:sz w:val="24"/>
                <w:szCs w:val="24"/>
                <w:color w:val="auto"/>
              </w:rPr>
            </w:pPr>
          </w:p>
        </w:tc>
        <w:tc>
          <w:tcPr>
            <w:tcW w:w="1320" w:type="dxa"/>
            <w:vAlign w:val="bottom"/>
            <w:tcBorders>
              <w:top w:val="single" w:sz="8" w:color="auto"/>
              <w:bottom w:val="single" w:sz="8" w:color="auto"/>
              <w:right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182"/>
        </w:trPr>
        <w:tc>
          <w:tcPr>
            <w:tcW w:w="38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Signature [PLEASE SIGN WITHIN BOX]</w:t>
            </w:r>
          </w:p>
        </w:tc>
        <w:tc>
          <w:tcPr>
            <w:tcW w:w="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Date</w:t>
            </w:r>
          </w:p>
        </w:tc>
        <w:tc>
          <w:tcPr>
            <w:tcW w:w="340" w:type="dxa"/>
            <w:vAlign w:val="bottom"/>
            <w:tcBorders>
              <w:right w:val="single" w:sz="8" w:color="auto"/>
            </w:tcBorders>
          </w:tcPr>
          <w:p>
            <w:pPr>
              <w:spacing w:after="0"/>
              <w:rPr>
                <w:sz w:val="15"/>
                <w:szCs w:val="15"/>
                <w:color w:val="auto"/>
              </w:rPr>
            </w:pPr>
          </w:p>
        </w:tc>
        <w:tc>
          <w:tcPr>
            <w:tcW w:w="33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Signature (Joint Owners)</w:t>
            </w: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380" w:type="dxa"/>
            <w:vAlign w:val="bottom"/>
            <w:tcBorders>
              <w:bottom w:val="single" w:sz="8" w:color="auto"/>
              <w:right w:val="single" w:sz="8" w:color="auto"/>
            </w:tcBorders>
          </w:tcPr>
          <w:p>
            <w:pPr>
              <w:spacing w:after="0"/>
              <w:rPr>
                <w:sz w:val="4"/>
                <w:szCs w:val="4"/>
                <w:color w:val="auto"/>
              </w:rPr>
            </w:pPr>
          </w:p>
        </w:tc>
        <w:tc>
          <w:tcPr>
            <w:tcW w:w="3980" w:type="dxa"/>
            <w:vAlign w:val="bottom"/>
            <w:tcBorders>
              <w:bottom w:val="single" w:sz="8" w:color="auto"/>
              <w:right w:val="single" w:sz="8" w:color="auto"/>
            </w:tcBorders>
          </w:tcPr>
          <w:p>
            <w:pPr>
              <w:spacing w:after="0"/>
              <w:rPr>
                <w:sz w:val="4"/>
                <w:szCs w:val="4"/>
                <w:color w:val="auto"/>
              </w:rPr>
            </w:pPr>
          </w:p>
        </w:tc>
        <w:tc>
          <w:tcPr>
            <w:tcW w:w="600" w:type="dxa"/>
            <w:vAlign w:val="bottom"/>
            <w:tcBorders>
              <w:bottom w:val="single" w:sz="8" w:color="auto"/>
              <w:right w:val="single" w:sz="8" w:color="auto"/>
            </w:tcBorders>
          </w:tcPr>
          <w:p>
            <w:pPr>
              <w:spacing w:after="0"/>
              <w:rPr>
                <w:sz w:val="4"/>
                <w:szCs w:val="4"/>
                <w:color w:val="auto"/>
              </w:rPr>
            </w:pPr>
          </w:p>
        </w:tc>
        <w:tc>
          <w:tcPr>
            <w:tcW w:w="34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101"/>
        </w:trPr>
        <w:tc>
          <w:tcPr>
            <w:tcW w:w="38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auto"/>
        </w:rPr>
        <w:t>To the Stockholders of NMI Holdings, Inc.:</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 xml:space="preserve">The </w:t>
      </w:r>
      <w:r>
        <w:rPr>
          <w:rFonts w:ascii="Arial" w:cs="Arial" w:eastAsia="Arial" w:hAnsi="Arial"/>
          <w:sz w:val="16"/>
          <w:szCs w:val="16"/>
          <w:color w:val="auto"/>
        </w:rPr>
        <w:t>2026</w:t>
      </w:r>
      <w:r>
        <w:rPr>
          <w:rFonts w:ascii="Arial" w:cs="Arial" w:eastAsia="Arial" w:hAnsi="Arial"/>
          <w:sz w:val="14"/>
          <w:szCs w:val="14"/>
          <w:color w:val="auto"/>
        </w:rPr>
        <w:t xml:space="preserve"> Annual Meeting of Stockholders (Annual Meeting) of NMI Holdings, Inc. (NMI) will be held as a virtual meeting on </w:t>
      </w:r>
      <w:r>
        <w:rPr>
          <w:rFonts w:ascii="Arial" w:cs="Arial" w:eastAsia="Arial" w:hAnsi="Arial"/>
          <w:sz w:val="16"/>
          <w:szCs w:val="16"/>
          <w:color w:val="auto"/>
        </w:rPr>
        <w:t>Thursday, May 14, 2026</w:t>
      </w:r>
      <w:r>
        <w:rPr>
          <w:rFonts w:ascii="Arial" w:cs="Arial" w:eastAsia="Arial" w:hAnsi="Arial"/>
          <w:sz w:val="14"/>
          <w:szCs w:val="14"/>
          <w:color w:val="auto"/>
        </w:rPr>
        <w:t xml:space="preserve">, at </w:t>
      </w:r>
      <w:r>
        <w:rPr>
          <w:rFonts w:ascii="Arial" w:cs="Arial" w:eastAsia="Arial" w:hAnsi="Arial"/>
          <w:sz w:val="16"/>
          <w:szCs w:val="16"/>
          <w:color w:val="auto"/>
        </w:rPr>
        <w:t>8:30 a.m. Pacific</w:t>
      </w:r>
      <w:r>
        <w:rPr>
          <w:rFonts w:ascii="Arial" w:cs="Arial" w:eastAsia="Arial" w:hAnsi="Arial"/>
          <w:sz w:val="14"/>
          <w:szCs w:val="14"/>
          <w:color w:val="auto"/>
        </w:rPr>
        <w:t xml:space="preserve"> </w:t>
      </w:r>
      <w:r>
        <w:rPr>
          <w:rFonts w:ascii="Arial" w:cs="Arial" w:eastAsia="Arial" w:hAnsi="Arial"/>
          <w:sz w:val="16"/>
          <w:szCs w:val="16"/>
          <w:color w:val="auto"/>
        </w:rPr>
        <w:t>Time</w:t>
      </w:r>
      <w:r>
        <w:rPr>
          <w:rFonts w:ascii="Arial" w:cs="Arial" w:eastAsia="Arial" w:hAnsi="Arial"/>
          <w:sz w:val="14"/>
          <w:szCs w:val="14"/>
          <w:color w:val="auto"/>
        </w:rPr>
        <w:t>, to vote on the following matters:</w:t>
      </w:r>
    </w:p>
    <w:p>
      <w:pPr>
        <w:spacing w:after="0" w:line="66" w:lineRule="exact"/>
        <w:rPr>
          <w:sz w:val="20"/>
          <w:szCs w:val="20"/>
          <w:color w:val="auto"/>
        </w:rPr>
      </w:pPr>
    </w:p>
    <w:p>
      <w:pPr>
        <w:ind w:left="940" w:hanging="284"/>
        <w:spacing w:after="0"/>
        <w:tabs>
          <w:tab w:leader="none" w:pos="9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Election of nine directors;</w:t>
      </w:r>
    </w:p>
    <w:p>
      <w:pPr>
        <w:spacing w:after="0" w:line="109" w:lineRule="exact"/>
        <w:rPr>
          <w:rFonts w:ascii="Arial" w:cs="Arial" w:eastAsia="Arial" w:hAnsi="Arial"/>
          <w:sz w:val="14"/>
          <w:szCs w:val="14"/>
          <w:color w:val="auto"/>
        </w:rPr>
      </w:pPr>
    </w:p>
    <w:p>
      <w:pPr>
        <w:ind w:left="920" w:hanging="264"/>
        <w:spacing w:after="0"/>
        <w:tabs>
          <w:tab w:leader="none" w:pos="9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Advisory approval of NMI's executive compensation; and</w:t>
      </w:r>
    </w:p>
    <w:p>
      <w:pPr>
        <w:spacing w:after="0" w:line="122" w:lineRule="exact"/>
        <w:rPr>
          <w:rFonts w:ascii="Arial" w:cs="Arial" w:eastAsia="Arial" w:hAnsi="Arial"/>
          <w:sz w:val="14"/>
          <w:szCs w:val="14"/>
          <w:color w:val="auto"/>
        </w:rPr>
      </w:pPr>
    </w:p>
    <w:p>
      <w:pPr>
        <w:ind w:left="940" w:hanging="284"/>
        <w:spacing w:after="0"/>
        <w:tabs>
          <w:tab w:leader="none" w:pos="9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Ratification of the appointment of BDO USA, P.C. as NMI's independent auditors.</w:t>
      </w:r>
    </w:p>
    <w:p>
      <w:pPr>
        <w:spacing w:after="0" w:line="12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also will transact any other business that may properly come before the Annual Meeting. The proxy statement contains information regarding the Annual Meeting, including information on the matters to be voted on prior to and during the Annual Meeting. Your vote is important. Whether or not you expect to attend the Annual Meeting, we encourage you to promptly vote these shares by one of the methods listed on the reverse side of this proxy card.</w:t>
      </w:r>
    </w:p>
    <w:p>
      <w:pPr>
        <w:spacing w:after="0" w:line="10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 xml:space="preserve">You will be able to attend the Annual Meeting via live audio webcast by visiting NMI's virtual meeting website at </w:t>
      </w:r>
      <w:r>
        <w:rPr>
          <w:rFonts w:ascii="Arial" w:cs="Arial" w:eastAsia="Arial" w:hAnsi="Arial"/>
          <w:sz w:val="14"/>
          <w:szCs w:val="14"/>
          <w:u w:val="single" w:color="auto"/>
          <w:color w:val="auto"/>
        </w:rPr>
        <w:t>www.virtualshareholdermeeting.com/NMIH2026</w:t>
      </w:r>
      <w:r>
        <w:rPr>
          <w:rFonts w:ascii="Arial" w:cs="Arial" w:eastAsia="Arial" w:hAnsi="Arial"/>
          <w:sz w:val="14"/>
          <w:szCs w:val="14"/>
          <w:color w:val="auto"/>
        </w:rPr>
        <w:t xml:space="preserve"> on Thursday, May 14, 2026, at 8:30 a.m. Pacific Time. Upon visiting the meeting website, you will be prompted to enter the 16-digit Control Number provided to you on the other side. The unique Control Number allows us to identify you as a stockholder and will enable you to securely log on, vote and submit questions during the Annual Meeting on the meeting website. Further instructions on how to attend and participate in the Annual Meeting via the Internet are available at www.proxyvote.com.</w:t>
      </w: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Sincerely,</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Bradley M. Shuster</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Executive Chairman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Notice and Proxy Statement and Annual Report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336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336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0160"/>
        <w:spacing w:after="0"/>
        <w:rPr>
          <w:sz w:val="20"/>
          <w:szCs w:val="20"/>
          <w:color w:val="auto"/>
        </w:rPr>
      </w:pPr>
      <w:r>
        <w:rPr>
          <w:rFonts w:ascii="Times New Roman" w:cs="Times New Roman" w:eastAsia="Times New Roman" w:hAnsi="Times New Roman"/>
          <w:sz w:val="16"/>
          <w:szCs w:val="16"/>
          <w:color w:val="auto"/>
        </w:rPr>
        <w:t>D73470-P68072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40575" cy="1551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0575" cy="1551940"/>
                    </a:xfrm>
                    <a:prstGeom prst="rect">
                      <a:avLst/>
                    </a:prstGeom>
                    <a:noFill/>
                  </pic:spPr>
                </pic:pic>
              </a:graphicData>
            </a:graphic>
          </wp:anchor>
        </w:drawing>
      </w:r>
    </w:p>
    <w:p>
      <w:pPr>
        <w:spacing w:after="0" w:line="1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3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 OF NMI HOLDINGS, INC</w:t>
      </w:r>
      <w:r>
        <w:rPr>
          <w:rFonts w:ascii="Times New Roman" w:cs="Times New Roman" w:eastAsia="Times New Roman" w:hAnsi="Times New Roman"/>
          <w:sz w:val="18"/>
          <w:szCs w:val="18"/>
          <w:color w:val="auto"/>
        </w:rPr>
        <w:t>.</w:t>
      </w:r>
    </w:p>
    <w:p>
      <w:pPr>
        <w:spacing w:after="0" w:line="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undersigned hereby appoints Bradley M. Shuster and William J. Leatherberry, and each of them, with power to act without the other and with</w:t>
      </w:r>
    </w:p>
    <w:p>
      <w:pPr>
        <w:jc w:val="both"/>
        <w:ind w:left="40" w:right="20"/>
        <w:spacing w:after="0" w:line="208" w:lineRule="auto"/>
        <w:rPr>
          <w:sz w:val="20"/>
          <w:szCs w:val="20"/>
          <w:color w:val="auto"/>
        </w:rPr>
      </w:pPr>
      <w:r>
        <w:rPr>
          <w:rFonts w:ascii="Times New Roman" w:cs="Times New Roman" w:eastAsia="Times New Roman" w:hAnsi="Times New Roman"/>
          <w:sz w:val="18"/>
          <w:szCs w:val="18"/>
          <w:color w:val="auto"/>
        </w:rPr>
        <w:t>power of substitution, as proxies and attorneys-in-fact and hereby authorizes them to represent and vote, as provided on the reverse side, all the shares of Common Stock of NMI Holdings, Inc. which the undersigned is entitled to vote and, in their discretion, to vote upon such other business as may properly come before the Annual Meeting of Stockholders of NMI Holdings, Inc. to be held on May 14, 2026 or any adjournment thereof, with all powers which</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undersigned would possess if present at the Annual Meeting.</w:t>
      </w:r>
    </w:p>
    <w:p>
      <w:pPr>
        <w:spacing w:after="0" w:line="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w:t>
      </w:r>
    </w:p>
    <w:p>
      <w:pPr>
        <w:jc w:val="both"/>
        <w:ind w:left="40" w:right="20"/>
        <w:spacing w:after="0" w:line="218" w:lineRule="auto"/>
        <w:rPr>
          <w:sz w:val="20"/>
          <w:szCs w:val="20"/>
          <w:color w:val="auto"/>
        </w:rPr>
      </w:pPr>
      <w:r>
        <w:rPr>
          <w:rFonts w:ascii="Times New Roman" w:cs="Times New Roman" w:eastAsia="Times New Roman" w:hAnsi="Times New Roman"/>
          <w:sz w:val="18"/>
          <w:szCs w:val="18"/>
          <w:b w:val="1"/>
          <w:bCs w:val="1"/>
          <w:color w:val="auto"/>
        </w:rPr>
        <w:t xml:space="preserve">UNDERSIGNED. IF NO DIRECTION IS MADE BUT THE CARD IS SIGNED, THIS PROXY CARD WILL BE VOTED (1)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ELECTION OF ALL NOMINEES UNDER PROPOSAL 1; (2)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2; (3)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PROPOSAL 3; AND (4) IN THE DISCRETION OF THE PROXIES WITH RESPECT TO SUCH OTHER BUSINESS AS MAY PROPERLY COME BEFORE THE MEETING.</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marked, dated and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243205</wp:posOffset>
            </wp:positionV>
            <wp:extent cx="6789420" cy="8778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o"/>
      <w:numFmt w:val="bullet"/>
      <w:start w:val="1"/>
    </w:lvl>
  </w:abstractNum>
  <w:abstractNum w:abstractNumId="1">
    <w:nsid w:val="51EAD36B"/>
    <w:multiLevelType w:val="hybridMultilevel"/>
    <w:lvl w:ilvl="0">
      <w:lvlJc w:val="left"/>
      <w:lvlText w:val="x"/>
      <w:numFmt w:val="bullet"/>
      <w:start w:val="1"/>
    </w:lvl>
  </w:abstractNum>
  <w:abstractNum w:abstractNumId="2">
    <w:nsid w:val="2D517796"/>
    <w:multiLevelType w:val="hybridMultilevel"/>
    <w:lvl w:ilvl="0">
      <w:lvlJc w:val="left"/>
      <w:lvlText w:val="o"/>
      <w:numFmt w:val="bullet"/>
      <w:start w:val="1"/>
    </w:lvl>
  </w:abstractNum>
  <w:abstractNum w:abstractNumId="3">
    <w:nsid w:val="580BD78F"/>
    <w:multiLevelType w:val="hybridMultilevel"/>
    <w:lvl w:ilvl="0">
      <w:lvlJc w:val="left"/>
      <w:lvlText w:val="x"/>
      <w:numFmt w:val="bullet"/>
      <w:start w:val="1"/>
    </w:lvl>
  </w:abstractNum>
  <w:abstractNum w:abstractNumId="4">
    <w:nsid w:val="153EA438"/>
    <w:multiLevelType w:val="hybridMultilevel"/>
    <w:lvl w:ilvl="0">
      <w:lvlJc w:val="left"/>
      <w:lvlText w:val="o"/>
      <w:numFmt w:val="bullet"/>
      <w:start w:val="1"/>
    </w:lvl>
  </w:abstractNum>
  <w:abstractNum w:abstractNumId="5">
    <w:nsid w:val="3855585C"/>
    <w:multiLevelType w:val="hybridMultilevel"/>
    <w:lvl w:ilvl="0">
      <w:lvlJc w:val="left"/>
      <w:lvlText w:val="1"/>
      <w:numFmt w:val="bullet"/>
      <w:start w:val="1"/>
    </w:lvl>
  </w:abstractNum>
  <w:abstractNum w:abstractNumId="6">
    <w:nsid w:val="70A64E2A"/>
    <w:multiLevelType w:val="hybridMultilevel"/>
    <w:lvl w:ilvl="0">
      <w:lvlJc w:val="left"/>
      <w:lvlText w:val="2"/>
      <w:numFmt w:val="bullet"/>
      <w:start w:val="1"/>
    </w:lvl>
  </w:abstractNum>
  <w:abstractNum w:abstractNumId="7">
    <w:nsid w:val="6A2342EC"/>
    <w:multiLevelType w:val="hybridMultilevel"/>
    <w:lvl w:ilvl="0">
      <w:lvlJc w:val="left"/>
      <w:lvlText w:val="3"/>
      <w:numFmt w:val="bullet"/>
      <w:start w:val="1"/>
    </w:lvl>
  </w:abstractNum>
  <w:abstractNum w:abstractNumId="8">
    <w:nsid w:val="2A487CB0"/>
    <w:multiLevelType w:val="hybridMultilevel"/>
    <w:lvl w:ilvl="0">
      <w:lvlJc w:val="left"/>
      <w:lvlText w:val="1"/>
      <w:numFmt w:val="bullet"/>
      <w:start w:val="1"/>
    </w:lvl>
  </w:abstractNum>
  <w:abstractNum w:abstractNumId="9">
    <w:nsid w:val="1D4ED43B"/>
    <w:multiLevelType w:val="hybridMultilevel"/>
    <w:lvl w:ilvl="0">
      <w:lvlJc w:val="left"/>
      <w:lvlText w:val="2"/>
      <w:numFmt w:val="bullet"/>
      <w:start w:val="1"/>
    </w:lvl>
  </w:abstractNum>
  <w:abstractNum w:abstractNumId="10">
    <w:nsid w:val="725A06FB"/>
    <w:multiLevelType w:val="hybridMultilevel"/>
    <w:lvl w:ilvl="0">
      <w:lvlJc w:val="left"/>
      <w:lvlText w:val="3"/>
      <w:numFmt w:val="bullet"/>
      <w:start w:val="1"/>
    </w:lvl>
  </w:abstractNum>
  <w:abstractNum w:abstractNumId="11">
    <w:nsid w:val="2CD89A32"/>
    <w:multiLevelType w:val="hybridMultilevel"/>
    <w:lvl w:ilvl="0">
      <w:lvlJc w:val="left"/>
      <w:lvlText w:val="%1."/>
      <w:numFmt w:val="decimal"/>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decimal"/>
      <w:start w:val="1"/>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lowerRoman"/>
      <w:start w:val="2"/>
    </w:lvl>
  </w:abstractNum>
  <w:abstractNum w:abstractNumId="29">
    <w:nsid w:val="520EEDD1"/>
    <w:multiLevelType w:val="hybridMultilevel"/>
    <w:lvl w:ilvl="0">
      <w:lvlJc w:val="left"/>
      <w:lvlText w:val="&amp;"/>
      <w:numFmt w:val="bullet"/>
      <w:start w:val="1"/>
    </w:lvl>
  </w:abstractNum>
  <w:abstractNum w:abstractNumId="30">
    <w:nsid w:val="374A3FE6"/>
    <w:multiLevelType w:val="hybridMultilevel"/>
    <w:lvl w:ilvl="0">
      <w:lvlJc w:val="left"/>
      <w:lvlText w:val="i"/>
      <w:numFmt w:val="bullet"/>
      <w:start w:val="1"/>
    </w:lvl>
  </w:abstractNum>
  <w:abstractNum w:abstractNumId="31">
    <w:nsid w:val="4F4EF005"/>
    <w:multiLevelType w:val="hybridMultilevel"/>
    <w:lvl w:ilvl="0">
      <w:lvlJc w:val="left"/>
      <w:lvlText w:val="%1"/>
      <w:numFmt w:val="lowerRoman"/>
      <w:start w:val="2"/>
    </w:lvl>
  </w:abstractNum>
  <w:abstractNum w:abstractNumId="32">
    <w:nsid w:val="23F9C13C"/>
    <w:multiLevelType w:val="hybridMultilevel"/>
    <w:lvl w:ilvl="0">
      <w:lvlJc w:val="left"/>
      <w:lvlText w:val="v"/>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lvl w:ilvl="1">
      <w:lvlJc w:val="left"/>
      <w:lvlText w:val="•"/>
      <w:numFmt w:val="bullet"/>
      <w:start w:val="1"/>
    </w:lvl>
  </w:abstractNum>
  <w:abstractNum w:abstractNumId="43">
    <w:nsid w:val="D34B6A8"/>
    <w:multiLevelType w:val="hybridMultilevel"/>
    <w:lvl w:ilvl="0">
      <w:lvlJc w:val="left"/>
      <w:lvlText w:val="\emdash "/>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lowerRoman"/>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1."/>
      <w:numFmt w:val="decimal"/>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lowerRoman"/>
      <w:start w:val="1"/>
    </w:lvl>
  </w:abstractNum>
  <w:abstractNum w:abstractNumId="63">
    <w:nsid w:val="98A3148"/>
    <w:multiLevelType w:val="hybridMultilevel"/>
    <w:lvl w:ilvl="0">
      <w:lvlJc w:val="left"/>
      <w:lvlText w:val="%1."/>
      <w:numFmt w:val="lowerRoman"/>
      <w:start w:val="1"/>
    </w:lvl>
  </w:abstractNum>
  <w:abstractNum w:abstractNumId="64">
    <w:nsid w:val="799D0247"/>
    <w:multiLevelType w:val="hybridMultilevel"/>
    <w:lvl w:ilvl="0">
      <w:lvlJc w:val="left"/>
      <w:lvlText w:val="%1."/>
      <w:numFmt w:val="lowerRoman"/>
      <w:start w:val="1"/>
    </w:lvl>
  </w:abstractNum>
  <w:abstractNum w:abstractNumId="65">
    <w:nsid w:val="6B94764"/>
    <w:multiLevelType w:val="hybridMultilevel"/>
    <w:lvl w:ilvl="0">
      <w:lvlJc w:val="left"/>
      <w:lvlText w:val="%1."/>
      <w:numFmt w:val="decimal"/>
      <w:start w:val="1"/>
    </w:lvl>
  </w:abstractNum>
  <w:abstractNum w:abstractNumId="66">
    <w:nsid w:val="42C296BD"/>
    <w:multiLevelType w:val="hybridMultilevel"/>
    <w:lvl w:ilvl="0">
      <w:lvlJc w:val="left"/>
      <w:lvlText w:val="%1."/>
      <w:numFmt w:val="decimal"/>
      <w:start w:val="2"/>
    </w:lvl>
  </w:abstractNum>
  <w:abstractNum w:abstractNumId="67">
    <w:nsid w:val="168E121F"/>
    <w:multiLevelType w:val="hybridMultilevel"/>
    <w:lvl w:ilvl="0">
      <w:lvlJc w:val="left"/>
      <w:lvlText w:val="%1."/>
      <w:numFmt w:val="decimal"/>
      <w:start w:val="1"/>
    </w:lvl>
    <w:lvl w:ilvl="1">
      <w:lvlJc w:val="left"/>
      <w:lvlText w:val="•"/>
      <w:numFmt w:val="bullet"/>
      <w:start w:val="1"/>
    </w:lvl>
  </w:abstractNum>
  <w:abstractNum w:abstractNumId="68">
    <w:nsid w:val="1EBA5D23"/>
    <w:multiLevelType w:val="hybridMultilevel"/>
    <w:lvl w:ilvl="0">
      <w:lvlJc w:val="left"/>
      <w:lvlText w:val="(%1)"/>
      <w:numFmt w:val="lowerRoman"/>
      <w:start w:val="1"/>
    </w:lvl>
  </w:abstractNum>
  <w:abstractNum w:abstractNumId="69">
    <w:nsid w:val="661E3F1E"/>
    <w:multiLevelType w:val="hybridMultilevel"/>
    <w:lvl w:ilvl="0">
      <w:lvlJc w:val="left"/>
      <w:lvlText w:val="%1."/>
      <w:numFmt w:val="lowerLetter"/>
      <w:start w:val="1"/>
    </w:lvl>
  </w:abstractNum>
  <w:abstractNum w:abstractNumId="70">
    <w:nsid w:val="5DC79EA8"/>
    <w:multiLevelType w:val="hybridMultilevel"/>
    <w:lvl w:ilvl="0">
      <w:lvlJc w:val="left"/>
      <w:lvlText w:val="%1."/>
      <w:numFmt w:val="decimal"/>
      <w:start w:val="3"/>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1."/>
      <w:numFmt w:val="decimal"/>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2026-03-26T15:52:37Z</dcterms:created>
  <dcterms:modified xsi:type="dcterms:W3CDTF">2026-03-26T15:52:37Z</dcterms:modified>
</cp:coreProperties>
</file>