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3" w:lineRule="exact"/>
        <w:rPr>
          <w:sz w:val="24"/>
          <w:szCs w:val="24"/>
          <w:color w:val="auto"/>
        </w:rPr>
      </w:pPr>
    </w:p>
    <w:p>
      <w:pPr>
        <w:ind w:left="660" w:hanging="40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1" w:lineRule="exact"/>
        <w:rPr>
          <w:sz w:val="24"/>
          <w:szCs w:val="24"/>
          <w:color w:val="auto"/>
        </w:rPr>
      </w:pPr>
    </w:p>
    <w:p>
      <w:pPr>
        <w:ind w:left="660"/>
        <w:spacing w:after="0"/>
        <w:tabs>
          <w:tab w:leader="none" w:pos="59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b w:val="1"/>
          <w:bCs w:val="1"/>
          <w:color w:val="auto"/>
        </w:rPr>
        <w:t>March 31, 2023</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56" w:lineRule="exact"/>
        <w:rPr>
          <w:sz w:val="24"/>
          <w:szCs w:val="24"/>
          <w:color w:val="auto"/>
        </w:rPr>
      </w:pPr>
    </w:p>
    <w:p>
      <w:pPr>
        <w:ind w:left="640" w:right="2120" w:hanging="404"/>
        <w:spacing w:after="0" w:line="278"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37"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gridSpan w:val="2"/>
          </w:tcPr>
          <w:p>
            <w:pPr>
              <w:jc w:val="center"/>
              <w:ind w:left="378"/>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spacing w:after="0"/>
              <w:rPr>
                <w:sz w:val="19"/>
                <w:szCs w:val="19"/>
                <w:color w:val="auto"/>
              </w:rPr>
            </w:pPr>
          </w:p>
        </w:tc>
        <w:tc>
          <w:tcPr>
            <w:tcW w:w="4560" w:type="dxa"/>
            <w:vAlign w:val="bottom"/>
            <w:gridSpan w:val="2"/>
          </w:tcPr>
          <w:p>
            <w:pPr>
              <w:jc w:val="right"/>
              <w:ind w:right="2638"/>
              <w:spacing w:after="0"/>
              <w:rPr>
                <w:sz w:val="20"/>
                <w:szCs w:val="20"/>
                <w:color w:val="auto"/>
              </w:rPr>
            </w:pPr>
            <w:r>
              <w:rPr>
                <w:rFonts w:ascii="Arial" w:cs="Arial" w:eastAsia="Arial" w:hAnsi="Arial"/>
                <w:sz w:val="18"/>
                <w:szCs w:val="18"/>
                <w:b w:val="1"/>
                <w:bCs w:val="1"/>
                <w:color w:val="auto"/>
              </w:rPr>
              <w:t>45-4914248</w:t>
            </w:r>
          </w:p>
        </w:tc>
      </w:tr>
      <w:tr>
        <w:trPr>
          <w:trHeight w:val="183"/>
        </w:trPr>
        <w:tc>
          <w:tcPr>
            <w:tcW w:w="4320" w:type="dxa"/>
            <w:vAlign w:val="bottom"/>
            <w:gridSpan w:val="2"/>
          </w:tcPr>
          <w:p>
            <w:pPr>
              <w:jc w:val="center"/>
              <w:ind w:left="378"/>
              <w:spacing w:after="0"/>
              <w:rPr>
                <w:sz w:val="20"/>
                <w:szCs w:val="20"/>
                <w:color w:val="auto"/>
              </w:rPr>
            </w:pPr>
            <w:r>
              <w:rPr>
                <w:rFonts w:ascii="Arial" w:cs="Arial" w:eastAsia="Arial" w:hAnsi="Arial"/>
                <w:sz w:val="14"/>
                <w:szCs w:val="14"/>
                <w:b w:val="1"/>
                <w:bCs w:val="1"/>
                <w:color w:val="auto"/>
                <w:w w:val="91"/>
              </w:rPr>
              <w:t>(State or other jurisdiction of incorporation or organization)</w:t>
            </w:r>
          </w:p>
        </w:tc>
        <w:tc>
          <w:tcPr>
            <w:tcW w:w="2380" w:type="dxa"/>
            <w:vAlign w:val="bottom"/>
          </w:tcPr>
          <w:p>
            <w:pPr>
              <w:spacing w:after="0"/>
              <w:rPr>
                <w:sz w:val="15"/>
                <w:szCs w:val="15"/>
                <w:color w:val="auto"/>
              </w:rPr>
            </w:pPr>
          </w:p>
        </w:tc>
        <w:tc>
          <w:tcPr>
            <w:tcW w:w="4560" w:type="dxa"/>
            <w:vAlign w:val="bottom"/>
            <w:gridSpan w:val="2"/>
          </w:tcPr>
          <w:p>
            <w:pPr>
              <w:jc w:val="center"/>
              <w:ind w:right="1658"/>
              <w:spacing w:after="0"/>
              <w:rPr>
                <w:sz w:val="20"/>
                <w:szCs w:val="20"/>
                <w:color w:val="auto"/>
              </w:rPr>
            </w:pPr>
            <w:r>
              <w:rPr>
                <w:rFonts w:ascii="Arial" w:cs="Arial" w:eastAsia="Arial" w:hAnsi="Arial"/>
                <w:sz w:val="14"/>
                <w:szCs w:val="14"/>
                <w:b w:val="1"/>
                <w:bCs w:val="1"/>
                <w:color w:val="auto"/>
                <w:w w:val="93"/>
              </w:rPr>
              <w:t>(I.R.S. Employer Identification No.)</w:t>
            </w:r>
          </w:p>
        </w:tc>
      </w:tr>
      <w:tr>
        <w:trPr>
          <w:trHeight w:val="344"/>
        </w:trPr>
        <w:tc>
          <w:tcPr>
            <w:tcW w:w="2500" w:type="dxa"/>
            <w:vAlign w:val="bottom"/>
          </w:tcPr>
          <w:p>
            <w:pPr>
              <w:ind w:left="900"/>
              <w:spacing w:after="0"/>
              <w:rPr>
                <w:sz w:val="20"/>
                <w:szCs w:val="20"/>
                <w:color w:val="auto"/>
              </w:rPr>
            </w:pPr>
            <w:r>
              <w:rPr>
                <w:rFonts w:ascii="Arial" w:cs="Arial" w:eastAsia="Arial" w:hAnsi="Arial"/>
                <w:sz w:val="18"/>
                <w:szCs w:val="18"/>
                <w:b w:val="1"/>
                <w:bCs w:val="1"/>
                <w:color w:val="auto"/>
                <w:w w:val="99"/>
              </w:rPr>
              <w:t>2100 Powell Street</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auto"/>
              </w:rPr>
              <w:t>Emeryville , CA</w:t>
            </w:r>
          </w:p>
        </w:tc>
        <w:tc>
          <w:tcPr>
            <w:tcW w:w="2380" w:type="dxa"/>
            <w:vAlign w:val="bottom"/>
          </w:tcPr>
          <w:p>
            <w:pPr>
              <w:spacing w:after="0"/>
              <w:rPr>
                <w:sz w:val="24"/>
                <w:szCs w:val="24"/>
                <w:color w:val="auto"/>
              </w:rPr>
            </w:pPr>
          </w:p>
        </w:tc>
        <w:tc>
          <w:tcPr>
            <w:tcW w:w="4560" w:type="dxa"/>
            <w:vAlign w:val="bottom"/>
            <w:gridSpan w:val="2"/>
          </w:tcPr>
          <w:p>
            <w:pPr>
              <w:jc w:val="right"/>
              <w:ind w:right="2838"/>
              <w:spacing w:after="0"/>
              <w:rPr>
                <w:sz w:val="20"/>
                <w:szCs w:val="20"/>
                <w:color w:val="auto"/>
              </w:rPr>
            </w:pPr>
            <w:r>
              <w:rPr>
                <w:rFonts w:ascii="Arial" w:cs="Arial" w:eastAsia="Arial" w:hAnsi="Arial"/>
                <w:sz w:val="18"/>
                <w:szCs w:val="18"/>
                <w:b w:val="1"/>
                <w:bCs w:val="1"/>
                <w:color w:val="auto"/>
              </w:rPr>
              <w:t>94608</w:t>
            </w:r>
          </w:p>
        </w:tc>
      </w:tr>
      <w:tr>
        <w:trPr>
          <w:trHeight w:val="183"/>
        </w:trPr>
        <w:tc>
          <w:tcPr>
            <w:tcW w:w="432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20" w:type="dxa"/>
            <w:vAlign w:val="bottom"/>
          </w:tcPr>
          <w:p>
            <w:pPr>
              <w:jc w:val="center"/>
              <w:ind w:right="2098"/>
              <w:spacing w:after="0"/>
              <w:rPr>
                <w:sz w:val="20"/>
                <w:szCs w:val="20"/>
                <w:color w:val="auto"/>
              </w:rPr>
            </w:pPr>
            <w:r>
              <w:rPr>
                <w:rFonts w:ascii="Arial" w:cs="Arial" w:eastAsia="Arial" w:hAnsi="Arial"/>
                <w:sz w:val="14"/>
                <w:szCs w:val="14"/>
                <w:b w:val="1"/>
                <w:bCs w:val="1"/>
                <w:color w:val="auto"/>
                <w:w w:val="95"/>
              </w:rPr>
              <w:t>(Zip Code)</w:t>
            </w:r>
          </w:p>
        </w:tc>
      </w:tr>
      <w:tr>
        <w:trPr>
          <w:trHeight w:val="542"/>
        </w:trPr>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8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3"/>
        </w:trPr>
        <w:tc>
          <w:tcPr>
            <w:tcW w:w="2500" w:type="dxa"/>
            <w:vAlign w:val="bottom"/>
          </w:tcPr>
          <w:p>
            <w:pPr>
              <w:spacing w:after="0"/>
              <w:rPr>
                <w:sz w:val="15"/>
                <w:szCs w:val="15"/>
                <w:color w:val="auto"/>
              </w:rPr>
            </w:pPr>
          </w:p>
        </w:tc>
        <w:tc>
          <w:tcPr>
            <w:tcW w:w="8760" w:type="dxa"/>
            <w:vAlign w:val="bottom"/>
            <w:gridSpan w:val="4"/>
          </w:tcPr>
          <w:p>
            <w:pPr>
              <w:jc w:val="center"/>
              <w:ind w:right="2438"/>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13"/>
        </w:trPr>
        <w:tc>
          <w:tcPr>
            <w:tcW w:w="2500" w:type="dxa"/>
            <w:vAlign w:val="bottom"/>
          </w:tcPr>
          <w:p>
            <w:pPr>
              <w:spacing w:after="0"/>
              <w:rPr>
                <w:sz w:val="24"/>
                <w:szCs w:val="24"/>
                <w:color w:val="auto"/>
              </w:rPr>
            </w:pPr>
          </w:p>
        </w:tc>
        <w:tc>
          <w:tcPr>
            <w:tcW w:w="8760" w:type="dxa"/>
            <w:vAlign w:val="bottom"/>
            <w:gridSpan w:val="4"/>
          </w:tcPr>
          <w:p>
            <w:pPr>
              <w:jc w:val="center"/>
              <w:ind w:right="2438"/>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Title of each class</w:t>
            </w:r>
          </w:p>
        </w:tc>
        <w:tc>
          <w:tcPr>
            <w:tcW w:w="23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9"/>
              </w:rPr>
              <w:t>Trading Symbol(s)</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Class A Common Stock, par value $0.01</w:t>
            </w:r>
          </w:p>
        </w:tc>
        <w:tc>
          <w:tcPr>
            <w:tcW w:w="23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rPr>
              <w:t>NMIH</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Nasdaq</w:t>
            </w:r>
          </w:p>
        </w:tc>
      </w:tr>
    </w:tbl>
    <w:p>
      <w:pPr>
        <w:spacing w:after="0" w:line="185" w:lineRule="exact"/>
        <w:rPr>
          <w:sz w:val="24"/>
          <w:szCs w:val="24"/>
          <w:color w:val="auto"/>
        </w:rPr>
      </w:pPr>
    </w:p>
    <w:p>
      <w:pPr>
        <w:jc w:val="both"/>
        <w:ind w:right="20"/>
        <w:spacing w:after="0" w:line="25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680" w:type="dxa"/>
            <w:vAlign w:val="bottom"/>
          </w:tcPr>
          <w:p>
            <w:pPr>
              <w:ind w:left="2340"/>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4680" w:type="dxa"/>
            <w:vAlign w:val="bottom"/>
          </w:tcPr>
          <w:p>
            <w:pPr>
              <w:ind w:left="2340"/>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7"/>
        </w:trPr>
        <w:tc>
          <w:tcPr>
            <w:tcW w:w="4680" w:type="dxa"/>
            <w:vAlign w:val="bottom"/>
            <w:vMerge w:val="restart"/>
          </w:tcPr>
          <w:p>
            <w:pPr>
              <w:spacing w:after="0"/>
              <w:rPr>
                <w:sz w:val="20"/>
                <w:szCs w:val="20"/>
                <w:color w:val="auto"/>
              </w:rPr>
            </w:pPr>
            <w:r>
              <w:rPr>
                <w:rFonts w:ascii="Arial" w:cs="Arial" w:eastAsia="Arial" w:hAnsi="Arial"/>
                <w:sz w:val="18"/>
                <w:szCs w:val="18"/>
                <w:color w:val="auto"/>
              </w:rPr>
              <w:t>Rule 12b-2 of the Exchange Act.</w:t>
            </w: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6"/>
        </w:trPr>
        <w:tc>
          <w:tcPr>
            <w:tcW w:w="468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20"/>
        <w:spacing w:after="0" w:line="22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April 28, 2023 was 83,279,910 shares.</w:t>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01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6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4360" w:type="dxa"/>
            <w:vAlign w:val="bottom"/>
            <w:gridSpan w:val="9"/>
            <w:shd w:val="clear" w:color="auto" w:fill="CCEEFF"/>
          </w:tcPr>
          <w:p>
            <w:pPr>
              <w:spacing w:after="0" w:line="185" w:lineRule="exact"/>
              <w:rPr>
                <w:sz w:val="20"/>
                <w:szCs w:val="20"/>
                <w:color w:val="auto"/>
              </w:rPr>
            </w:pPr>
            <w:r>
              <w:rPr>
                <w:rFonts w:ascii="Arial" w:cs="Arial" w:eastAsia="Arial" w:hAnsi="Arial"/>
                <w:sz w:val="18"/>
                <w:szCs w:val="18"/>
                <w:b w:val="1"/>
                <w:bCs w:val="1"/>
                <w:color w:val="0000FF"/>
                <w:w w:val="89"/>
              </w:rPr>
              <w:t>Cautionary Note Regarding Forward-Looking Statements</w:t>
            </w:r>
          </w:p>
        </w:tc>
        <w:tc>
          <w:tcPr>
            <w:tcW w:w="2960" w:type="dxa"/>
            <w:vAlign w:val="bottom"/>
            <w:gridSpan w:val="2"/>
            <w:shd w:val="clear" w:color="auto" w:fill="CCEEFF"/>
          </w:tcPr>
          <w:p>
            <w:pPr>
              <w:spacing w:after="0"/>
              <w:rPr>
                <w:sz w:val="16"/>
                <w:szCs w:val="16"/>
                <w:color w:val="auto"/>
              </w:rPr>
            </w:pPr>
          </w:p>
        </w:tc>
        <w:tc>
          <w:tcPr>
            <w:tcW w:w="3900" w:type="dxa"/>
            <w:vAlign w:val="bottom"/>
            <w:gridSpan w:val="4"/>
            <w:shd w:val="clear" w:color="auto" w:fill="CCEEFF"/>
          </w:tcPr>
          <w:p>
            <w:pPr>
              <w:jc w:val="right"/>
              <w:ind w:right="20"/>
              <w:spacing w:after="0" w:line="185" w:lineRule="exact"/>
              <w:rPr>
                <w:sz w:val="20"/>
                <w:szCs w:val="20"/>
                <w:color w:val="auto"/>
              </w:rPr>
            </w:pPr>
            <w:r>
              <w:rPr>
                <w:rFonts w:ascii="Arial" w:cs="Arial" w:eastAsia="Arial" w:hAnsi="Arial"/>
                <w:sz w:val="18"/>
                <w:szCs w:val="18"/>
                <w:color w:val="0000FF"/>
              </w:rPr>
              <w:t>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line="185" w:lineRule="exact"/>
              <w:rPr>
                <w:sz w:val="20"/>
                <w:szCs w:val="20"/>
                <w:color w:val="auto"/>
              </w:rPr>
            </w:pPr>
            <w:r>
              <w:rPr>
                <w:rFonts w:ascii="Arial" w:cs="Arial" w:eastAsia="Arial" w:hAnsi="Arial"/>
                <w:sz w:val="18"/>
                <w:szCs w:val="18"/>
                <w:b w:val="1"/>
                <w:bCs w:val="1"/>
                <w:color w:val="0000FF"/>
                <w:w w:val="91"/>
              </w:rPr>
              <w:t>PART I</w:t>
            </w:r>
          </w:p>
        </w:tc>
        <w:tc>
          <w:tcPr>
            <w:tcW w:w="4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900" w:type="dxa"/>
            <w:vAlign w:val="bottom"/>
            <w:gridSpan w:val="4"/>
          </w:tcPr>
          <w:p>
            <w:pPr>
              <w:jc w:val="right"/>
              <w:ind w:right="20"/>
              <w:spacing w:after="0" w:line="185" w:lineRule="exact"/>
              <w:rPr>
                <w:sz w:val="20"/>
                <w:szCs w:val="20"/>
                <w:color w:val="auto"/>
              </w:rPr>
            </w:pPr>
            <w:r>
              <w:rPr>
                <w:rFonts w:ascii="Arial" w:cs="Arial" w:eastAsia="Arial" w:hAnsi="Arial"/>
                <w:sz w:val="18"/>
                <w:szCs w:val="18"/>
                <w:color w:val="0000FF"/>
              </w:rPr>
              <w:t>5</w:t>
            </w:r>
          </w:p>
        </w:tc>
      </w:tr>
      <w:tr>
        <w:trPr>
          <w:trHeight w:val="30"/>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1.</w:t>
            </w:r>
          </w:p>
        </w:tc>
        <w:tc>
          <w:tcPr>
            <w:tcW w:w="62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Financial Statements</w:t>
            </w:r>
          </w:p>
        </w:tc>
        <w:tc>
          <w:tcPr>
            <w:tcW w:w="3900" w:type="dxa"/>
            <w:vAlign w:val="bottom"/>
            <w:gridSpan w:val="4"/>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2.</w:t>
            </w:r>
          </w:p>
        </w:tc>
        <w:tc>
          <w:tcPr>
            <w:tcW w:w="6280" w:type="dxa"/>
            <w:vAlign w:val="bottom"/>
            <w:gridSpan w:val="8"/>
          </w:tcPr>
          <w:p>
            <w:pPr>
              <w:spacing w:after="0" w:line="185"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26</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3.</w:t>
            </w:r>
          </w:p>
        </w:tc>
        <w:tc>
          <w:tcPr>
            <w:tcW w:w="62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4.</w:t>
            </w:r>
          </w:p>
        </w:tc>
        <w:tc>
          <w:tcPr>
            <w:tcW w:w="1720" w:type="dxa"/>
            <w:vAlign w:val="bottom"/>
            <w:gridSpan w:val="5"/>
          </w:tcPr>
          <w:p>
            <w:pPr>
              <w:spacing w:after="0" w:line="185" w:lineRule="exact"/>
              <w:rPr>
                <w:sz w:val="20"/>
                <w:szCs w:val="20"/>
                <w:color w:val="auto"/>
              </w:rPr>
            </w:pPr>
            <w:r>
              <w:rPr>
                <w:rFonts w:ascii="Arial" w:cs="Arial" w:eastAsia="Arial" w:hAnsi="Arial"/>
                <w:sz w:val="18"/>
                <w:szCs w:val="18"/>
                <w:color w:val="0000FF"/>
                <w:w w:val="85"/>
              </w:rPr>
              <w:t>Controls and Procedures</w:t>
            </w:r>
          </w:p>
        </w:tc>
        <w:tc>
          <w:tcPr>
            <w:tcW w:w="2520" w:type="dxa"/>
            <w:vAlign w:val="bottom"/>
            <w:gridSpan w:val="2"/>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0000FF"/>
              </w:rPr>
              <w:t>PART II</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ind w:left="120"/>
              <w:spacing w:after="0" w:line="185" w:lineRule="exact"/>
              <w:rPr>
                <w:sz w:val="20"/>
                <w:szCs w:val="20"/>
                <w:color w:val="auto"/>
              </w:rPr>
            </w:pPr>
            <w:r>
              <w:rPr>
                <w:rFonts w:ascii="Arial" w:cs="Arial" w:eastAsia="Arial" w:hAnsi="Arial"/>
                <w:sz w:val="18"/>
                <w:szCs w:val="18"/>
                <w:color w:val="auto"/>
                <w:w w:val="76"/>
              </w:rPr>
              <w:t>Item 1.</w:t>
            </w:r>
          </w:p>
        </w:tc>
        <w:tc>
          <w:tcPr>
            <w:tcW w:w="460" w:type="dxa"/>
            <w:vAlign w:val="bottom"/>
            <w:gridSpan w:val="2"/>
          </w:tcPr>
          <w:p>
            <w:pPr>
              <w:spacing w:after="0"/>
              <w:rPr>
                <w:sz w:val="16"/>
                <w:szCs w:val="16"/>
                <w:color w:val="auto"/>
              </w:rPr>
            </w:pPr>
          </w:p>
        </w:tc>
        <w:tc>
          <w:tcPr>
            <w:tcW w:w="6280" w:type="dxa"/>
            <w:vAlign w:val="bottom"/>
            <w:gridSpan w:val="8"/>
          </w:tcPr>
          <w:p>
            <w:pPr>
              <w:spacing w:after="0" w:line="185" w:lineRule="exact"/>
              <w:rPr>
                <w:sz w:val="20"/>
                <w:szCs w:val="20"/>
                <w:color w:val="auto"/>
              </w:rPr>
            </w:pPr>
            <w:r>
              <w:rPr>
                <w:rFonts w:ascii="Arial" w:cs="Arial" w:eastAsia="Arial" w:hAnsi="Arial"/>
                <w:sz w:val="18"/>
                <w:szCs w:val="18"/>
                <w:color w:val="0000FF"/>
              </w:rPr>
              <w:t>Legal Proceedings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53</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8"/>
                <w:szCs w:val="18"/>
                <w:color w:val="auto"/>
              </w:rPr>
              <w:t>Item 1A.</w:t>
            </w:r>
          </w:p>
        </w:tc>
        <w:tc>
          <w:tcPr>
            <w:tcW w:w="88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0000FF"/>
                <w:w w:val="85"/>
                <w:shd w:val="clear" w:color="auto" w:fill="CCEEFF"/>
              </w:rPr>
              <w:t>Risk Factors</w:t>
            </w:r>
          </w:p>
        </w:tc>
        <w:tc>
          <w:tcPr>
            <w:tcW w:w="3360" w:type="dxa"/>
            <w:vAlign w:val="bottom"/>
            <w:gridSpan w:val="5"/>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4" w:lineRule="exact"/>
              <w:rPr>
                <w:sz w:val="20"/>
                <w:szCs w:val="20"/>
                <w:color w:val="auto"/>
              </w:rPr>
            </w:pPr>
            <w:r>
              <w:rPr>
                <w:rFonts w:ascii="Arial" w:cs="Arial" w:eastAsia="Arial" w:hAnsi="Arial"/>
                <w:sz w:val="18"/>
                <w:szCs w:val="18"/>
                <w:color w:val="0000FF"/>
                <w:w w:val="79"/>
              </w:rPr>
              <w:t>53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2.</w:t>
            </w:r>
          </w:p>
        </w:tc>
        <w:tc>
          <w:tcPr>
            <w:tcW w:w="4240" w:type="dxa"/>
            <w:vAlign w:val="bottom"/>
            <w:gridSpan w:val="7"/>
          </w:tcPr>
          <w:p>
            <w:pPr>
              <w:spacing w:after="0" w:line="185" w:lineRule="exact"/>
              <w:rPr>
                <w:sz w:val="20"/>
                <w:szCs w:val="20"/>
                <w:color w:val="auto"/>
              </w:rPr>
            </w:pPr>
            <w:r>
              <w:rPr>
                <w:rFonts w:ascii="Arial" w:cs="Arial" w:eastAsia="Arial" w:hAnsi="Arial"/>
                <w:sz w:val="18"/>
                <w:szCs w:val="18"/>
                <w:color w:val="0000FF"/>
                <w:w w:val="86"/>
              </w:rPr>
              <w:t>Unregistered Sales of Equity Securities and Use of Proceeds</w:t>
            </w: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54</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6.</w:t>
            </w:r>
          </w:p>
        </w:tc>
        <w:tc>
          <w:tcPr>
            <w:tcW w:w="580" w:type="dxa"/>
            <w:vAlign w:val="bottom"/>
            <w:shd w:val="clear" w:color="auto" w:fill="CCEEFF"/>
          </w:tcPr>
          <w:p>
            <w:pPr>
              <w:spacing w:after="0" w:line="195" w:lineRule="exact"/>
              <w:rPr>
                <w:sz w:val="20"/>
                <w:szCs w:val="20"/>
                <w:color w:val="auto"/>
              </w:rPr>
            </w:pPr>
            <w:r>
              <w:rPr>
                <w:rFonts w:ascii="Arial" w:cs="Arial" w:eastAsia="Arial" w:hAnsi="Arial"/>
                <w:sz w:val="18"/>
                <w:szCs w:val="18"/>
                <w:color w:val="0000FF"/>
                <w:w w:val="88"/>
              </w:rPr>
              <w:t>Exhibits</w:t>
            </w:r>
          </w:p>
        </w:tc>
        <w:tc>
          <w:tcPr>
            <w:tcW w:w="3660" w:type="dxa"/>
            <w:vAlign w:val="bottom"/>
            <w:gridSpan w:val="6"/>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spacing w:after="0" w:line="185" w:lineRule="exact"/>
              <w:rPr>
                <w:sz w:val="20"/>
                <w:szCs w:val="20"/>
                <w:color w:val="auto"/>
              </w:rPr>
            </w:pPr>
            <w:r>
              <w:rPr>
                <w:rFonts w:ascii="Arial" w:cs="Arial" w:eastAsia="Arial" w:hAnsi="Arial"/>
                <w:sz w:val="18"/>
                <w:szCs w:val="18"/>
                <w:b w:val="1"/>
                <w:bCs w:val="1"/>
                <w:color w:val="0000FF"/>
              </w:rPr>
              <w:t>Signatures</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58</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8" w:lineRule="exact"/>
        <w:rPr>
          <w:sz w:val="20"/>
          <w:szCs w:val="20"/>
          <w:color w:val="auto"/>
        </w:rPr>
      </w:pPr>
    </w:p>
    <w:p>
      <w:pPr>
        <w:jc w:val="both"/>
        <w:ind w:firstLine="185"/>
        <w:spacing w:after="0" w:line="27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18" w:lineRule="exact"/>
        <w:rPr>
          <w:sz w:val="20"/>
          <w:szCs w:val="20"/>
          <w:color w:val="auto"/>
        </w:rPr>
      </w:pPr>
    </w:p>
    <w:p>
      <w:pPr>
        <w:jc w:val="both"/>
        <w:ind w:left="960" w:hanging="321"/>
        <w:spacing w:after="0" w:line="250"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(including rising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139" w:lineRule="exact"/>
        <w:rPr>
          <w:rFonts w:ascii="Arial" w:cs="Arial" w:eastAsia="Arial" w:hAnsi="Arial"/>
          <w:sz w:val="18"/>
          <w:szCs w:val="18"/>
          <w:color w:val="auto"/>
        </w:rPr>
      </w:pPr>
    </w:p>
    <w:p>
      <w:pPr>
        <w:jc w:val="both"/>
        <w:ind w:left="960" w:hanging="321"/>
        <w:spacing w:after="0" w:line="249"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39"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28"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128" w:lineRule="exact"/>
        <w:rPr>
          <w:rFonts w:ascii="Arial" w:cs="Arial" w:eastAsia="Arial" w:hAnsi="Arial"/>
          <w:sz w:val="18"/>
          <w:szCs w:val="18"/>
          <w:color w:val="auto"/>
        </w:rPr>
      </w:pPr>
    </w:p>
    <w:p>
      <w:pPr>
        <w:ind w:left="960" w:hanging="32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62" w:lineRule="exact"/>
        <w:rPr>
          <w:rFonts w:ascii="Arial" w:cs="Arial" w:eastAsia="Arial" w:hAnsi="Arial"/>
          <w:sz w:val="18"/>
          <w:szCs w:val="18"/>
          <w:color w:val="auto"/>
        </w:rPr>
      </w:pPr>
    </w:p>
    <w:p>
      <w:pPr>
        <w:jc w:val="both"/>
        <w:ind w:left="960" w:hanging="321"/>
        <w:spacing w:after="0" w:line="300" w:lineRule="auto"/>
        <w:tabs>
          <w:tab w:leader="none" w:pos="9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101" w:lineRule="exact"/>
        <w:rPr>
          <w:rFonts w:ascii="Arial" w:cs="Arial" w:eastAsia="Arial" w:hAnsi="Arial"/>
          <w:sz w:val="16"/>
          <w:szCs w:val="16"/>
          <w:color w:val="auto"/>
        </w:rPr>
      </w:pPr>
    </w:p>
    <w:p>
      <w:pPr>
        <w:jc w:val="both"/>
        <w:ind w:left="960" w:hanging="321"/>
        <w:spacing w:after="0" w:line="253"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federal tax reform and other potential changes in tax law and their impact on us and our operations;</w:t>
      </w:r>
    </w:p>
    <w:p>
      <w:pPr>
        <w:spacing w:after="0" w:line="162"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industry in particular;</w:t>
      </w:r>
    </w:p>
    <w:p>
      <w:pPr>
        <w:spacing w:after="0" w:line="128"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3" w:name="page4"/>
    <w:bookmarkEnd w:id="3"/>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relating to the coronavirus (COVID-19) virus and its variants or the measures taken by governmental authorities and other third-parties to contain the spread of COVID-19, including their impact on the global economy, the U.S. housing, real estate, housing finance and mortgage insurance markets, and our business, operations and personnel;</w:t>
      </w:r>
    </w:p>
    <w:p>
      <w:pPr>
        <w:spacing w:after="0" w:line="136" w:lineRule="exact"/>
        <w:rPr>
          <w:rFonts w:ascii="Arial" w:cs="Arial" w:eastAsia="Arial" w:hAnsi="Arial"/>
          <w:sz w:val="18"/>
          <w:szCs w:val="18"/>
          <w:color w:val="auto"/>
        </w:rPr>
      </w:pPr>
    </w:p>
    <w:p>
      <w:pPr>
        <w:ind w:left="960" w:hanging="321"/>
        <w:spacing w:after="0" w:line="325" w:lineRule="auto"/>
        <w:tabs>
          <w:tab w:leader="none" w:pos="9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82" w:lineRule="exact"/>
        <w:rPr>
          <w:rFonts w:ascii="Arial" w:cs="Arial" w:eastAsia="Arial" w:hAnsi="Arial"/>
          <w:sz w:val="16"/>
          <w:szCs w:val="16"/>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lenders, the GSEs, or other market participants seeking alternatives to private mortgage insurance;</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85" w:lineRule="exact"/>
        <w:rPr>
          <w:rFonts w:ascii="Arial" w:cs="Arial" w:eastAsia="Arial" w:hAnsi="Arial"/>
          <w:sz w:val="16"/>
          <w:szCs w:val="16"/>
          <w:color w:val="auto"/>
        </w:rPr>
      </w:pPr>
    </w:p>
    <w:p>
      <w:pPr>
        <w:ind w:left="960" w:hanging="321"/>
        <w:spacing w:after="0" w:line="262"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28"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climate risk and efforts to manage or regulate climate risk by government agencies could affect our business and operations;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adverse impacts arising from the occurrence of any man-made disasters or public health emergencies, including pandemics;</w:t>
      </w:r>
    </w:p>
    <w:p>
      <w:pPr>
        <w:spacing w:after="0" w:line="185" w:lineRule="exact"/>
        <w:rPr>
          <w:rFonts w:ascii="Arial" w:cs="Arial" w:eastAsia="Arial" w:hAnsi="Arial"/>
          <w:sz w:val="16"/>
          <w:szCs w:val="16"/>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third-party reinsurers, to meet their obligations to us;</w:t>
      </w:r>
    </w:p>
    <w:p>
      <w:pPr>
        <w:spacing w:after="0" w:line="162"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w:t>
      </w:r>
    </w:p>
    <w:p>
      <w:pPr>
        <w:spacing w:after="0" w:line="128"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confidential information); and</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2022 (2022 10-K), as subsequently updated in other reports we file from time to time with the U.S. Securities and Exchange Commission (SEC).</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March 31, 2023 (Unaudited) and December 31, 2022</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FF"/>
              </w:rPr>
              <w:t>6</w:t>
            </w:r>
          </w:p>
        </w:tc>
      </w:tr>
      <w:tr>
        <w:trPr>
          <w:trHeight w:val="185"/>
        </w:trPr>
        <w:tc>
          <w:tcPr>
            <w:tcW w:w="11040" w:type="dxa"/>
            <w:vAlign w:val="bottom"/>
            <w:tcBorders>
              <w:top w:val="single" w:sz="8" w:color="CCEEFF"/>
            </w:tcBorders>
          </w:tcPr>
          <w:p>
            <w:pPr>
              <w:ind w:left="20"/>
              <w:spacing w:after="0" w:line="186" w:lineRule="exact"/>
              <w:rPr>
                <w:sz w:val="20"/>
                <w:szCs w:val="20"/>
                <w:color w:val="auto"/>
              </w:rPr>
            </w:pPr>
            <w:r>
              <w:rPr>
                <w:rFonts w:ascii="Arial" w:cs="Arial" w:eastAsia="Arial" w:hAnsi="Arial"/>
                <w:sz w:val="18"/>
                <w:szCs w:val="18"/>
                <w:color w:val="auto"/>
                <w:w w:val="97"/>
              </w:rPr>
              <w:t>Condensed Consolidated Statements of Operations and Comprehensive Income (Loss) for the three months ended March 31, 2023 and 2022</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84"/>
        </w:trPr>
        <w:tc>
          <w:tcPr>
            <w:tcW w:w="11040" w:type="dxa"/>
            <w:vAlign w:val="bottom"/>
          </w:tcPr>
          <w:p>
            <w:pPr>
              <w:ind w:left="20"/>
              <w:spacing w:after="0" w:line="184" w:lineRule="exact"/>
              <w:rPr>
                <w:sz w:val="20"/>
                <w:szCs w:val="20"/>
                <w:color w:val="auto"/>
              </w:rPr>
            </w:pPr>
            <w:r>
              <w:rPr>
                <w:rFonts w:ascii="Arial" w:cs="Arial" w:eastAsia="Arial" w:hAnsi="Arial"/>
                <w:sz w:val="18"/>
                <w:szCs w:val="18"/>
                <w:color w:val="auto"/>
              </w:rPr>
              <w:t>(Unaudited)</w:t>
            </w:r>
          </w:p>
        </w:tc>
        <w:tc>
          <w:tcPr>
            <w:tcW w:w="20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rPr>
              <w:t>7</w:t>
            </w:r>
          </w:p>
        </w:tc>
      </w:tr>
      <w:tr>
        <w:trPr>
          <w:trHeight w:val="30"/>
        </w:trPr>
        <w:tc>
          <w:tcPr>
            <w:tcW w:w="1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Condensed Consolidated Statements of Changes in Shareholders' Equity for the three months ended March 31, 2023 and 2022 (Unaudited)</w:t>
            </w: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8</w:t>
            </w:r>
          </w:p>
        </w:tc>
      </w:tr>
      <w:tr>
        <w:trPr>
          <w:trHeight w:val="40"/>
        </w:trPr>
        <w:tc>
          <w:tcPr>
            <w:tcW w:w="1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40" w:type="dxa"/>
            <w:vAlign w:val="bottom"/>
          </w:tcPr>
          <w:p>
            <w:pPr>
              <w:ind w:left="20"/>
              <w:spacing w:after="0" w:line="185" w:lineRule="exact"/>
              <w:rPr>
                <w:sz w:val="20"/>
                <w:szCs w:val="20"/>
                <w:color w:val="auto"/>
              </w:rPr>
            </w:pPr>
            <w:r>
              <w:rPr>
                <w:rFonts w:ascii="Arial" w:cs="Arial" w:eastAsia="Arial" w:hAnsi="Arial"/>
                <w:sz w:val="18"/>
                <w:szCs w:val="18"/>
                <w:color w:val="auto"/>
              </w:rPr>
              <w:t>Condensed Consolidated Statements of Cash Flows for the three months ended March 31, 2023 and 2022 (Unaudited)</w:t>
            </w: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rPr>
              <w:t>9</w:t>
            </w:r>
          </w:p>
        </w:tc>
      </w:tr>
      <w:tr>
        <w:trPr>
          <w:trHeight w:val="30"/>
        </w:trPr>
        <w:tc>
          <w:tcPr>
            <w:tcW w:w="1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Notes to Condensed Consolidated Financial Statements (Unaudited)</w:t>
            </w: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10</w:t>
            </w:r>
          </w:p>
        </w:tc>
      </w:tr>
      <w:tr>
        <w:trPr>
          <w:trHeight w:val="40"/>
        </w:trPr>
        <w:tc>
          <w:tcPr>
            <w:tcW w:w="110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5"/>
                <w:szCs w:val="15"/>
                <w:color w:val="auto"/>
              </w:rPr>
            </w:pPr>
          </w:p>
        </w:tc>
        <w:tc>
          <w:tcPr>
            <w:tcW w:w="1520" w:type="dxa"/>
            <w:vAlign w:val="bottom"/>
          </w:tcPr>
          <w:p>
            <w:pPr>
              <w:jc w:val="right"/>
              <w:ind w:right="213"/>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4"/>
          </w:tcPr>
          <w:p>
            <w:pPr>
              <w:jc w:val="right"/>
              <w:ind w:right="633"/>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73"/>
        </w:trPr>
        <w:tc>
          <w:tcPr>
            <w:tcW w:w="7680" w:type="dxa"/>
            <w:vAlign w:val="bottom"/>
            <w:shd w:val="clear" w:color="auto" w:fill="CCEEFF"/>
          </w:tcPr>
          <w:p>
            <w:pPr>
              <w:ind w:left="240"/>
              <w:spacing w:after="0" w:line="173" w:lineRule="exact"/>
              <w:rPr>
                <w:sz w:val="20"/>
                <w:szCs w:val="20"/>
                <w:color w:val="auto"/>
              </w:rPr>
            </w:pPr>
            <w:r>
              <w:rPr>
                <w:rFonts w:ascii="Arial" w:cs="Arial" w:eastAsia="Arial" w:hAnsi="Arial"/>
                <w:sz w:val="18"/>
                <w:szCs w:val="18"/>
                <w:color w:val="auto"/>
                <w:w w:val="93"/>
              </w:rPr>
              <w:t>Fixed maturities, available-for-sale, at fair value (amortized cost of $2,383,982 and $2,352,747 as of</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2023 and December 31, 2022, respectively)</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172"/>
        </w:trPr>
        <w:tc>
          <w:tcPr>
            <w:tcW w:w="7680" w:type="dxa"/>
            <w:vAlign w:val="bottom"/>
          </w:tcPr>
          <w:p>
            <w:pPr>
              <w:ind w:left="220"/>
              <w:spacing w:after="0" w:line="172" w:lineRule="exact"/>
              <w:rPr>
                <w:sz w:val="20"/>
                <w:szCs w:val="20"/>
                <w:color w:val="auto"/>
              </w:rPr>
            </w:pPr>
            <w:r>
              <w:rPr>
                <w:rFonts w:ascii="Arial" w:cs="Arial" w:eastAsia="Arial" w:hAnsi="Arial"/>
                <w:sz w:val="18"/>
                <w:szCs w:val="18"/>
                <w:color w:val="auto"/>
                <w:w w:val="92"/>
              </w:rPr>
              <w:t>Cash and cash equivalents (including restricted cash of $2,197 and $2,176 as of March 31, 2023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680" w:type="dxa"/>
            <w:vAlign w:val="bottom"/>
          </w:tcPr>
          <w:p>
            <w:pPr>
              <w:ind w:left="220"/>
              <w:spacing w:after="0"/>
              <w:rPr>
                <w:sz w:val="20"/>
                <w:szCs w:val="20"/>
                <w:color w:val="auto"/>
              </w:rPr>
            </w:pPr>
            <w:r>
              <w:rPr>
                <w:rFonts w:ascii="Arial" w:cs="Arial" w:eastAsia="Arial" w:hAnsi="Arial"/>
                <w:sz w:val="18"/>
                <w:szCs w:val="18"/>
                <w:color w:val="auto"/>
              </w:rPr>
              <w:t>December 31, 2022, respectively)</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69,680</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Accrued investment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58,564</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Software and equipment, net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31,830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and goodwill</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Reinsurance recoverable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23,479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21,587</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federal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18,267</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Debt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396,426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396,051</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123,035</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74,576</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927,065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04"/>
        </w:trPr>
        <w:tc>
          <w:tcPr>
            <w:tcW w:w="7680" w:type="dxa"/>
            <w:vAlign w:val="bottom"/>
          </w:tcPr>
          <w:p>
            <w:pPr>
              <w:ind w:left="20"/>
              <w:spacing w:after="0" w:line="203" w:lineRule="exact"/>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6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6"/>
              </w:rPr>
              <w:t>Common stock - class A shares, $0.01 par value; 86,869,169 shares issued and 83,279,886 shares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90"/>
              </w:rPr>
              <w:t>outstanding as of March 31, 2023 and 86,472,742 shares issued and 83,549,879 shares outstanding as of</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 (250,000,000 shares authorized)</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973,599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972,717</w:t>
            </w:r>
          </w:p>
        </w:tc>
        <w:tc>
          <w:tcPr>
            <w:tcW w:w="0" w:type="dxa"/>
            <w:vAlign w:val="bottom"/>
          </w:tcPr>
          <w:p>
            <w:pPr>
              <w:spacing w:after="0"/>
              <w:rPr>
                <w:sz w:val="1"/>
                <w:szCs w:val="1"/>
                <w:color w:val="auto"/>
              </w:rPr>
            </w:pPr>
          </w:p>
        </w:tc>
      </w:tr>
      <w:tr>
        <w:trPr>
          <w:trHeight w:val="173"/>
        </w:trPr>
        <w:tc>
          <w:tcPr>
            <w:tcW w:w="7680" w:type="dxa"/>
            <w:vAlign w:val="bottom"/>
            <w:shd w:val="clear" w:color="auto" w:fill="CCEEFF"/>
          </w:tcPr>
          <w:p>
            <w:pPr>
              <w:ind w:left="220"/>
              <w:spacing w:after="0" w:line="173" w:lineRule="exact"/>
              <w:rPr>
                <w:sz w:val="20"/>
                <w:szCs w:val="20"/>
                <w:color w:val="auto"/>
              </w:rPr>
            </w:pPr>
            <w:r>
              <w:rPr>
                <w:rFonts w:ascii="Arial" w:cs="Arial" w:eastAsia="Arial" w:hAnsi="Arial"/>
                <w:sz w:val="18"/>
                <w:szCs w:val="18"/>
                <w:color w:val="auto"/>
              </w:rPr>
              <w:t>Treasury Stock, at cost: 3,589,283 and 2,922,863 common shares as of March 31, 2023 and</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2022, respectively</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(171,821)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(204,323)</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901,043</w:t>
            </w:r>
          </w:p>
        </w:tc>
        <w:tc>
          <w:tcPr>
            <w:tcW w:w="0" w:type="dxa"/>
            <w:vAlign w:val="bottom"/>
          </w:tcPr>
          <w:p>
            <w:pPr>
              <w:spacing w:after="0"/>
              <w:rPr>
                <w:sz w:val="1"/>
                <w:szCs w:val="1"/>
                <w:color w:val="auto"/>
              </w:rPr>
            </w:pPr>
          </w:p>
        </w:tc>
      </w:tr>
      <w:tr>
        <w:trPr>
          <w:trHeight w:val="217"/>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1,706,711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ONDENSED CONSOLIDATED STATEMENTS OF OPERATIONS AND COMPREHENSIVE INCOME (LOSS) (UNAUDITED)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350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4"/>
        </w:trPr>
        <w:tc>
          <w:tcPr>
            <w:tcW w:w="7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77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r>
      <w:tr>
        <w:trPr>
          <w:trHeight w:val="189"/>
        </w:trPr>
        <w:tc>
          <w:tcPr>
            <w:tcW w:w="7740" w:type="dxa"/>
            <w:vAlign w:val="bottom"/>
          </w:tcPr>
          <w:p>
            <w:pPr>
              <w:spacing w:after="0"/>
              <w:rPr>
                <w:sz w:val="16"/>
                <w:szCs w:val="16"/>
                <w:color w:val="auto"/>
              </w:rPr>
            </w:pPr>
          </w:p>
        </w:tc>
        <w:tc>
          <w:tcPr>
            <w:tcW w:w="3500" w:type="dxa"/>
            <w:vAlign w:val="bottom"/>
            <w:gridSpan w:val="5"/>
          </w:tcPr>
          <w:p>
            <w:pPr>
              <w:jc w:val="right"/>
              <w:ind w:right="493"/>
              <w:spacing w:after="0"/>
              <w:rPr>
                <w:sz w:val="20"/>
                <w:szCs w:val="20"/>
                <w:color w:val="auto"/>
              </w:rPr>
            </w:pPr>
            <w:r>
              <w:rPr>
                <w:rFonts w:ascii="Arial" w:cs="Arial" w:eastAsia="Arial" w:hAnsi="Arial"/>
                <w:sz w:val="14"/>
                <w:szCs w:val="14"/>
                <w:i w:val="1"/>
                <w:iCs w:val="1"/>
                <w:color w:val="auto"/>
              </w:rPr>
              <w:t>(In Thousands, except for per share data)</w:t>
            </w:r>
          </w:p>
        </w:tc>
      </w:tr>
      <w:tr>
        <w:trPr>
          <w:trHeight w:val="23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4"/>
        </w:trPr>
        <w:tc>
          <w:tcPr>
            <w:tcW w:w="77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1040" w:type="dxa"/>
            <w:vAlign w:val="bottom"/>
          </w:tcPr>
          <w:p>
            <w:pPr>
              <w:jc w:val="right"/>
              <w:ind w:right="8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121,754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116,495</w:t>
            </w:r>
          </w:p>
        </w:tc>
      </w:tr>
      <w:tr>
        <w:trPr>
          <w:trHeight w:val="225"/>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w:t>
            </w:r>
          </w:p>
        </w:tc>
      </w:tr>
      <w:tr>
        <w:trPr>
          <w:trHeight w:val="224"/>
        </w:trPr>
        <w:tc>
          <w:tcPr>
            <w:tcW w:w="7740" w:type="dxa"/>
            <w:vAlign w:val="bottom"/>
          </w:tcPr>
          <w:p>
            <w:pPr>
              <w:ind w:left="220"/>
              <w:spacing w:after="0"/>
              <w:rPr>
                <w:sz w:val="20"/>
                <w:szCs w:val="20"/>
                <w:color w:val="auto"/>
              </w:rPr>
            </w:pPr>
            <w:r>
              <w:rPr>
                <w:rFonts w:ascii="Arial" w:cs="Arial" w:eastAsia="Arial" w:hAnsi="Arial"/>
                <w:sz w:val="18"/>
                <w:szCs w:val="18"/>
                <w:color w:val="auto"/>
              </w:rPr>
              <w:t>Net realized investment (losses) gains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5"/>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136,779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127,441</w:t>
            </w:r>
          </w:p>
        </w:tc>
      </w:tr>
      <w:tr>
        <w:trPr>
          <w:trHeight w:val="205"/>
        </w:trPr>
        <w:tc>
          <w:tcPr>
            <w:tcW w:w="77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Expenses</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4"/>
        </w:trPr>
        <w:tc>
          <w:tcPr>
            <w:tcW w:w="7740" w:type="dxa"/>
            <w:vAlign w:val="bottom"/>
          </w:tcPr>
          <w:p>
            <w:pPr>
              <w:ind w:left="220"/>
              <w:spacing w:after="0"/>
              <w:rPr>
                <w:sz w:val="20"/>
                <w:szCs w:val="20"/>
                <w:color w:val="auto"/>
              </w:rPr>
            </w:pPr>
            <w:r>
              <w:rPr>
                <w:rFonts w:ascii="Arial" w:cs="Arial" w:eastAsia="Arial" w:hAnsi="Arial"/>
                <w:sz w:val="18"/>
                <w:szCs w:val="18"/>
                <w:color w:val="auto"/>
              </w:rPr>
              <w:t>Insurance claims and claim expenses (benefits)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25"/>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and operating expenses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32,935</w:t>
            </w:r>
          </w:p>
        </w:tc>
      </w:tr>
      <w:tr>
        <w:trPr>
          <w:trHeight w:val="224"/>
        </w:trPr>
        <w:tc>
          <w:tcPr>
            <w:tcW w:w="7740" w:type="dxa"/>
            <w:vAlign w:val="bottom"/>
          </w:tcPr>
          <w:p>
            <w:pPr>
              <w:ind w:left="220"/>
              <w:spacing w:after="0"/>
              <w:rPr>
                <w:sz w:val="20"/>
                <w:szCs w:val="20"/>
                <w:color w:val="auto"/>
              </w:rPr>
            </w:pPr>
            <w:r>
              <w:rPr>
                <w:rFonts w:ascii="Arial" w:cs="Arial" w:eastAsia="Arial" w:hAnsi="Arial"/>
                <w:sz w:val="18"/>
                <w:szCs w:val="18"/>
                <w:color w:val="auto"/>
              </w:rPr>
              <w:t>Service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5"/>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w:t>
            </w:r>
          </w:p>
        </w:tc>
      </w:tr>
      <w:tr>
        <w:trPr>
          <w:trHeight w:val="224"/>
        </w:trPr>
        <w:tc>
          <w:tcPr>
            <w:tcW w:w="7740" w:type="dxa"/>
            <w:vAlign w:val="bottom"/>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7"/>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40,694</w:t>
            </w:r>
          </w:p>
        </w:tc>
      </w:tr>
      <w:tr>
        <w:trPr>
          <w:trHeight w:val="244"/>
        </w:trPr>
        <w:tc>
          <w:tcPr>
            <w:tcW w:w="7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86,747</w:t>
            </w:r>
          </w:p>
        </w:tc>
      </w:tr>
      <w:tr>
        <w:trPr>
          <w:trHeight w:val="224"/>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19,067</w:t>
            </w: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7740" w:type="dxa"/>
            <w:vAlign w:val="bottom"/>
          </w:tcPr>
          <w:p>
            <w:pPr>
              <w:ind w:left="2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ind w:right="8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25"/>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64"/>
        </w:trPr>
        <w:tc>
          <w:tcPr>
            <w:tcW w:w="7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7740" w:type="dxa"/>
            <w:vAlign w:val="bottom"/>
          </w:tcPr>
          <w:p>
            <w:pPr>
              <w:ind w:left="22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85,953</w:t>
            </w:r>
          </w:p>
        </w:tc>
      </w:tr>
      <w:tr>
        <w:trPr>
          <w:trHeight w:val="225"/>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135495" cy="142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65" w:lineRule="exact"/>
        <w:rPr>
          <w:sz w:val="20"/>
          <w:szCs w:val="20"/>
          <w:color w:val="auto"/>
        </w:rPr>
      </w:pPr>
    </w:p>
    <w:p>
      <w:pPr>
        <w:ind w:left="20"/>
        <w:spacing w:after="0"/>
        <w:tabs>
          <w:tab w:leader="none" w:pos="774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6"/>
          <w:szCs w:val="16"/>
          <w:color w:val="auto"/>
        </w:rPr>
        <w: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259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259715"/>
                    </a:xfrm>
                    <a:prstGeom prst="rect">
                      <a:avLst/>
                    </a:prstGeom>
                    <a:noFill/>
                  </pic:spPr>
                </pic:pic>
              </a:graphicData>
            </a:graphic>
          </wp:anchor>
        </w:drawing>
      </w:r>
    </w:p>
    <w:p>
      <w:pPr>
        <w:ind w:left="20" w:right="560"/>
        <w:spacing w:after="0" w:line="266" w:lineRule="auto"/>
        <w:rPr>
          <w:sz w:val="20"/>
          <w:szCs w:val="20"/>
          <w:color w:val="auto"/>
        </w:rPr>
      </w:pPr>
      <w:r>
        <w:rPr>
          <w:rFonts w:ascii="Arial" w:cs="Arial" w:eastAsia="Arial" w:hAnsi="Arial"/>
          <w:sz w:val="16"/>
          <w:szCs w:val="16"/>
          <w:color w:val="auto"/>
        </w:rPr>
        <w:t>Unrealized gains (losses) in accumulated other comprehensive income (loss), net of tax expense (benefit) of $8,633 and $(26,176) for the quarters ended March 31, 2023 and 2022, respectively</w:t>
      </w:r>
    </w:p>
    <w:p>
      <w:pPr>
        <w:spacing w:after="0" w:line="1" w:lineRule="exact"/>
        <w:rPr>
          <w:sz w:val="20"/>
          <w:szCs w:val="20"/>
          <w:color w:val="auto"/>
        </w:rPr>
      </w:pPr>
    </w:p>
    <w:p>
      <w:pPr>
        <w:ind w:left="20" w:right="520"/>
        <w:spacing w:after="0" w:line="228" w:lineRule="auto"/>
        <w:rPr>
          <w:sz w:val="20"/>
          <w:szCs w:val="20"/>
          <w:color w:val="auto"/>
        </w:rPr>
      </w:pPr>
      <w:r>
        <w:rPr>
          <w:rFonts w:ascii="Arial" w:cs="Arial" w:eastAsia="Arial" w:hAnsi="Arial"/>
          <w:sz w:val="18"/>
          <w:szCs w:val="18"/>
          <w:color w:val="auto"/>
        </w:rPr>
        <w:t>Reclassification adjustment for realized losses (gains) included in net income, net of tax (benefit) expense of $(7) and $86 for the quarters ended March 31, 2023 and 2022, respectively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tabs>
          <w:tab w:leader="none" w:pos="640" w:val="left"/>
          <w:tab w:leader="none" w:pos="1760" w:val="left"/>
        </w:tabs>
        <w:rPr>
          <w:sz w:val="20"/>
          <w:szCs w:val="20"/>
          <w:color w:val="auto"/>
        </w:rPr>
      </w:pPr>
      <w:r>
        <w:rPr>
          <w:rFonts w:ascii="Arial" w:cs="Arial" w:eastAsia="Arial" w:hAnsi="Arial"/>
          <w:sz w:val="18"/>
          <w:szCs w:val="18"/>
          <w:color w:val="auto"/>
        </w:rPr>
        <w:t>74,458</w:t>
        <w:tab/>
        <w:t>$</w:t>
      </w:r>
      <w:r>
        <w:rPr>
          <w:sz w:val="20"/>
          <w:szCs w:val="20"/>
          <w:color w:val="auto"/>
        </w:rPr>
        <w:tab/>
      </w:r>
      <w:r>
        <w:rPr>
          <w:rFonts w:ascii="Arial" w:cs="Arial" w:eastAsia="Arial" w:hAnsi="Arial"/>
          <w:sz w:val="16"/>
          <w:szCs w:val="16"/>
          <w:color w:val="auto"/>
        </w:rPr>
        <w:t>67,680</w:t>
      </w:r>
    </w:p>
    <w:p>
      <w:pPr>
        <w:spacing w:after="0" w:line="200" w:lineRule="exact"/>
        <w:rPr>
          <w:sz w:val="20"/>
          <w:szCs w:val="20"/>
          <w:color w:val="auto"/>
        </w:rPr>
      </w:pPr>
    </w:p>
    <w:p>
      <w:pPr>
        <w:spacing w:after="0" w:line="226"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32,476</w:t>
      </w:r>
      <w:r>
        <w:rPr>
          <w:sz w:val="20"/>
          <w:szCs w:val="20"/>
          <w:color w:val="auto"/>
        </w:rPr>
        <w:tab/>
      </w:r>
      <w:r>
        <w:rPr>
          <w:rFonts w:ascii="Arial" w:cs="Arial" w:eastAsia="Arial" w:hAnsi="Arial"/>
          <w:sz w:val="16"/>
          <w:szCs w:val="16"/>
          <w:color w:val="auto"/>
        </w:rPr>
        <w:t>(98,471)</w:t>
      </w:r>
    </w:p>
    <w:p>
      <w:pPr>
        <w:spacing w:after="0" w:line="225" w:lineRule="exact"/>
        <w:rPr>
          <w:sz w:val="20"/>
          <w:szCs w:val="20"/>
          <w:color w:val="auto"/>
        </w:rPr>
      </w:pPr>
    </w:p>
    <w:p>
      <w:pPr>
        <w:jc w:val="both"/>
        <w:ind w:left="300"/>
        <w:spacing w:after="0"/>
        <w:tabs>
          <w:tab w:leader="none" w:pos="19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(323)</w:t>
      </w:r>
    </w:p>
    <w:p>
      <w:pPr>
        <w:spacing w:after="0" w:line="14" w:lineRule="exact"/>
        <w:rPr>
          <w:sz w:val="20"/>
          <w:szCs w:val="20"/>
          <w:color w:val="auto"/>
        </w:rPr>
      </w:pPr>
    </w:p>
    <w:p>
      <w:pPr>
        <w:sectPr>
          <w:pgSz w:w="11900" w:h="16838" w:orient="portrait"/>
          <w:cols w:equalWidth="0" w:num="2">
            <w:col w:w="8180" w:space="720"/>
            <w:col w:w="234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(98,794)</w:t>
            </w:r>
          </w:p>
        </w:tc>
      </w:tr>
      <w:tr>
        <w:trPr>
          <w:trHeight w:val="217"/>
        </w:trPr>
        <w:tc>
          <w:tcPr>
            <w:tcW w:w="77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106,960</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(31,114)</w:t>
            </w:r>
          </w:p>
        </w:tc>
      </w:tr>
      <w:tr>
        <w:trPr>
          <w:trHeight w:val="20"/>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5"/>
          <w:szCs w:val="15"/>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980" w:type="dxa"/>
            <w:vAlign w:val="bottom"/>
            <w:gridSpan w:val="3"/>
            <w:vMerge w:val="restart"/>
          </w:tcPr>
          <w:p>
            <w:pPr>
              <w:jc w:val="right"/>
              <w:ind w:right="154"/>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Accumulated 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right"/>
              <w:ind w:right="94"/>
              <w:spacing w:after="0" w:line="121"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9"/>
                <w:szCs w:val="9"/>
                <w:color w:val="auto"/>
              </w:rPr>
            </w:pPr>
          </w:p>
        </w:tc>
        <w:tc>
          <w:tcPr>
            <w:tcW w:w="760" w:type="dxa"/>
            <w:vAlign w:val="bottom"/>
            <w:vMerge w:val="restart"/>
          </w:tcPr>
          <w:p>
            <w:pPr>
              <w:jc w:val="right"/>
              <w:ind w:right="96"/>
              <w:spacing w:after="0" w:line="121" w:lineRule="exact"/>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9"/>
                <w:szCs w:val="9"/>
                <w:color w:val="auto"/>
              </w:rPr>
            </w:pPr>
          </w:p>
        </w:tc>
        <w:tc>
          <w:tcPr>
            <w:tcW w:w="1100" w:type="dxa"/>
            <w:vAlign w:val="bottom"/>
            <w:vMerge w:val="restart"/>
          </w:tcPr>
          <w:p>
            <w:pPr>
              <w:jc w:val="right"/>
              <w:ind w:right="56"/>
              <w:spacing w:after="0" w:line="121"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9"/>
                <w:szCs w:val="9"/>
                <w:color w:val="auto"/>
              </w:rPr>
            </w:pPr>
          </w:p>
        </w:tc>
        <w:tc>
          <w:tcPr>
            <w:tcW w:w="800" w:type="dxa"/>
            <w:vAlign w:val="bottom"/>
            <w:vMerge w:val="restart"/>
          </w:tcPr>
          <w:p>
            <w:pPr>
              <w:jc w:val="right"/>
              <w:ind w:right="96"/>
              <w:spacing w:after="0" w:line="121" w:lineRule="exact"/>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Paid-in Capital Stock, At Cost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Earnings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3"/>
          </w:tcPr>
          <w:p>
            <w:pPr>
              <w:jc w:val="right"/>
              <w:ind w:right="956"/>
              <w:spacing w:after="0"/>
              <w:rPr>
                <w:sz w:val="20"/>
                <w:szCs w:val="20"/>
                <w:color w:val="auto"/>
              </w:rPr>
            </w:pPr>
            <w:r>
              <w:rPr>
                <w:rFonts w:ascii="Arial" w:cs="Arial" w:eastAsia="Arial" w:hAnsi="Arial"/>
                <w:sz w:val="14"/>
                <w:szCs w:val="14"/>
                <w:i w:val="1"/>
                <w:iCs w:val="1"/>
                <w:color w:val="auto"/>
                <w:w w:val="99"/>
              </w:rPr>
              <w:t>(In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901,043</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172"/>
        </w:trPr>
        <w:tc>
          <w:tcPr>
            <w:tcW w:w="3940" w:type="dxa"/>
            <w:vAlign w:val="bottom"/>
          </w:tcPr>
          <w:p>
            <w:pPr>
              <w:spacing w:after="0" w:line="172" w:lineRule="exact"/>
              <w:rPr>
                <w:sz w:val="20"/>
                <w:szCs w:val="20"/>
                <w:color w:val="auto"/>
              </w:rPr>
            </w:pPr>
            <w:r>
              <w:rPr>
                <w:rFonts w:ascii="Arial" w:cs="Arial" w:eastAsia="Arial" w:hAnsi="Arial"/>
                <w:sz w:val="18"/>
                <w:szCs w:val="18"/>
                <w:color w:val="auto"/>
                <w:w w:val="97"/>
              </w:rPr>
              <w:t>Common stock: class A shares issued under stock</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r>
              <w:rPr>
                <w:rFonts w:ascii="Arial" w:cs="Arial" w:eastAsia="Arial" w:hAnsi="Arial"/>
                <w:sz w:val="18"/>
                <w:szCs w:val="18"/>
                <w:color w:val="auto"/>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3"/>
              </w:rPr>
              <w:t>Change in unrealized investment gains/losses, net of</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expense of $8,640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0" w:type="dxa"/>
            <w:vAlign w:val="bottom"/>
          </w:tcPr>
          <w:p>
            <w:pPr>
              <w:spacing w:after="0"/>
              <w:rPr>
                <w:sz w:val="1"/>
                <w:szCs w:val="1"/>
                <w:color w:val="auto"/>
              </w:rPr>
            </w:pPr>
          </w:p>
        </w:tc>
      </w:tr>
      <w:tr>
        <w:trPr>
          <w:trHeight w:val="224"/>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975,501</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1,706,711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980" w:type="dxa"/>
            <w:vAlign w:val="bottom"/>
            <w:gridSpan w:val="3"/>
            <w:vMerge w:val="restart"/>
          </w:tcPr>
          <w:p>
            <w:pPr>
              <w:jc w:val="right"/>
              <w:ind w:right="154"/>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Accumulated 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54"/>
              <w:spacing w:after="0" w:line="125"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9"/>
                <w:szCs w:val="9"/>
                <w:color w:val="auto"/>
              </w:rPr>
            </w:pPr>
          </w:p>
        </w:tc>
        <w:tc>
          <w:tcPr>
            <w:tcW w:w="760" w:type="dxa"/>
            <w:vAlign w:val="bottom"/>
            <w:vMerge w:val="restart"/>
          </w:tcPr>
          <w:p>
            <w:pPr>
              <w:ind w:left="40"/>
              <w:spacing w:after="0" w:line="125"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9"/>
                <w:szCs w:val="9"/>
                <w:color w:val="auto"/>
              </w:rPr>
            </w:pPr>
          </w:p>
        </w:tc>
        <w:tc>
          <w:tcPr>
            <w:tcW w:w="1100" w:type="dxa"/>
            <w:vAlign w:val="bottom"/>
            <w:vMerge w:val="restart"/>
          </w:tcPr>
          <w:p>
            <w:pPr>
              <w:jc w:val="right"/>
              <w:ind w:right="56"/>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9"/>
                <w:szCs w:val="9"/>
                <w:color w:val="auto"/>
              </w:rPr>
            </w:pPr>
          </w:p>
        </w:tc>
        <w:tc>
          <w:tcPr>
            <w:tcW w:w="800" w:type="dxa"/>
            <w:vAlign w:val="bottom"/>
            <w:vMerge w:val="restart"/>
          </w:tcPr>
          <w:p>
            <w:pPr>
              <w:jc w:val="right"/>
              <w:ind w:right="96"/>
              <w:spacing w:after="0" w:line="125" w:lineRule="exact"/>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Paid-in Capital Stock, At Cost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Earnings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3"/>
          </w:tcPr>
          <w:p>
            <w:pPr>
              <w:jc w:val="right"/>
              <w:ind w:right="956"/>
              <w:spacing w:after="0"/>
              <w:rPr>
                <w:sz w:val="20"/>
                <w:szCs w:val="20"/>
                <w:color w:val="auto"/>
              </w:rPr>
            </w:pPr>
            <w:r>
              <w:rPr>
                <w:rFonts w:ascii="Arial" w:cs="Arial" w:eastAsia="Arial" w:hAnsi="Arial"/>
                <w:sz w:val="14"/>
                <w:szCs w:val="14"/>
                <w:i w:val="1"/>
                <w:iCs w:val="1"/>
                <w:color w:val="auto"/>
                <w:w w:val="99"/>
              </w:rPr>
              <w:t>(In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608,141</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1,565,786</w:t>
            </w:r>
          </w:p>
        </w:tc>
        <w:tc>
          <w:tcPr>
            <w:tcW w:w="0" w:type="dxa"/>
            <w:vAlign w:val="bottom"/>
          </w:tcPr>
          <w:p>
            <w:pPr>
              <w:spacing w:after="0"/>
              <w:rPr>
                <w:sz w:val="1"/>
                <w:szCs w:val="1"/>
                <w:color w:val="auto"/>
              </w:rPr>
            </w:pPr>
          </w:p>
        </w:tc>
      </w:tr>
      <w:tr>
        <w:trPr>
          <w:trHeight w:val="172"/>
        </w:trPr>
        <w:tc>
          <w:tcPr>
            <w:tcW w:w="3940" w:type="dxa"/>
            <w:vAlign w:val="bottom"/>
          </w:tcPr>
          <w:p>
            <w:pPr>
              <w:spacing w:after="0" w:line="172" w:lineRule="exact"/>
              <w:rPr>
                <w:sz w:val="20"/>
                <w:szCs w:val="20"/>
                <w:color w:val="auto"/>
              </w:rPr>
            </w:pPr>
            <w:r>
              <w:rPr>
                <w:rFonts w:ascii="Arial" w:cs="Arial" w:eastAsia="Arial" w:hAnsi="Arial"/>
                <w:sz w:val="18"/>
                <w:szCs w:val="18"/>
                <w:color w:val="auto"/>
              </w:rPr>
              <w:t>Common stock: class A shares issued related to</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r>
              <w:rPr>
                <w:rFonts w:ascii="Arial" w:cs="Arial" w:eastAsia="Arial" w:hAnsi="Arial"/>
                <w:sz w:val="18"/>
                <w:szCs w:val="18"/>
                <w:color w:val="auto"/>
              </w:rPr>
              <w:t>warrant exercises</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7"/>
              </w:rPr>
              <w:t>Common stock: class A shares issued under stock</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plans, net of shares withheld for employee taxes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172"/>
        </w:trPr>
        <w:tc>
          <w:tcPr>
            <w:tcW w:w="3940" w:type="dxa"/>
            <w:vAlign w:val="bottom"/>
          </w:tcPr>
          <w:p>
            <w:pPr>
              <w:spacing w:after="0" w:line="172" w:lineRule="exact"/>
              <w:rPr>
                <w:sz w:val="20"/>
                <w:szCs w:val="20"/>
                <w:color w:val="auto"/>
              </w:rPr>
            </w:pPr>
            <w:r>
              <w:rPr>
                <w:rFonts w:ascii="Arial" w:cs="Arial" w:eastAsia="Arial" w:hAnsi="Arial"/>
                <w:sz w:val="18"/>
                <w:szCs w:val="18"/>
                <w:color w:val="auto"/>
                <w:w w:val="93"/>
              </w:rPr>
              <w:t>Change in unrealized investment gains/losses, net of</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r>
              <w:rPr>
                <w:rFonts w:ascii="Arial" w:cs="Arial" w:eastAsia="Arial" w:hAnsi="Arial"/>
                <w:sz w:val="18"/>
                <w:szCs w:val="18"/>
                <w:color w:val="auto"/>
              </w:rPr>
              <w:t>tax benefit of $26,262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(98,794)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(98,794)</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0" w:type="dxa"/>
            <w:vAlign w:val="bottom"/>
          </w:tcPr>
          <w:p>
            <w:pPr>
              <w:spacing w:after="0"/>
              <w:rPr>
                <w:sz w:val="1"/>
                <w:szCs w:val="1"/>
                <w:color w:val="auto"/>
              </w:rPr>
            </w:pPr>
          </w:p>
        </w:tc>
      </w:tr>
      <w:tr>
        <w:trPr>
          <w:trHeight w:val="218"/>
        </w:trPr>
        <w:tc>
          <w:tcPr>
            <w:tcW w:w="3940" w:type="dxa"/>
            <w:vAlign w:val="bottom"/>
          </w:tcPr>
          <w:p>
            <w:pPr>
              <w:spacing w:after="0"/>
              <w:rPr>
                <w:sz w:val="20"/>
                <w:szCs w:val="20"/>
                <w:color w:val="auto"/>
              </w:rPr>
            </w:pPr>
            <w:r>
              <w:rPr>
                <w:rFonts w:ascii="Arial" w:cs="Arial" w:eastAsia="Arial" w:hAnsi="Arial"/>
                <w:sz w:val="18"/>
                <w:szCs w:val="18"/>
                <w:color w:val="auto"/>
              </w:rPr>
              <w:t>Balances, March 31,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675,821</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1,535,042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60" w:top="1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620" w:type="dxa"/>
            <w:vAlign w:val="bottom"/>
          </w:tcPr>
          <w:p>
            <w:pPr>
              <w:spacing w:after="0"/>
              <w:rPr>
                <w:sz w:val="15"/>
                <w:szCs w:val="15"/>
                <w:color w:val="auto"/>
              </w:rPr>
            </w:pPr>
          </w:p>
        </w:tc>
      </w:tr>
      <w:tr>
        <w:trPr>
          <w:trHeight w:val="24"/>
        </w:trPr>
        <w:tc>
          <w:tcPr>
            <w:tcW w:w="7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4"/>
        </w:trPr>
        <w:tc>
          <w:tcPr>
            <w:tcW w:w="76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8"/>
                <w:szCs w:val="18"/>
                <w:color w:val="auto"/>
              </w:rPr>
            </w:pPr>
          </w:p>
        </w:tc>
        <w:tc>
          <w:tcPr>
            <w:tcW w:w="1900" w:type="dxa"/>
            <w:vAlign w:val="bottom"/>
            <w:gridSpan w:val="3"/>
          </w:tcPr>
          <w:p>
            <w:pPr>
              <w:jc w:val="right"/>
              <w:ind w:right="641"/>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8"/>
                <w:szCs w:val="18"/>
                <w:color w:val="auto"/>
              </w:rPr>
            </w:pPr>
          </w:p>
        </w:tc>
      </w:tr>
      <w:tr>
        <w:trPr>
          <w:trHeight w:val="225"/>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67,680</w:t>
            </w:r>
          </w:p>
        </w:tc>
      </w:tr>
      <w:tr>
        <w:trPr>
          <w:trHeight w:val="218"/>
        </w:trPr>
        <w:tc>
          <w:tcPr>
            <w:tcW w:w="7660" w:type="dxa"/>
            <w:vAlign w:val="bottom"/>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realized investment losses (gains)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Gain from change in fair value of warrant liability</w:t>
            </w:r>
          </w:p>
        </w:tc>
        <w:tc>
          <w:tcPr>
            <w:tcW w:w="10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Net amortization of premium on investment securities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1,707</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20,869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19,054</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4,196</w:t>
            </w:r>
          </w:p>
        </w:tc>
      </w:tr>
      <w:tr>
        <w:trPr>
          <w:trHeight w:val="218"/>
        </w:trPr>
        <w:tc>
          <w:tcPr>
            <w:tcW w:w="766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Premiums receivable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18"/>
        </w:trPr>
        <w:tc>
          <w:tcPr>
            <w:tcW w:w="7660" w:type="dxa"/>
            <w:vAlign w:val="bottom"/>
          </w:tcPr>
          <w:p>
            <w:pPr>
              <w:ind w:left="340"/>
              <w:spacing w:after="0"/>
              <w:rPr>
                <w:sz w:val="20"/>
                <w:szCs w:val="20"/>
                <w:color w:val="auto"/>
              </w:rPr>
            </w:pPr>
            <w:r>
              <w:rPr>
                <w:rFonts w:ascii="Arial" w:cs="Arial" w:eastAsia="Arial" w:hAnsi="Arial"/>
                <w:sz w:val="17"/>
                <w:szCs w:val="17"/>
                <w:color w:val="auto"/>
              </w:rPr>
              <w:t>Accrued investment income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(1,558)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(521)</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policy acquisition costs, net</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18"/>
        </w:trPr>
        <w:tc>
          <w:tcPr>
            <w:tcW w:w="7660" w:type="dxa"/>
            <w:vAlign w:val="bottom"/>
          </w:tcPr>
          <w:p>
            <w:pPr>
              <w:ind w:left="340"/>
              <w:spacing w:after="0"/>
              <w:rPr>
                <w:sz w:val="20"/>
                <w:szCs w:val="20"/>
                <w:color w:val="auto"/>
              </w:rPr>
            </w:pPr>
            <w:r>
              <w:rPr>
                <w:rFonts w:ascii="Arial" w:cs="Arial" w:eastAsia="Arial" w:hAnsi="Arial"/>
                <w:sz w:val="17"/>
                <w:szCs w:val="17"/>
                <w:color w:val="auto"/>
              </w:rPr>
              <w:t>Reinsurance recoverable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(1,892)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30"/>
        </w:trPr>
        <w:tc>
          <w:tcPr>
            <w:tcW w:w="7660" w:type="dxa"/>
            <w:vAlign w:val="bottom"/>
            <w:shd w:val="clear" w:color="auto" w:fill="CCEEFF"/>
          </w:tcPr>
          <w:p>
            <w:pPr>
              <w:ind w:left="340"/>
              <w:spacing w:after="0" w:line="230"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w:t>
            </w:r>
          </w:p>
        </w:tc>
      </w:tr>
      <w:tr>
        <w:trPr>
          <w:trHeight w:val="218"/>
        </w:trPr>
        <w:tc>
          <w:tcPr>
            <w:tcW w:w="7660" w:type="dxa"/>
            <w:vAlign w:val="bottom"/>
          </w:tcPr>
          <w:p>
            <w:pPr>
              <w:ind w:left="340"/>
              <w:spacing w:after="0"/>
              <w:rPr>
                <w:sz w:val="20"/>
                <w:szCs w:val="20"/>
                <w:color w:val="auto"/>
              </w:rPr>
            </w:pPr>
            <w:r>
              <w:rPr>
                <w:rFonts w:ascii="Arial" w:cs="Arial" w:eastAsia="Arial" w:hAnsi="Arial"/>
                <w:sz w:val="17"/>
                <w:szCs w:val="17"/>
                <w:color w:val="auto"/>
              </w:rPr>
              <w:t>Unearned premiums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(8,971)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(844)</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Reserve for insurance claims and claim expenses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r>
      <w:tr>
        <w:trPr>
          <w:trHeight w:val="218"/>
        </w:trPr>
        <w:tc>
          <w:tcPr>
            <w:tcW w:w="7660" w:type="dxa"/>
            <w:vAlign w:val="bottom"/>
          </w:tcPr>
          <w:p>
            <w:pPr>
              <w:ind w:left="340"/>
              <w:spacing w:after="0"/>
              <w:rPr>
                <w:sz w:val="20"/>
                <w:szCs w:val="20"/>
                <w:color w:val="auto"/>
              </w:rPr>
            </w:pPr>
            <w:r>
              <w:rPr>
                <w:rFonts w:ascii="Arial" w:cs="Arial" w:eastAsia="Arial" w:hAnsi="Arial"/>
                <w:sz w:val="17"/>
                <w:szCs w:val="17"/>
                <w:color w:val="auto"/>
              </w:rPr>
              <w:t>Reinsurance balances, net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(11,535)</w:t>
            </w:r>
          </w:p>
        </w:tc>
      </w:tr>
      <w:tr>
        <w:trPr>
          <w:trHeight w:val="212"/>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89,835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80,310</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8"/>
        </w:trPr>
        <w:tc>
          <w:tcPr>
            <w:tcW w:w="7660" w:type="dxa"/>
            <w:vAlign w:val="bottom"/>
          </w:tcPr>
          <w:p>
            <w:pPr>
              <w:ind w:left="140"/>
              <w:spacing w:after="0"/>
              <w:rPr>
                <w:sz w:val="20"/>
                <w:szCs w:val="20"/>
                <w:color w:val="auto"/>
              </w:rPr>
            </w:pPr>
            <w:r>
              <w:rPr>
                <w:rFonts w:ascii="Arial" w:cs="Arial" w:eastAsia="Arial" w:hAnsi="Arial"/>
                <w:sz w:val="17"/>
                <w:szCs w:val="17"/>
                <w:color w:val="auto"/>
              </w:rPr>
              <w:t>Purchase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0"/>
              </w:rPr>
              <w:t>(106,614)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0"/>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(133,971)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(66,513)</w:t>
            </w:r>
          </w:p>
        </w:tc>
      </w:tr>
      <w:tr>
        <w:trPr>
          <w:trHeight w:val="218"/>
        </w:trPr>
        <w:tc>
          <w:tcPr>
            <w:tcW w:w="7660" w:type="dxa"/>
            <w:vAlign w:val="bottom"/>
          </w:tcPr>
          <w:p>
            <w:pPr>
              <w:ind w:left="140"/>
              <w:spacing w:after="0"/>
              <w:rPr>
                <w:sz w:val="20"/>
                <w:szCs w:val="20"/>
                <w:color w:val="auto"/>
              </w:rPr>
            </w:pPr>
            <w:r>
              <w:rPr>
                <w:rFonts w:ascii="Arial" w:cs="Arial" w:eastAsia="Arial" w:hAnsi="Arial"/>
                <w:sz w:val="17"/>
                <w:szCs w:val="17"/>
                <w:color w:val="auto"/>
              </w:rPr>
              <w:t>Proceeds from maturity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179,297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10,640</w:t>
            </w:r>
          </w:p>
        </w:tc>
      </w:tr>
      <w:tr>
        <w:trPr>
          <w:trHeight w:val="230"/>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36,479</w:t>
            </w:r>
          </w:p>
        </w:tc>
      </w:tr>
      <w:tr>
        <w:trPr>
          <w:trHeight w:val="218"/>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and equipment</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(1,974)</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(33,751)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(21,370)</w:t>
            </w:r>
          </w:p>
        </w:tc>
      </w:tr>
      <w:tr>
        <w:trPr>
          <w:trHeight w:val="198"/>
        </w:trPr>
        <w:tc>
          <w:tcPr>
            <w:tcW w:w="7660" w:type="dxa"/>
            <w:vAlign w:val="bottom"/>
          </w:tcPr>
          <w:p>
            <w:pPr>
              <w:ind w:left="20"/>
              <w:spacing w:after="0" w:line="193" w:lineRule="exact"/>
              <w:rPr>
                <w:sz w:val="20"/>
                <w:szCs w:val="20"/>
                <w:color w:val="auto"/>
              </w:rPr>
            </w:pPr>
            <w:r>
              <w:rPr>
                <w:rFonts w:ascii="Arial" w:cs="Arial" w:eastAsia="Arial" w:hAnsi="Arial"/>
                <w:sz w:val="17"/>
                <w:szCs w:val="17"/>
                <w:color w:val="auto"/>
              </w:rPr>
              <w:t>Cash flows from financing activities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4,491</w:t>
            </w:r>
          </w:p>
        </w:tc>
      </w:tr>
      <w:tr>
        <w:trPr>
          <w:trHeight w:val="218"/>
        </w:trPr>
        <w:tc>
          <w:tcPr>
            <w:tcW w:w="7660" w:type="dxa"/>
            <w:vAlign w:val="bottom"/>
          </w:tcPr>
          <w:p>
            <w:pPr>
              <w:ind w:left="140"/>
              <w:spacing w:after="0"/>
              <w:rPr>
                <w:sz w:val="20"/>
                <w:szCs w:val="20"/>
                <w:color w:val="auto"/>
              </w:rPr>
            </w:pPr>
            <w:r>
              <w:rPr>
                <w:rFonts w:ascii="Arial" w:cs="Arial" w:eastAsia="Arial" w:hAnsi="Arial"/>
                <w:sz w:val="17"/>
                <w:szCs w:val="17"/>
                <w:color w:val="auto"/>
              </w:rPr>
              <w:t>Proceeds from issuance of common stock related to warrant exercises</w:t>
            </w:r>
          </w:p>
        </w:tc>
        <w:tc>
          <w:tcPr>
            <w:tcW w:w="10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290</w:t>
            </w:r>
          </w:p>
        </w:tc>
      </w:tr>
      <w:tr>
        <w:trPr>
          <w:trHeight w:val="230"/>
        </w:trPr>
        <w:tc>
          <w:tcPr>
            <w:tcW w:w="7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Taxes paid related to net share settlement of equity awards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(4,461)</w:t>
            </w:r>
          </w:p>
        </w:tc>
      </w:tr>
      <w:tr>
        <w:trPr>
          <w:trHeight w:val="218"/>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Repurchases of common stock</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r>
      <w:tr>
        <w:trPr>
          <w:trHeight w:val="197"/>
        </w:trPr>
        <w:tc>
          <w:tcPr>
            <w:tcW w:w="7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54,260</w:t>
            </w:r>
          </w:p>
        </w:tc>
      </w:tr>
      <w:tr>
        <w:trPr>
          <w:trHeight w:val="218"/>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76,646</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83,104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130,906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20" w:hanging="314"/>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"Prepaid expenses" have been reclassified as "Other assets" in prior periods.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68"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0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2"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2022, included in our 2022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2023.</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6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2 - Summary of Accounting Principles</w:t>
      </w:r>
      <w:r>
        <w:rPr>
          <w:rFonts w:ascii="Arial" w:cs="Arial" w:eastAsia="Arial" w:hAnsi="Arial"/>
          <w:sz w:val="18"/>
          <w:szCs w:val="18"/>
          <w:color w:val="auto"/>
        </w:rPr>
        <w:t>" of our 2022 10-K, except as noted in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62" w:lineRule="exact"/>
        <w:rPr>
          <w:sz w:val="20"/>
          <w:szCs w:val="20"/>
          <w:color w:val="auto"/>
        </w:rPr>
      </w:pPr>
    </w:p>
    <w:p>
      <w:pPr>
        <w:jc w:val="both"/>
        <w:ind w:left="120" w:firstLine="475"/>
        <w:spacing w:after="0" w:line="285" w:lineRule="auto"/>
        <w:rPr>
          <w:sz w:val="20"/>
          <w:szCs w:val="20"/>
          <w:color w:val="auto"/>
        </w:rPr>
      </w:pPr>
      <w:r>
        <w:rPr>
          <w:rFonts w:ascii="Arial" w:cs="Arial" w:eastAsia="Arial" w:hAnsi="Arial"/>
          <w:sz w:val="16"/>
          <w:szCs w:val="16"/>
          <w:color w:val="auto"/>
        </w:rPr>
        <w:t xml:space="preserve">In August 2018, the Financial Accounting Standards Board (the FASB) issued ASU 2018-12, </w:t>
      </w:r>
      <w:r>
        <w:rPr>
          <w:rFonts w:ascii="Arial" w:cs="Arial" w:eastAsia="Arial" w:hAnsi="Arial"/>
          <w:sz w:val="16"/>
          <w:szCs w:val="16"/>
          <w:i w:val="1"/>
          <w:iCs w:val="1"/>
          <w:color w:val="auto"/>
        </w:rPr>
        <w:t xml:space="preserve">Targeted Improvements to the Accounting for Long-Duration Contracts </w:t>
      </w:r>
      <w:r>
        <w:rPr>
          <w:rFonts w:ascii="Arial" w:cs="Arial" w:eastAsia="Arial" w:hAnsi="Arial"/>
          <w:sz w:val="16"/>
          <w:szCs w:val="16"/>
          <w:color w:val="auto"/>
        </w:rPr>
        <w:t>(Topic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adopted this ASU on January 1, 2023 and determined it did not have a material impact on our consolidated financial statements.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62" w:lineRule="exact"/>
        <w:rPr>
          <w:sz w:val="20"/>
          <w:szCs w:val="20"/>
          <w:color w:val="auto"/>
        </w:rPr>
      </w:pPr>
    </w:p>
    <w:p>
      <w:pPr>
        <w:jc w:val="both"/>
        <w:ind w:left="120" w:firstLine="475"/>
        <w:spacing w:after="0" w:line="28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In December 2022, the FASB issued ASU 2022-06, which extended the sunset date of Topic 848 from December 31, 2022 to December 31, 2024. We continue to monitor the impact the discontinuance of LIBOR will have on our contracts and other transactions; however, the adoption of, and future elections under ASU 2020-04 and ASU 2022-06 are not expected to have a material impact on our consolidated financial statements as the ASUs will ease, if warranted, the requirements for accounting for the future effects of the rate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Investments</w:t>
      </w:r>
    </w:p>
    <w:p>
      <w:pPr>
        <w:spacing w:after="0" w:line="168" w:lineRule="exact"/>
        <w:rPr>
          <w:sz w:val="20"/>
          <w:szCs w:val="20"/>
          <w:color w:val="auto"/>
        </w:rPr>
      </w:pPr>
    </w:p>
    <w:p>
      <w:pPr>
        <w:jc w:val="both"/>
        <w:ind w:left="120" w:firstLine="475"/>
        <w:spacing w:after="0" w:line="282" w:lineRule="auto"/>
        <w:rPr>
          <w:sz w:val="20"/>
          <w:szCs w:val="20"/>
          <w:color w:val="auto"/>
        </w:rPr>
      </w:pPr>
      <w:r>
        <w:rPr>
          <w:rFonts w:ascii="Arial" w:cs="Arial" w:eastAsia="Arial" w:hAnsi="Arial"/>
          <w:sz w:val="16"/>
          <w:szCs w:val="16"/>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 of operations and comprehensive income as a "Net Realized Investment Loss."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5"/>
                <w:szCs w:val="15"/>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80,501</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638,842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573,618</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1,346,470</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69,056</w:t>
            </w: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2,282,161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(215,678)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2,069,645</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102,121</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2,383,982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(215,770)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2,171,766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24"/>
                <w:szCs w:val="24"/>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483,176</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74,762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2,178,624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(254,465)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1,925,308</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174,081</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2,352,747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(254,692)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own any mortgage-backed securities in our asset-backed securities portfolio at March 31, 2023 or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 breakdown of the fair value of our corporate debt securities by issuer industry group as of March 31, 2023 and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18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 2023</w:t>
            </w:r>
          </w:p>
        </w:tc>
        <w:tc>
          <w:tcPr>
            <w:tcW w:w="182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75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4"/>
        </w:trPr>
        <w:tc>
          <w:tcPr>
            <w:tcW w:w="7520" w:type="dxa"/>
            <w:vAlign w:val="bottom"/>
          </w:tcPr>
          <w:p>
            <w:pPr>
              <w:ind w:left="20"/>
              <w:spacing w:after="0"/>
              <w:rPr>
                <w:sz w:val="20"/>
                <w:szCs w:val="20"/>
                <w:color w:val="auto"/>
              </w:rPr>
            </w:pPr>
            <w:r>
              <w:rPr>
                <w:rFonts w:ascii="Arial" w:cs="Arial" w:eastAsia="Arial" w:hAnsi="Arial"/>
                <w:sz w:val="18"/>
                <w:szCs w:val="18"/>
                <w:color w:val="auto"/>
              </w:rPr>
              <w:t>Consumer</w:t>
            </w:r>
          </w:p>
        </w:tc>
        <w:tc>
          <w:tcPr>
            <w:tcW w:w="1780" w:type="dxa"/>
            <w:vAlign w:val="bottom"/>
          </w:tcPr>
          <w:p>
            <w:pPr>
              <w:jc w:val="right"/>
              <w:ind w:right="1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24</w:t>
            </w:r>
          </w:p>
        </w:tc>
      </w:tr>
      <w:tr>
        <w:trPr>
          <w:trHeight w:val="22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1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r>
      <w:tr>
        <w:trPr>
          <w:trHeight w:val="224"/>
        </w:trPr>
        <w:tc>
          <w:tcPr>
            <w:tcW w:w="7520" w:type="dxa"/>
            <w:vAlign w:val="bottom"/>
          </w:tcPr>
          <w:p>
            <w:pPr>
              <w:ind w:left="20"/>
              <w:spacing w:after="0"/>
              <w:rPr>
                <w:sz w:val="20"/>
                <w:szCs w:val="20"/>
                <w:color w:val="auto"/>
              </w:rPr>
            </w:pPr>
            <w:r>
              <w:rPr>
                <w:rFonts w:ascii="Arial" w:cs="Arial" w:eastAsia="Arial" w:hAnsi="Arial"/>
                <w:sz w:val="18"/>
                <w:szCs w:val="18"/>
                <w:color w:val="auto"/>
              </w:rPr>
              <w:t>Utilities</w:t>
            </w:r>
          </w:p>
        </w:tc>
        <w:tc>
          <w:tcPr>
            <w:tcW w:w="178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11</w:t>
            </w:r>
          </w:p>
        </w:tc>
      </w:tr>
      <w:tr>
        <w:trPr>
          <w:trHeight w:val="22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r>
      <w:tr>
        <w:trPr>
          <w:trHeight w:val="224"/>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Industrial</w:t>
            </w:r>
          </w:p>
        </w:tc>
        <w:tc>
          <w:tcPr>
            <w:tcW w:w="1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w:t>
            </w: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20" w:firstLine="475"/>
        <w:spacing w:after="0" w:line="262" w:lineRule="auto"/>
        <w:rPr>
          <w:sz w:val="20"/>
          <w:szCs w:val="20"/>
          <w:color w:val="auto"/>
        </w:rPr>
      </w:pPr>
      <w:r>
        <w:rPr>
          <w:rFonts w:ascii="Arial" w:cs="Arial" w:eastAsia="Arial" w:hAnsi="Arial"/>
          <w:sz w:val="18"/>
          <w:szCs w:val="18"/>
          <w:color w:val="auto"/>
        </w:rPr>
        <w:t>As of March 31, 2023 and December 31, 2022, approximately $5.5 million and $5.4 million, respectively, of our cash and investments were held in the form of U.S. Treasury securities on deposit with various state insurance departments to satisfy regulatory requirements.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Scheduled Maturities</w:t>
      </w:r>
    </w:p>
    <w:p>
      <w:pPr>
        <w:spacing w:after="0" w:line="162" w:lineRule="exact"/>
        <w:rPr>
          <w:sz w:val="20"/>
          <w:szCs w:val="20"/>
          <w:color w:val="auto"/>
        </w:rPr>
      </w:pPr>
    </w:p>
    <w:p>
      <w:pPr>
        <w:jc w:val="both"/>
        <w:ind w:firstLine="633"/>
        <w:spacing w:after="0" w:line="328" w:lineRule="auto"/>
        <w:rPr>
          <w:sz w:val="20"/>
          <w:szCs w:val="20"/>
          <w:color w:val="auto"/>
        </w:rPr>
      </w:pPr>
      <w:r>
        <w:rPr>
          <w:rFonts w:ascii="Arial" w:cs="Arial" w:eastAsia="Arial" w:hAnsi="Arial"/>
          <w:sz w:val="15"/>
          <w:szCs w:val="15"/>
          <w:color w:val="auto"/>
        </w:rPr>
        <w:t>The amortized cost and fair value of available-for-sale securities as of March 31, 2023 and December 31, 2022,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center"/>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215,196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214,150</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996,997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928,613</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932,616</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28,278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27,331</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69,056</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2,383,982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2,171,766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24"/>
                <w:szCs w:val="24"/>
                <w:color w:val="auto"/>
              </w:rPr>
            </w:pPr>
          </w:p>
        </w:tc>
        <w:tc>
          <w:tcPr>
            <w:tcW w:w="1200" w:type="dxa"/>
            <w:vAlign w:val="bottom"/>
          </w:tcPr>
          <w:p>
            <w:pPr>
              <w:jc w:val="center"/>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270,428</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935,615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862,747</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875,947</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2,352,747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Aging of Unrealized Losses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of March 31, 2023, the investment portfolio had gross unrealized losses of $215.8 million, of which $209.2 million were associated with securities that had been in an unrealized loss position for a period of twelve months or longer. As of December 31, 2022, the investment portfolio had gross unrealized losses of $254.7 million, of which $218.5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9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Less Than Twelve Months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20" w:type="dxa"/>
            <w:vAlign w:val="bottom"/>
            <w:gridSpan w:val="8"/>
          </w:tcPr>
          <w:p>
            <w:pPr>
              <w:spacing w:after="0"/>
              <w:rPr>
                <w:sz w:val="20"/>
                <w:szCs w:val="20"/>
                <w:color w:val="auto"/>
              </w:rPr>
            </w:pPr>
            <w:r>
              <w:rPr>
                <w:rFonts w:ascii="Arial" w:cs="Arial" w:eastAsia="Arial" w:hAnsi="Arial"/>
                <w:sz w:val="14"/>
                <w:szCs w:val="14"/>
                <w:b w:val="1"/>
                <w:bCs w:val="1"/>
                <w:color w:val="auto"/>
              </w:rPr>
              <w:t>Twelve Months or Greater</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66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Securities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6"/>
          </w:tcPr>
          <w:p>
            <w:pPr>
              <w:ind w:left="420"/>
              <w:spacing w:after="0"/>
              <w:rPr>
                <w:sz w:val="20"/>
                <w:szCs w:val="20"/>
                <w:color w:val="auto"/>
              </w:rPr>
            </w:pPr>
            <w:r>
              <w:rPr>
                <w:rFonts w:ascii="Arial" w:cs="Arial" w:eastAsia="Arial" w:hAnsi="Arial"/>
                <w:sz w:val="14"/>
                <w:szCs w:val="14"/>
                <w:i w:val="1"/>
                <w:iCs w:val="1"/>
                <w:color w:val="auto"/>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92"/>
              </w:rPr>
              <w:t>obligations of U.S. government</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58,938</w:t>
            </w: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(483)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472,635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(64,903)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531,573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(65,386)</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234,568</w:t>
            </w: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1,002,166</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(138,215)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1,236,734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(143,354)</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69,056</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69,056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375,308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(6,614)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1,567,307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(209,156)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1,942,615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(215,770)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320" w:type="dxa"/>
            <w:vAlign w:val="bottom"/>
          </w:tcPr>
          <w:p>
            <w:pPr>
              <w:spacing w:after="0"/>
              <w:rPr>
                <w:sz w:val="24"/>
                <w:szCs w:val="24"/>
                <w:color w:val="auto"/>
              </w:rPr>
            </w:pPr>
          </w:p>
        </w:tc>
        <w:tc>
          <w:tcPr>
            <w:tcW w:w="290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Less Than Twelve Months</w:t>
            </w:r>
          </w:p>
        </w:tc>
        <w:tc>
          <w:tcPr>
            <w:tcW w:w="80" w:type="dxa"/>
            <w:vAlign w:val="bottom"/>
          </w:tcPr>
          <w:p>
            <w:pPr>
              <w:spacing w:after="0"/>
              <w:rPr>
                <w:sz w:val="24"/>
                <w:szCs w:val="24"/>
                <w:color w:val="auto"/>
              </w:rPr>
            </w:pPr>
          </w:p>
        </w:tc>
        <w:tc>
          <w:tcPr>
            <w:tcW w:w="2980" w:type="dxa"/>
            <w:vAlign w:val="bottom"/>
            <w:gridSpan w:val="9"/>
          </w:tcPr>
          <w:p>
            <w:pPr>
              <w:ind w:left="560"/>
              <w:spacing w:after="0"/>
              <w:rPr>
                <w:sz w:val="20"/>
                <w:szCs w:val="20"/>
                <w:color w:val="auto"/>
              </w:rPr>
            </w:pPr>
            <w:r>
              <w:rPr>
                <w:rFonts w:ascii="Arial" w:cs="Arial" w:eastAsia="Arial" w:hAnsi="Arial"/>
                <w:sz w:val="14"/>
                <w:szCs w:val="14"/>
                <w:b w:val="1"/>
                <w:bCs w:val="1"/>
                <w:color w:val="auto"/>
              </w:rPr>
              <w:t>Twelve Months or Greater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96"/>
              <w:spacing w:after="0" w:line="125"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84"/>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76"/>
              <w:spacing w:after="0" w:line="12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36"/>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76"/>
              <w:spacing w:after="0" w:line="12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w w:val="86"/>
              </w:rPr>
              <w:t>Losses</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Securities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6"/>
          </w:tcPr>
          <w:p>
            <w:pPr>
              <w:ind w:left="420"/>
              <w:spacing w:after="0"/>
              <w:rPr>
                <w:sz w:val="20"/>
                <w:szCs w:val="20"/>
                <w:color w:val="auto"/>
              </w:rPr>
            </w:pPr>
            <w:r>
              <w:rPr>
                <w:rFonts w:ascii="Arial" w:cs="Arial" w:eastAsia="Arial" w:hAnsi="Arial"/>
                <w:sz w:val="14"/>
                <w:szCs w:val="14"/>
                <w:i w:val="1"/>
                <w:iCs w:val="1"/>
                <w:color w:val="auto"/>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2"/>
              </w:rPr>
              <w:t>obligations of U.S. government</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143,097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340,079</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483,176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(80,796)</w:t>
            </w: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1,224,711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(165,096)</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55,031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68,558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772,198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(36,225)</w:t>
            </w: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1,188,415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1,960,613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(254,692)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Allowance for credit losses</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As of March 31, 2023 and December 31, 2022, we did not recognize an allowance for credit loss for any security in the investment portfolio and we did not record any provision for credit loss for investment securities during the three months ended March 31, 2023 or 2022.</w:t>
      </w:r>
    </w:p>
    <w:p>
      <w:pPr>
        <w:spacing w:after="0" w:line="12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decrease in the number of securities in and the aggregate size of the unrealized loss position as of March 31, 2023, was driven by fluctuations in interest rates and, to a lesser extent, movements in credit spreads since December 31, 2022. We evaluated the securities in an unrealized loss position as of March 31, 2023, assessing their credit ratings as well as any adverse conditions specifically related to the security. Based upon our estimate of the amount and timing of cash flows to be collected over the remaining life of each instrument, we believe the unrealized losses as of March 31, 2023 are not indicative of the ultimate collectability of the current amortized cost of the securities.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Investment Income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80" w:type="dxa"/>
            <w:vAlign w:val="bottom"/>
          </w:tcPr>
          <w:p>
            <w:pPr>
              <w:spacing w:after="0"/>
              <w:rPr>
                <w:sz w:val="15"/>
                <w:szCs w:val="15"/>
                <w:color w:val="auto"/>
              </w:rPr>
            </w:pPr>
          </w:p>
        </w:tc>
        <w:tc>
          <w:tcPr>
            <w:tcW w:w="3500" w:type="dxa"/>
            <w:vAlign w:val="bottom"/>
            <w:gridSpan w:val="4"/>
          </w:tcPr>
          <w:p>
            <w:pPr>
              <w:jc w:val="right"/>
              <w:ind w:right="158"/>
              <w:spacing w:after="0"/>
              <w:rPr>
                <w:sz w:val="20"/>
                <w:szCs w:val="20"/>
                <w:color w:val="auto"/>
              </w:rPr>
            </w:pPr>
            <w:r>
              <w:rPr>
                <w:rFonts w:ascii="Arial" w:cs="Arial" w:eastAsia="Arial" w:hAnsi="Arial"/>
                <w:sz w:val="14"/>
                <w:szCs w:val="14"/>
                <w:b w:val="1"/>
                <w:bCs w:val="1"/>
                <w:color w:val="auto"/>
              </w:rPr>
              <w:t>For the three months ended March 31,</w:t>
            </w:r>
          </w:p>
        </w:tc>
        <w:tc>
          <w:tcPr>
            <w:tcW w:w="720" w:type="dxa"/>
            <w:vAlign w:val="bottom"/>
          </w:tcPr>
          <w:p>
            <w:pPr>
              <w:spacing w:after="0"/>
              <w:rPr>
                <w:sz w:val="15"/>
                <w:szCs w:val="15"/>
                <w:color w:val="auto"/>
              </w:rPr>
            </w:pPr>
          </w:p>
        </w:tc>
      </w:tr>
      <w:tr>
        <w:trPr>
          <w:trHeight w:val="24"/>
        </w:trPr>
        <w:tc>
          <w:tcPr>
            <w:tcW w:w="69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6980" w:type="dxa"/>
            <w:vAlign w:val="bottom"/>
          </w:tcPr>
          <w:p>
            <w:pPr>
              <w:spacing w:after="0"/>
              <w:rPr>
                <w:sz w:val="16"/>
                <w:szCs w:val="16"/>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r>
      <w:tr>
        <w:trPr>
          <w:trHeight w:val="189"/>
        </w:trPr>
        <w:tc>
          <w:tcPr>
            <w:tcW w:w="6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160" w:type="dxa"/>
            <w:vAlign w:val="bottom"/>
            <w:gridSpan w:val="3"/>
          </w:tcPr>
          <w:p>
            <w:pPr>
              <w:jc w:val="right"/>
              <w:ind w:right="878"/>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6"/>
                <w:szCs w:val="16"/>
                <w:color w:val="auto"/>
              </w:rPr>
            </w:pPr>
          </w:p>
        </w:tc>
      </w:tr>
      <w:tr>
        <w:trPr>
          <w:trHeight w:val="23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340" w:type="dxa"/>
            <w:vAlign w:val="bottom"/>
            <w:shd w:val="clear" w:color="auto" w:fill="CCEEFF"/>
          </w:tcPr>
          <w:p>
            <w:pPr>
              <w:jc w:val="right"/>
              <w:ind w:right="116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38"/>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r>
      <w:tr>
        <w:trPr>
          <w:trHeight w:val="22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340" w:type="dxa"/>
            <w:vAlign w:val="bottom"/>
            <w:tcBorders>
              <w:bottom w:val="single" w:sz="8" w:color="auto"/>
            </w:tcBorders>
            <w:shd w:val="clear" w:color="auto" w:fill="CCEEFF"/>
          </w:tcPr>
          <w:p>
            <w:pPr>
              <w:jc w:val="right"/>
              <w:ind w:right="116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38"/>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realized investment gains: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20" w:type="dxa"/>
            <w:vAlign w:val="bottom"/>
          </w:tcPr>
          <w:p>
            <w:pPr>
              <w:spacing w:after="0"/>
              <w:rPr>
                <w:sz w:val="15"/>
                <w:szCs w:val="15"/>
                <w:color w:val="auto"/>
              </w:rPr>
            </w:pPr>
          </w:p>
        </w:tc>
        <w:tc>
          <w:tcPr>
            <w:tcW w:w="3620" w:type="dxa"/>
            <w:vAlign w:val="bottom"/>
            <w:gridSpan w:val="4"/>
          </w:tcPr>
          <w:p>
            <w:pPr>
              <w:jc w:val="right"/>
              <w:ind w:right="278"/>
              <w:spacing w:after="0"/>
              <w:rPr>
                <w:sz w:val="20"/>
                <w:szCs w:val="20"/>
                <w:color w:val="auto"/>
              </w:rPr>
            </w:pPr>
            <w:r>
              <w:rPr>
                <w:rFonts w:ascii="Arial" w:cs="Arial" w:eastAsia="Arial" w:hAnsi="Arial"/>
                <w:sz w:val="14"/>
                <w:szCs w:val="14"/>
                <w:b w:val="1"/>
                <w:bCs w:val="1"/>
                <w:color w:val="auto"/>
              </w:rPr>
              <w:t>For the three months ended March 31,</w:t>
            </w:r>
          </w:p>
        </w:tc>
        <w:tc>
          <w:tcPr>
            <w:tcW w:w="600" w:type="dxa"/>
            <w:vAlign w:val="bottom"/>
          </w:tcPr>
          <w:p>
            <w:pPr>
              <w:spacing w:after="0"/>
              <w:rPr>
                <w:sz w:val="15"/>
                <w:szCs w:val="15"/>
                <w:color w:val="auto"/>
              </w:rPr>
            </w:pPr>
          </w:p>
        </w:tc>
      </w:tr>
      <w:tr>
        <w:trPr>
          <w:trHeight w:val="24"/>
        </w:trPr>
        <w:tc>
          <w:tcPr>
            <w:tcW w:w="70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7020" w:type="dxa"/>
            <w:vAlign w:val="bottom"/>
          </w:tcPr>
          <w:p>
            <w:pPr>
              <w:spacing w:after="0"/>
              <w:rPr>
                <w:sz w:val="16"/>
                <w:szCs w:val="16"/>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189"/>
        </w:trPr>
        <w:tc>
          <w:tcPr>
            <w:tcW w:w="7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0" w:type="dxa"/>
            <w:vAlign w:val="bottom"/>
            <w:gridSpan w:val="3"/>
          </w:tcPr>
          <w:p>
            <w:pPr>
              <w:jc w:val="right"/>
              <w:ind w:right="998"/>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6"/>
                <w:szCs w:val="16"/>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420" w:type="dxa"/>
            <w:vAlign w:val="bottom"/>
            <w:shd w:val="clear" w:color="auto" w:fill="CCEEFF"/>
          </w:tcPr>
          <w:p>
            <w:pPr>
              <w:jc w:val="right"/>
              <w:ind w:right="1241"/>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8"/>
              </w:rPr>
              <w:t>—</w:t>
            </w:r>
          </w:p>
        </w:tc>
        <w:tc>
          <w:tcPr>
            <w:tcW w:w="1460" w:type="dxa"/>
            <w:vAlign w:val="bottom"/>
            <w:shd w:val="clear" w:color="auto" w:fill="CCEEFF"/>
          </w:tcPr>
          <w:p>
            <w:pPr>
              <w:jc w:val="right"/>
              <w:ind w:right="125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4"/>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realized investment losses</w:t>
            </w:r>
          </w:p>
        </w:tc>
        <w:tc>
          <w:tcPr>
            <w:tcW w:w="1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216"/>
              <w:spacing w:after="0"/>
              <w:rPr>
                <w:sz w:val="20"/>
                <w:szCs w:val="20"/>
                <w:color w:val="auto"/>
              </w:rPr>
            </w:pPr>
            <w:r>
              <w:rPr>
                <w:rFonts w:ascii="Arial" w:cs="Arial" w:eastAsia="Arial" w:hAnsi="Arial"/>
                <w:sz w:val="18"/>
                <w:szCs w:val="18"/>
                <w:color w:val="auto"/>
                <w:w w:val="93"/>
              </w:rPr>
              <w:t>(33)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(losses) gains</w:t>
            </w:r>
          </w:p>
        </w:tc>
        <w:tc>
          <w:tcPr>
            <w:tcW w:w="142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93"/>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5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6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01" w:lineRule="exact"/>
        <w:rPr>
          <w:sz w:val="20"/>
          <w:szCs w:val="20"/>
          <w:color w:val="auto"/>
        </w:rPr>
      </w:pPr>
    </w:p>
    <w:p>
      <w:pPr>
        <w:jc w:val="both"/>
        <w:ind w:left="640"/>
        <w:spacing w:after="0" w:line="325" w:lineRule="auto"/>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82"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40" w:lineRule="exact"/>
        <w:rPr>
          <w:sz w:val="20"/>
          <w:szCs w:val="20"/>
          <w:color w:val="auto"/>
        </w:rPr>
      </w:pPr>
    </w:p>
    <w:p>
      <w:pPr>
        <w:jc w:val="both"/>
        <w:ind w:left="640"/>
        <w:spacing w:after="0" w:line="29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62"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Fair Value Measurements Using</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19"/>
              <w:spacing w:after="0" w:line="129"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9"/>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1"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 of March 31, 2023</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80,501</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573,618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573,618</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1,346,470</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69,056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69,056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185,225</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265,726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1,989,144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2,254,870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Fair Value Measurements Using</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9"/>
              <w:spacing w:after="0" w:line="125"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39"/>
              <w:spacing w:after="0" w:line="125"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39"/>
              <w:spacing w:after="0" w:line="136"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3"/>
          </w:tcPr>
          <w:p>
            <w:pPr>
              <w:jc w:val="center"/>
              <w:ind w:right="320"/>
              <w:spacing w:after="0" w:line="136" w:lineRule="exact"/>
              <w:rPr>
                <w:sz w:val="20"/>
                <w:szCs w:val="20"/>
                <w:color w:val="auto"/>
              </w:rPr>
            </w:pPr>
            <w:r>
              <w:rPr>
                <w:rFonts w:ascii="Arial" w:cs="Arial" w:eastAsia="Arial" w:hAnsi="Arial"/>
                <w:sz w:val="14"/>
                <w:szCs w:val="14"/>
                <w:b w:val="1"/>
                <w:bCs w:val="1"/>
                <w:color w:val="auto"/>
                <w:w w:val="91"/>
              </w:rPr>
              <w:t>Observable Inputs</w:t>
            </w:r>
          </w:p>
        </w:tc>
        <w:tc>
          <w:tcPr>
            <w:tcW w:w="400" w:type="dxa"/>
            <w:vAlign w:val="bottom"/>
          </w:tcPr>
          <w:p>
            <w:pPr>
              <w:spacing w:after="0"/>
              <w:rPr>
                <w:sz w:val="11"/>
                <w:szCs w:val="11"/>
                <w:color w:val="auto"/>
              </w:rPr>
            </w:pPr>
          </w:p>
        </w:tc>
        <w:tc>
          <w:tcPr>
            <w:tcW w:w="1420" w:type="dxa"/>
            <w:vAlign w:val="bottom"/>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483,176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483,176</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68,558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218,507</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298,439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1,845,376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2,143,815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There were no transfers between Level 2 and Level 3 of the fair value hierarchy during the three months ended March 31, 2023, or the year ended December 31, 2022.</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On June 19, 2020, we issued $400 million aggregate principal amount of senior secured notes that mature on June 1, 2025 (the Notes) and used a portion of the proceeds from the Notes offering to repay the outstanding amount due under our $150 million term loan (2018 Term Loan). At March 31, 2023, the Notes were carried at a cost of $396.4 million, net of unamortized debt issuance costs of $3.6 million, and had a fair value of $401.9 million as assessed under our Level 2 hierarchy. At December 31, 2022, the Notes were carried at a cost of $396.1 million, net of unamortized debt issuance costs of $3.9 million, and had a fair value of $405.9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Senior Secured Notes</w:t>
      </w:r>
    </w:p>
    <w:p>
      <w:pPr>
        <w:spacing w:after="0" w:line="16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At March 31, 2023, we had $400 million aggregate principal amount of senior secured notes outstanding. The Notes were issued pursuant to an indenture dated June 19, 2020 (the Indenture) and bear interest at a rate of 7.375%, payable semi-annually on June 1 and December 1.</w:t>
      </w:r>
    </w:p>
    <w:p>
      <w:pPr>
        <w:spacing w:after="0" w:line="8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over the principal amount. At any time on or after March 1, 2025, we may elect to redeem the Notes in whole or in part at a price equal to 100% of the aggregate principal amount of the Notes to be redeemed plus accrued and unpaid interest thereon.</w:t>
      </w:r>
    </w:p>
    <w:p>
      <w:pPr>
        <w:spacing w:after="0" w:line="12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The effective interest rate on the Notes is 7.825%. At March 31, 2023 and December 31, 2022, approximately $3.6 million and $3.9 million, respectively, of unamortized debt issuance costs remained.</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At March 31, 2023 and December 31, 2022, $9.8 million and $2.5 million, respectively, of accrued and unpaid interest on the Notes was included in "Accounts Payable and Accrued Expenses" on the condensed consolidated balance sheets.</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Revolving Credit Facility</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Secured Overnight Financing Rate (SOFR, as defined in the 2021 Revolving Credit Facility) plus a margin of 1.375% to 2.875% per annum, with the margin in each of (i) or (ii) based on our applicable corporate credit rating at the time. As of March 31, 2023 and December 31, 2022, no amounts were drawn under the 2021 Revolving Credit Facility.</w:t>
      </w:r>
    </w:p>
    <w:p>
      <w:pPr>
        <w:spacing w:after="0" w:line="11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2021 Revolving Credit Facility, we are required to pay a quarterly commitment fee on the average daily undrawn amount of 0.175% to 0.525%, based on the applicable corporate credit rating at the time. As of March 31, 2023, the applicable commitment fee was 0.30%. For the three months ended March 31, 2023, we recorded $0.2 million of commitment fees in interest expense.</w:t>
      </w:r>
    </w:p>
    <w:p>
      <w:pPr>
        <w:spacing w:after="0" w:line="137"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The combined unamortized debt issuance will be amortized through interest expense on a straight-line basis over the contractual life of the 2021 Revolving Credit Facility. At March 31, 2023 and December 31, 2022, remaining unamortized deferred debt issuance costs were $1.1 million and $1.2 million, respectively.</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March 31,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60" w:type="dxa"/>
            <w:vAlign w:val="bottom"/>
            <w:gridSpan w:val="4"/>
          </w:tcPr>
          <w:p>
            <w:pPr>
              <w:jc w:val="center"/>
              <w:ind w:right="195"/>
              <w:spacing w:after="0"/>
              <w:rPr>
                <w:sz w:val="20"/>
                <w:szCs w:val="20"/>
                <w:color w:val="auto"/>
              </w:rPr>
            </w:pPr>
            <w:r>
              <w:rPr>
                <w:rFonts w:ascii="Arial" w:cs="Arial" w:eastAsia="Arial" w:hAnsi="Arial"/>
                <w:sz w:val="14"/>
                <w:szCs w:val="14"/>
                <w:b w:val="1"/>
                <w:bCs w:val="1"/>
                <w:color w:val="auto"/>
                <w:w w:val="89"/>
              </w:rPr>
              <w:t>For the three months ended</w:t>
            </w:r>
          </w:p>
        </w:tc>
      </w:tr>
      <w:tr>
        <w:trPr>
          <w:trHeight w:val="24"/>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2022</w:t>
            </w:r>
          </w:p>
        </w:tc>
      </w:tr>
      <w:tr>
        <w:trPr>
          <w:trHeight w:val="189"/>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3"/>
          </w:tcPr>
          <w:p>
            <w:pPr>
              <w:jc w:val="center"/>
              <w:ind w:left="1058"/>
              <w:spacing w:after="0"/>
              <w:rPr>
                <w:sz w:val="20"/>
                <w:szCs w:val="20"/>
                <w:color w:val="auto"/>
              </w:rPr>
            </w:pPr>
            <w:r>
              <w:rPr>
                <w:rFonts w:ascii="Arial" w:cs="Arial" w:eastAsia="Arial" w:hAnsi="Arial"/>
                <w:sz w:val="14"/>
                <w:szCs w:val="14"/>
                <w:i w:val="1"/>
                <w:iCs w:val="1"/>
                <w:color w:val="auto"/>
                <w:w w:val="91"/>
              </w:rPr>
              <w:t>(In Thousands)</w:t>
            </w:r>
          </w:p>
        </w:tc>
        <w:tc>
          <w:tcPr>
            <w:tcW w:w="1420" w:type="dxa"/>
            <w:vAlign w:val="bottom"/>
          </w:tcPr>
          <w:p>
            <w:pPr>
              <w:spacing w:after="0"/>
              <w:rPr>
                <w:sz w:val="16"/>
                <w:szCs w:val="16"/>
                <w:color w:val="auto"/>
              </w:rPr>
            </w:pPr>
          </w:p>
        </w:tc>
      </w:tr>
      <w:tr>
        <w:trPr>
          <w:trHeight w:val="23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4"/>
        </w:trPr>
        <w:tc>
          <w:tcPr>
            <w:tcW w:w="7480" w:type="dxa"/>
            <w:vAlign w:val="bottom"/>
          </w:tcPr>
          <w:p>
            <w:pPr>
              <w:ind w:left="14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tcPr>
          <w:p>
            <w:pPr>
              <w:ind w:left="900"/>
              <w:spacing w:after="0"/>
              <w:rPr>
                <w:sz w:val="20"/>
                <w:szCs w:val="20"/>
                <w:color w:val="auto"/>
              </w:rPr>
            </w:pPr>
            <w:r>
              <w:rPr>
                <w:rFonts w:ascii="Arial" w:cs="Arial" w:eastAsia="Arial" w:hAnsi="Arial"/>
                <w:sz w:val="18"/>
                <w:szCs w:val="18"/>
                <w:color w:val="auto"/>
                <w:w w:val="95"/>
              </w:rPr>
              <w:t>148,932</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780"/>
              <w:spacing w:after="0"/>
              <w:rPr>
                <w:sz w:val="20"/>
                <w:szCs w:val="20"/>
                <w:color w:val="auto"/>
              </w:rPr>
            </w:pPr>
            <w:r>
              <w:rPr>
                <w:rFonts w:ascii="Arial" w:cs="Arial" w:eastAsia="Arial" w:hAnsi="Arial"/>
                <w:sz w:val="18"/>
                <w:szCs w:val="18"/>
                <w:color w:val="auto"/>
                <w:w w:val="95"/>
              </w:rPr>
              <w:t>138,872</w:t>
            </w:r>
          </w:p>
        </w:tc>
      </w:tr>
      <w:tr>
        <w:trPr>
          <w:trHeight w:val="225"/>
        </w:trPr>
        <w:tc>
          <w:tcPr>
            <w:tcW w:w="748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9"/>
              </w:rPr>
              <w:t>(35,956)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2"/>
              </w:rPr>
              <w:t>(22,838)</w:t>
            </w:r>
          </w:p>
        </w:tc>
      </w:tr>
      <w:tr>
        <w:trPr>
          <w:trHeight w:val="217"/>
        </w:trPr>
        <w:tc>
          <w:tcPr>
            <w:tcW w:w="7480" w:type="dxa"/>
            <w:vAlign w:val="bottom"/>
          </w:tcPr>
          <w:p>
            <w:pPr>
              <w:ind w:left="140"/>
              <w:spacing w:after="0"/>
              <w:rPr>
                <w:sz w:val="20"/>
                <w:szCs w:val="20"/>
                <w:color w:val="auto"/>
              </w:rPr>
            </w:pPr>
            <w:r>
              <w:rPr>
                <w:rFonts w:ascii="Arial" w:cs="Arial" w:eastAsia="Arial" w:hAnsi="Arial"/>
                <w:sz w:val="18"/>
                <w:szCs w:val="18"/>
                <w:color w:val="auto"/>
              </w:rPr>
              <w:t>Net premiums written</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5"/>
              </w:rPr>
              <w:t>112,976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5"/>
              </w:rPr>
              <w:t>116,034</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7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4"/>
        </w:trPr>
        <w:tc>
          <w:tcPr>
            <w:tcW w:w="748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157,904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5"/>
              </w:rPr>
              <w:t>139,716</w:t>
            </w:r>
          </w:p>
        </w:tc>
      </w:tr>
      <w:tr>
        <w:trPr>
          <w:trHeight w:val="224"/>
        </w:trPr>
        <w:tc>
          <w:tcPr>
            <w:tcW w:w="7480" w:type="dxa"/>
            <w:vAlign w:val="bottom"/>
            <w:tcBorders>
              <w:bottom w:val="single" w:sz="8" w:color="CCEEFF"/>
            </w:tcBorders>
          </w:tcPr>
          <w:p>
            <w:pPr>
              <w:ind w:left="140"/>
              <w:spacing w:after="0" w:line="224"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89"/>
              </w:rPr>
              <w:t>(36,150)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2"/>
              </w:rPr>
              <w:t>(23,221)</w:t>
            </w:r>
          </w:p>
        </w:tc>
      </w:tr>
      <w:tr>
        <w:trPr>
          <w:trHeight w:val="242"/>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5"/>
              </w:rPr>
              <w:t>121,754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116,495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profit commission.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is a party to reinsurance agreements with Oaktown Re II Ltd., Oaktown Re III Ltd., Oaktown Re V Ltd., Oaktown Re VI Ltd., and Oaktown Re VII Ltd. (special purpose reinsurance entities collectively referred to as the Oaktown Re Vehicles) effective July 25, 2018,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4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$9.1 million and $10.9 million during the three months ended March 31, 2023 and 2022, respectively.</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months ended March 31, 2023 and 2022, as the aggregate first layer risk retention for each applicable agreement was not exhausted during such periods.</w:t>
      </w:r>
    </w:p>
    <w:p>
      <w:pPr>
        <w:spacing w:after="0" w:line="137"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12.5-year maturity). We refer to NMIC's reinsurance agreements with and the insurance-linked note issuances by Oaktown Re Vehicles individually as the 2018 ILN Transaction, 2019 ILN Transaction, 2020-2 ILN Transaction, 2021-1 ILN Transaction, and 2021-2 ILN Transaction, and collectively as the ILN Transactions.</w:t>
      </w:r>
    </w:p>
    <w:p>
      <w:pPr>
        <w:spacing w:after="0" w:line="117"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 As of March 31, 2023, the 2021-2 ILN Transaction was deemed to be in Lock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Out in connection with the initial build of its target credit enhancement level and will remain in Lock Out until such target credit enhancement level is achieved. Effective February 28, 2023, a previously triggered Lock-Out Event for the 2018 ILN Transaction was deemed to have cleared and amortization of the associated reinsurance coverage, and distribution of collateral assets and amortization of the associated insurance-linked notes resumed.</w:t>
      </w:r>
    </w:p>
    <w:p>
      <w:pPr>
        <w:spacing w:after="0" w:line="10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41"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March 31,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b w:val="1"/>
                <w:bCs w:val="1"/>
                <w:color w:val="auto"/>
              </w:rPr>
              <w:t>Initial</w:t>
            </w:r>
          </w:p>
        </w:tc>
        <w:tc>
          <w:tcPr>
            <w:tcW w:w="200" w:type="dxa"/>
            <w:vAlign w:val="bottom"/>
          </w:tcPr>
          <w:p>
            <w:pPr>
              <w:spacing w:after="0"/>
              <w:rPr>
                <w:sz w:val="14"/>
                <w:szCs w:val="14"/>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rPr>
              <w:t>Initial First</w:t>
            </w:r>
          </w:p>
        </w:tc>
        <w:tc>
          <w:tcPr>
            <w:tcW w:w="200" w:type="dxa"/>
            <w:vAlign w:val="bottom"/>
          </w:tcPr>
          <w:p>
            <w:pPr>
              <w:spacing w:after="0"/>
              <w:rPr>
                <w:sz w:val="14"/>
                <w:szCs w:val="14"/>
                <w:color w:val="auto"/>
              </w:rPr>
            </w:pPr>
          </w:p>
        </w:tc>
        <w:tc>
          <w:tcPr>
            <w:tcW w:w="11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1"/>
        </w:trPr>
        <w:tc>
          <w:tcPr>
            <w:tcW w:w="23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21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Covered Production</w:t>
            </w:r>
          </w:p>
        </w:tc>
        <w:tc>
          <w:tcPr>
            <w:tcW w:w="280" w:type="dxa"/>
            <w:vAlign w:val="bottom"/>
          </w:tcPr>
          <w:p>
            <w:pPr>
              <w:spacing w:after="0"/>
              <w:rPr>
                <w:sz w:val="12"/>
                <w:szCs w:val="12"/>
                <w:color w:val="auto"/>
              </w:rPr>
            </w:pPr>
          </w:p>
        </w:tc>
        <w:tc>
          <w:tcPr>
            <w:tcW w:w="980" w:type="dxa"/>
            <w:vAlign w:val="bottom"/>
          </w:tcPr>
          <w:p>
            <w:pPr>
              <w:jc w:val="center"/>
              <w:ind w:right="79"/>
              <w:spacing w:after="0" w:line="141" w:lineRule="exact"/>
              <w:rPr>
                <w:sz w:val="20"/>
                <w:szCs w:val="20"/>
                <w:color w:val="auto"/>
              </w:rPr>
            </w:pPr>
            <w:r>
              <w:rPr>
                <w:rFonts w:ascii="Arial" w:cs="Arial" w:eastAsia="Arial" w:hAnsi="Arial"/>
                <w:sz w:val="14"/>
                <w:szCs w:val="14"/>
                <w:b w:val="1"/>
                <w:bCs w:val="1"/>
                <w:color w:val="auto"/>
                <w:w w:val="88"/>
              </w:rPr>
              <w:t>Reinsurance</w:t>
            </w:r>
          </w:p>
        </w:tc>
        <w:tc>
          <w:tcPr>
            <w:tcW w:w="200" w:type="dxa"/>
            <w:vAlign w:val="bottom"/>
          </w:tcPr>
          <w:p>
            <w:pPr>
              <w:spacing w:after="0"/>
              <w:rPr>
                <w:sz w:val="12"/>
                <w:szCs w:val="12"/>
                <w:color w:val="auto"/>
              </w:rPr>
            </w:pPr>
          </w:p>
        </w:tc>
        <w:tc>
          <w:tcPr>
            <w:tcW w:w="940" w:type="dxa"/>
            <w:vAlign w:val="bottom"/>
          </w:tcPr>
          <w:p>
            <w:pPr>
              <w:jc w:val="center"/>
              <w:ind w:right="79"/>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80" w:type="dxa"/>
            <w:vAlign w:val="bottom"/>
            <w:gridSpan w:val="2"/>
          </w:tcPr>
          <w:p>
            <w:pPr>
              <w:jc w:val="right"/>
              <w:ind w:right="17"/>
              <w:spacing w:after="0" w:line="141" w:lineRule="exact"/>
              <w:rPr>
                <w:sz w:val="20"/>
                <w:szCs w:val="20"/>
                <w:color w:val="auto"/>
              </w:rPr>
            </w:pPr>
            <w:r>
              <w:rPr>
                <w:rFonts w:ascii="Arial" w:cs="Arial" w:eastAsia="Arial" w:hAnsi="Arial"/>
                <w:sz w:val="14"/>
                <w:szCs w:val="14"/>
                <w:b w:val="1"/>
                <w:bCs w:val="1"/>
                <w:color w:val="auto"/>
              </w:rPr>
              <w:t>Layer Retained</w:t>
            </w:r>
          </w:p>
        </w:tc>
        <w:tc>
          <w:tcPr>
            <w:tcW w:w="200" w:type="dxa"/>
            <w:vAlign w:val="bottom"/>
          </w:tcPr>
          <w:p>
            <w:pPr>
              <w:spacing w:after="0"/>
              <w:rPr>
                <w:sz w:val="12"/>
                <w:szCs w:val="12"/>
                <w:color w:val="auto"/>
              </w:rPr>
            </w:pPr>
          </w:p>
        </w:tc>
        <w:tc>
          <w:tcPr>
            <w:tcW w:w="1100" w:type="dxa"/>
            <w:vAlign w:val="bottom"/>
          </w:tcPr>
          <w:p>
            <w:pPr>
              <w:jc w:val="center"/>
              <w:ind w:right="39"/>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CCEEFF"/>
            </w:tcBorders>
            <w:gridSpan w:val="2"/>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2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2018 ILN Transaction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July 25, 2018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1/1/2017 – 5/31/2018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264,545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147,608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125,312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122,166</w:t>
            </w:r>
          </w:p>
        </w:tc>
        <w:tc>
          <w:tcPr>
            <w:tcW w:w="0" w:type="dxa"/>
            <w:vAlign w:val="bottom"/>
          </w:tcPr>
          <w:p>
            <w:pPr>
              <w:spacing w:after="0"/>
              <w:rPr>
                <w:sz w:val="1"/>
                <w:szCs w:val="1"/>
                <w:color w:val="auto"/>
              </w:rPr>
            </w:pPr>
          </w:p>
        </w:tc>
      </w:tr>
      <w:tr>
        <w:trPr>
          <w:trHeight w:val="224"/>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2019 ILN Transaction</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July 30, 2019</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6/1/2018 – 6/30/2019</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326,905</w:t>
            </w:r>
          </w:p>
        </w:tc>
        <w:tc>
          <w:tcPr>
            <w:tcW w:w="2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191,044</w:t>
            </w:r>
          </w:p>
        </w:tc>
        <w:tc>
          <w:tcPr>
            <w:tcW w:w="22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123,424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122,182</w:t>
            </w:r>
          </w:p>
        </w:tc>
        <w:tc>
          <w:tcPr>
            <w:tcW w:w="0" w:type="dxa"/>
            <w:vAlign w:val="bottom"/>
          </w:tcPr>
          <w:p>
            <w:pPr>
              <w:spacing w:after="0"/>
              <w:rPr>
                <w:sz w:val="1"/>
                <w:szCs w:val="1"/>
                <w:color w:val="auto"/>
              </w:rPr>
            </w:pPr>
          </w:p>
        </w:tc>
      </w:tr>
      <w:tr>
        <w:trPr>
          <w:trHeight w:val="225"/>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2020-2</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ILN Transaction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29, 2020</w:t>
            </w:r>
          </w:p>
        </w:tc>
        <w:tc>
          <w:tcPr>
            <w:tcW w:w="2160" w:type="dxa"/>
            <w:vAlign w:val="bottom"/>
            <w:shd w:val="clear" w:color="auto" w:fill="CCEEFF"/>
          </w:tcPr>
          <w:p>
            <w:pPr>
              <w:jc w:val="center"/>
              <w:spacing w:after="0" w:line="225" w:lineRule="exact"/>
              <w:rPr>
                <w:sz w:val="20"/>
                <w:szCs w:val="20"/>
                <w:color w:val="auto"/>
              </w:rPr>
            </w:pPr>
            <w:r>
              <w:rPr>
                <w:rFonts w:ascii="Arial" w:cs="Arial" w:eastAsia="Arial" w:hAnsi="Arial"/>
                <w:sz w:val="18"/>
                <w:szCs w:val="18"/>
                <w:color w:val="auto"/>
                <w:w w:val="86"/>
              </w:rPr>
              <w:t xml:space="preserve">4/1/2020 – 9/30/2020 </w:t>
            </w:r>
            <w:r>
              <w:rPr>
                <w:rFonts w:ascii="Arial" w:cs="Arial" w:eastAsia="Arial" w:hAnsi="Arial"/>
                <w:sz w:val="22"/>
                <w:szCs w:val="22"/>
                <w:color w:val="auto"/>
                <w:w w:val="86"/>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242,351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85,011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121,777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2021-1</w:t>
            </w:r>
          </w:p>
        </w:tc>
        <w:tc>
          <w:tcPr>
            <w:tcW w:w="1760" w:type="dxa"/>
            <w:vAlign w:val="bottom"/>
          </w:tcPr>
          <w:p>
            <w:pPr>
              <w:ind w:left="20"/>
              <w:spacing w:after="0"/>
              <w:rPr>
                <w:sz w:val="20"/>
                <w:szCs w:val="20"/>
                <w:color w:val="auto"/>
              </w:rPr>
            </w:pPr>
            <w:r>
              <w:rPr>
                <w:rFonts w:ascii="Arial" w:cs="Arial" w:eastAsia="Arial" w:hAnsi="Arial"/>
                <w:sz w:val="18"/>
                <w:szCs w:val="18"/>
                <w:color w:val="auto"/>
              </w:rPr>
              <w:t>ILN Transaction</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April 27, 2021</w:t>
            </w:r>
          </w:p>
        </w:tc>
        <w:tc>
          <w:tcPr>
            <w:tcW w:w="2160" w:type="dxa"/>
            <w:vAlign w:val="bottom"/>
          </w:tcPr>
          <w:p>
            <w:pPr>
              <w:jc w:val="center"/>
              <w:spacing w:after="0" w:line="224" w:lineRule="exact"/>
              <w:rPr>
                <w:sz w:val="20"/>
                <w:szCs w:val="20"/>
                <w:color w:val="auto"/>
              </w:rPr>
            </w:pPr>
            <w:r>
              <w:rPr>
                <w:rFonts w:ascii="Arial" w:cs="Arial" w:eastAsia="Arial" w:hAnsi="Arial"/>
                <w:sz w:val="18"/>
                <w:szCs w:val="18"/>
                <w:color w:val="auto"/>
                <w:w w:val="87"/>
              </w:rPr>
              <w:t xml:space="preserve">10/1/2020 – 3/31/2021 </w:t>
            </w:r>
            <w:r>
              <w:rPr>
                <w:rFonts w:ascii="Arial" w:cs="Arial" w:eastAsia="Arial" w:hAnsi="Arial"/>
                <w:sz w:val="22"/>
                <w:szCs w:val="22"/>
                <w:color w:val="auto"/>
                <w:w w:val="87"/>
                <w:vertAlign w:val="superscript"/>
              </w:rPr>
              <w:t>(3)</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367,238</w:t>
            </w:r>
          </w:p>
        </w:tc>
        <w:tc>
          <w:tcPr>
            <w:tcW w:w="2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282,630</w:t>
            </w:r>
          </w:p>
        </w:tc>
        <w:tc>
          <w:tcPr>
            <w:tcW w:w="22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163,708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163,654</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2021-2</w:t>
            </w:r>
          </w:p>
        </w:tc>
        <w:tc>
          <w:tcPr>
            <w:tcW w:w="17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ILN Transaction </w:t>
            </w:r>
            <w:r>
              <w:rPr>
                <w:rFonts w:ascii="Arial" w:cs="Arial" w:eastAsia="Arial" w:hAnsi="Arial"/>
                <w:sz w:val="22"/>
                <w:szCs w:val="22"/>
                <w:color w:val="auto"/>
                <w:vertAlign w:val="superscript"/>
              </w:rPr>
              <w:t>(5)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26, 2021</w:t>
            </w:r>
          </w:p>
        </w:tc>
        <w:tc>
          <w:tcPr>
            <w:tcW w:w="216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6"/>
              </w:rPr>
              <w:t xml:space="preserve">4/1/2021 – 9/30/2021 </w:t>
            </w:r>
            <w:r>
              <w:rPr>
                <w:rFonts w:ascii="Arial" w:cs="Arial" w:eastAsia="Arial" w:hAnsi="Arial"/>
                <w:sz w:val="22"/>
                <w:szCs w:val="22"/>
                <w:color w:val="auto"/>
                <w:w w:val="86"/>
                <w:vertAlign w:val="superscript"/>
              </w:rPr>
              <w:t>(4)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363,596</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363,596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146,229</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146,167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hanging="314"/>
        <w:spacing w:after="0" w:line="251" w:lineRule="auto"/>
        <w:tabs>
          <w:tab w:leader="none" w:pos="391" w:val="left"/>
        </w:tabs>
        <w:numPr>
          <w:ilvl w:val="0"/>
          <w:numId w:val="7"/>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4"/>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10" w:lineRule="exact"/>
        <w:rPr>
          <w:rFonts w:ascii="Arial" w:cs="Arial" w:eastAsia="Arial" w:hAnsi="Arial"/>
          <w:sz w:val="14"/>
          <w:szCs w:val="14"/>
          <w:color w:val="auto"/>
        </w:rPr>
      </w:pPr>
    </w:p>
    <w:p>
      <w:pPr>
        <w:ind w:left="300" w:hanging="294"/>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spacing w:after="0" w:line="10" w:lineRule="exact"/>
        <w:rPr>
          <w:rFonts w:ascii="Arial" w:cs="Arial" w:eastAsia="Arial" w:hAnsi="Arial"/>
          <w:sz w:val="14"/>
          <w:szCs w:val="14"/>
          <w:color w:val="auto"/>
        </w:rPr>
      </w:pPr>
    </w:p>
    <w:p>
      <w:pPr>
        <w:ind w:left="300" w:hanging="294"/>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10" w:lineRule="exact"/>
        <w:rPr>
          <w:rFonts w:ascii="Arial" w:cs="Arial" w:eastAsia="Arial" w:hAnsi="Arial"/>
          <w:sz w:val="14"/>
          <w:szCs w:val="14"/>
          <w:color w:val="auto"/>
        </w:rPr>
      </w:pPr>
    </w:p>
    <w:p>
      <w:pPr>
        <w:ind w:left="320" w:hanging="314"/>
        <w:spacing w:after="0" w:line="25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March 31, 2023, the current reinsurance coverage amount on the 2021-2 ILN Transactions is equal to the initial reinsurance coverage amount, as the reinsurance coverage provided by Oaktown Re VII Ltd. will not begin to amortize until its target credit enhancement level is reached.</w:t>
      </w:r>
    </w:p>
    <w:p>
      <w:pPr>
        <w:spacing w:after="0" w:line="229"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Under the terms of our ILN Transactions, we are required to maintain a certain level of restricted funds in premium deposit accounts with Bank of New York Mellon until the respective notes have been redeemed in full. "Cash and cash equivalents" on our condensed consolidated balance sheets includes restricted amounts of $2.2 million as of both March 31, 2023 and December 31, 2022. The restricted balances required under these transactions will decline over time as the outstanding principal balance of the respective insurance-linked notes are amortized.</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NMIC is a party to four excess-of-loss reinsurance agreements with broad panels of third-party reinsurers – the 2022-1 XOL Transaction, effective April 1, 2022, the 2022-2 XOL Transaction, effective July 1, 2022, the 2022-3 XOL Transaction, effective October 1, 2022, and the 2023-1 XOL Transaction, effective January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over a ten-year period in the event the PMIERs minimum required assets of the pool declines. NMIC retains losses in excess of the outstanding reinsurance coverage amount.</w:t>
      </w:r>
    </w:p>
    <w:p>
      <w:pPr>
        <w:spacing w:after="0" w:line="11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Under the terms of the XOL Transactions, NMIC makes risk premium payments to its third-party reinsurance providers for the outstanding reinsurance coverage amount and ceded aggregate premiums of $7.2 million during the three months ended March 31, 2023. NMIC applies claims paid on covered policies against its first layer aggregate retained loss exposure under each agreement. NMIC did not cede any incurred losses on covered policies under the XOL Transactions during the three months ended March 31, 2023, as the aggregate first layer risk retention for each agreement was not exhausted during the period.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13"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Each of the third-party reinsurance providers that is party to the XOL Transactions has an insurer financial strength rating of A- or better by Standard &amp; Poor’s Rating Service (S&amp;P), A.M. Best Company Inc. (A.M. Best) or both.</w:t>
      </w:r>
    </w:p>
    <w:p>
      <w:pPr>
        <w:spacing w:after="0" w:line="128"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March 31,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 First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1"/>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values in thousands)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25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Covered Production</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1"/>
        </w:trPr>
        <w:tc>
          <w:tcPr>
            <w:tcW w:w="252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Coverage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Coverage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24"/>
        </w:trPr>
        <w:tc>
          <w:tcPr>
            <w:tcW w:w="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2022-1</w:t>
            </w:r>
          </w:p>
        </w:tc>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April 1, 2022</w:t>
            </w:r>
          </w:p>
        </w:tc>
        <w:tc>
          <w:tcPr>
            <w:tcW w:w="2400" w:type="dxa"/>
            <w:vAlign w:val="bottom"/>
            <w:tcBorders>
              <w:top w:val="single" w:sz="8" w:color="auto"/>
            </w:tcBorders>
            <w:shd w:val="clear" w:color="auto" w:fill="CCEEFF"/>
          </w:tcPr>
          <w:p>
            <w:pPr>
              <w:jc w:val="center"/>
              <w:spacing w:after="0" w:line="224" w:lineRule="exact"/>
              <w:rPr>
                <w:sz w:val="20"/>
                <w:szCs w:val="20"/>
                <w:color w:val="auto"/>
              </w:rPr>
            </w:pPr>
            <w:r>
              <w:rPr>
                <w:rFonts w:ascii="Arial" w:cs="Arial" w:eastAsia="Arial" w:hAnsi="Arial"/>
                <w:sz w:val="18"/>
                <w:szCs w:val="18"/>
                <w:color w:val="auto"/>
                <w:w w:val="87"/>
              </w:rPr>
              <w:t xml:space="preserve">10/1/2021 – 3/31/2022 </w:t>
            </w:r>
            <w:r>
              <w:rPr>
                <w:rFonts w:ascii="Arial" w:cs="Arial" w:eastAsia="Arial" w:hAnsi="Arial"/>
                <w:sz w:val="22"/>
                <w:szCs w:val="22"/>
                <w:color w:val="auto"/>
                <w:w w:val="87"/>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$289,741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$283,077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2022-2</w:t>
            </w:r>
          </w:p>
        </w:tc>
        <w:tc>
          <w:tcPr>
            <w:tcW w:w="198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July 1, 2022</w:t>
            </w:r>
          </w:p>
        </w:tc>
        <w:tc>
          <w:tcPr>
            <w:tcW w:w="2500" w:type="dxa"/>
            <w:vAlign w:val="bottom"/>
            <w:gridSpan w:val="2"/>
          </w:tcPr>
          <w:p>
            <w:pPr>
              <w:jc w:val="center"/>
              <w:ind w:right="120"/>
              <w:spacing w:after="0" w:line="224" w:lineRule="exact"/>
              <w:rPr>
                <w:sz w:val="20"/>
                <w:szCs w:val="20"/>
                <w:color w:val="auto"/>
              </w:rPr>
            </w:pPr>
            <w:r>
              <w:rPr>
                <w:rFonts w:ascii="Arial" w:cs="Arial" w:eastAsia="Arial" w:hAnsi="Arial"/>
                <w:sz w:val="18"/>
                <w:szCs w:val="18"/>
                <w:color w:val="auto"/>
                <w:w w:val="88"/>
              </w:rPr>
              <w:t xml:space="preserve">4/1/2022 – 6/30/2022 </w:t>
            </w:r>
            <w:r>
              <w:rPr>
                <w:rFonts w:ascii="Arial" w:cs="Arial" w:eastAsia="Arial" w:hAnsi="Arial"/>
                <w:sz w:val="22"/>
                <w:szCs w:val="22"/>
                <w:color w:val="auto"/>
                <w:w w:val="88"/>
                <w:vertAlign w:val="superscript"/>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154,306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152,347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78,906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78,906</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2022-3</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2022</w:t>
            </w:r>
          </w:p>
        </w:tc>
        <w:tc>
          <w:tcPr>
            <w:tcW w:w="2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7/1/2022 – 9/30/2022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96,779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96,197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0" w:type="dxa"/>
            <w:vAlign w:val="bottom"/>
          </w:tcPr>
          <w:p>
            <w:pPr>
              <w:spacing w:after="0"/>
              <w:rPr>
                <w:sz w:val="1"/>
                <w:szCs w:val="1"/>
                <w:color w:val="auto"/>
              </w:rPr>
            </w:pPr>
          </w:p>
        </w:tc>
      </w:tr>
      <w:tr>
        <w:trPr>
          <w:trHeight w:val="298"/>
        </w:trPr>
        <w:tc>
          <w:tcPr>
            <w:tcW w:w="540" w:type="dxa"/>
            <w:vAlign w:val="bottom"/>
          </w:tcPr>
          <w:p>
            <w:pPr>
              <w:ind w:left="20"/>
              <w:spacing w:after="0"/>
              <w:rPr>
                <w:sz w:val="20"/>
                <w:szCs w:val="20"/>
                <w:color w:val="auto"/>
              </w:rPr>
            </w:pPr>
            <w:r>
              <w:rPr>
                <w:rFonts w:ascii="Arial" w:cs="Arial" w:eastAsia="Arial" w:hAnsi="Arial"/>
                <w:sz w:val="18"/>
                <w:szCs w:val="18"/>
                <w:color w:val="auto"/>
                <w:w w:val="89"/>
              </w:rPr>
              <w:t>2023-1</w:t>
            </w:r>
          </w:p>
        </w:tc>
        <w:tc>
          <w:tcPr>
            <w:tcW w:w="1980" w:type="dxa"/>
            <w:vAlign w:val="bottom"/>
          </w:tcPr>
          <w:p>
            <w:pPr>
              <w:ind w:left="20"/>
              <w:spacing w:after="0"/>
              <w:rPr>
                <w:sz w:val="20"/>
                <w:szCs w:val="20"/>
                <w:color w:val="auto"/>
              </w:rPr>
            </w:pPr>
            <w:r>
              <w:rPr>
                <w:rFonts w:ascii="Arial" w:cs="Arial" w:eastAsia="Arial" w:hAnsi="Arial"/>
                <w:sz w:val="18"/>
                <w:szCs w:val="18"/>
                <w:color w:val="auto"/>
              </w:rPr>
              <w:t xml:space="preserve">XOL Transaction </w:t>
            </w:r>
            <w:r>
              <w:rPr>
                <w:rFonts w:ascii="Arial" w:cs="Arial" w:eastAsia="Arial" w:hAnsi="Arial"/>
                <w:sz w:val="22"/>
                <w:szCs w:val="22"/>
                <w:color w:val="auto"/>
                <w:vertAlign w:val="superscript"/>
              </w:rPr>
              <w:t>(4)</w:t>
            </w:r>
          </w:p>
        </w:tc>
        <w:tc>
          <w:tcPr>
            <w:tcW w:w="1680" w:type="dxa"/>
            <w:vAlign w:val="bottom"/>
          </w:tcPr>
          <w:p>
            <w:pPr>
              <w:jc w:val="center"/>
              <w:spacing w:after="0"/>
              <w:rPr>
                <w:sz w:val="20"/>
                <w:szCs w:val="20"/>
                <w:color w:val="auto"/>
              </w:rPr>
            </w:pPr>
            <w:r>
              <w:rPr>
                <w:rFonts w:ascii="Arial" w:cs="Arial" w:eastAsia="Arial" w:hAnsi="Arial"/>
                <w:sz w:val="18"/>
                <w:szCs w:val="18"/>
                <w:color w:val="auto"/>
                <w:w w:val="85"/>
              </w:rPr>
              <w:t>January 1, 2023</w:t>
            </w:r>
          </w:p>
        </w:tc>
        <w:tc>
          <w:tcPr>
            <w:tcW w:w="2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10/1/2022 – 6/30/2023</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59,509</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59,509</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94,977</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94,977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right="600" w:hanging="314"/>
        <w:spacing w:after="0" w:line="251" w:lineRule="auto"/>
        <w:tabs>
          <w:tab w:leader="none" w:pos="308" w:val="left"/>
        </w:tabs>
        <w:numPr>
          <w:ilvl w:val="0"/>
          <w:numId w:val="8"/>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4"/>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2022-1 XOL Transaction has coverage reporting dates between October 21, 2019 and September 30, 2021.</w:t>
      </w:r>
    </w:p>
    <w:p>
      <w:pPr>
        <w:spacing w:after="0" w:line="10" w:lineRule="exact"/>
        <w:rPr>
          <w:rFonts w:ascii="Arial" w:cs="Arial" w:eastAsia="Arial" w:hAnsi="Arial"/>
          <w:sz w:val="14"/>
          <w:szCs w:val="14"/>
          <w:color w:val="auto"/>
        </w:rPr>
      </w:pPr>
    </w:p>
    <w:p>
      <w:pPr>
        <w:ind w:left="300" w:hanging="294"/>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2022-2 XOL Transaction has coverage reporting dates between January 4, 2021 and March 31, 2022.</w:t>
      </w:r>
    </w:p>
    <w:p>
      <w:pPr>
        <w:spacing w:after="0" w:line="10" w:lineRule="exact"/>
        <w:rPr>
          <w:rFonts w:ascii="Arial" w:cs="Arial" w:eastAsia="Arial" w:hAnsi="Arial"/>
          <w:sz w:val="14"/>
          <w:szCs w:val="14"/>
          <w:color w:val="auto"/>
        </w:rPr>
      </w:pPr>
    </w:p>
    <w:p>
      <w:pPr>
        <w:ind w:left="320" w:right="260" w:hanging="314"/>
        <w:spacing w:after="0" w:line="271" w:lineRule="auto"/>
        <w:tabs>
          <w:tab w:leader="none" w:pos="305"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initial reinsurance coverage, current reinsurance coverage, initial first layer retained loss and current first layer retained loss for the 2023-1 XOL Transaction will increase as incremental covered production is ceded under the transaction through June 30, 2023.</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41"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 on</w:t>
      </w:r>
      <w:r>
        <w:rPr>
          <w:rFonts w:ascii="Arial" w:cs="Arial" w:eastAsia="Arial" w:hAnsi="Arial"/>
          <w:sz w:val="18"/>
          <w:szCs w:val="18"/>
          <w:color w:val="auto"/>
        </w:rPr>
        <w:t xml:space="preserve"> </w:t>
      </w:r>
      <w:r>
        <w:rPr>
          <w:rFonts w:ascii="Arial" w:cs="Arial" w:eastAsia="Arial" w:hAnsi="Arial"/>
          <w:sz w:val="18"/>
          <w:szCs w:val="18"/>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2025 or semi-annually thereafter, which would result in NMIC recapturing the related risk.</w:t>
      </w:r>
    </w:p>
    <w:p>
      <w:pPr>
        <w:spacing w:after="0" w:line="140"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from January 1, 2023 to December 31, 2023. The 2023 QSR Transaction is scheduled to terminate on December 31, 2033. NMIC has the option, based on certain conditions and subject to a termination fee, to terminate the agreement as of December 31, 2026 or semi-annually thereafter, which would result in NMIC recapturing the related risk.</w:t>
      </w:r>
    </w:p>
    <w:p>
      <w:pPr>
        <w:spacing w:after="0" w:line="140" w:lineRule="exact"/>
        <w:rPr>
          <w:sz w:val="20"/>
          <w:szCs w:val="20"/>
          <w:color w:val="auto"/>
        </w:rPr>
      </w:pPr>
    </w:p>
    <w:p>
      <w:pPr>
        <w:ind w:firstLine="633"/>
        <w:spacing w:after="0" w:line="307" w:lineRule="auto"/>
        <w:rPr>
          <w:sz w:val="20"/>
          <w:szCs w:val="20"/>
          <w:color w:val="auto"/>
        </w:rPr>
      </w:pPr>
      <w:r>
        <w:rPr>
          <w:rFonts w:ascii="Arial" w:cs="Arial" w:eastAsia="Arial" w:hAnsi="Arial"/>
          <w:sz w:val="15"/>
          <w:szCs w:val="15"/>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w:t>
      </w:r>
    </w:p>
    <w:p>
      <w:pPr>
        <w:spacing w:after="0" w:line="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with the payment of a termination fee, and as of March 31, 2028 or quarterly thereafter without the payment of a termination fee. Such termination would result in NMIC recapturing the related risk.</w:t>
      </w:r>
    </w:p>
    <w:p>
      <w:pPr>
        <w:spacing w:after="0" w:line="128"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amounts related to the QSR Transactions: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60" w:type="dxa"/>
            <w:vAlign w:val="bottom"/>
            <w:gridSpan w:val="3"/>
          </w:tcPr>
          <w:p>
            <w:pPr>
              <w:jc w:val="center"/>
              <w:ind w:right="195"/>
              <w:spacing w:after="0"/>
              <w:rPr>
                <w:sz w:val="20"/>
                <w:szCs w:val="20"/>
                <w:color w:val="auto"/>
              </w:rPr>
            </w:pPr>
            <w:r>
              <w:rPr>
                <w:rFonts w:ascii="Arial" w:cs="Arial" w:eastAsia="Arial" w:hAnsi="Arial"/>
                <w:sz w:val="14"/>
                <w:szCs w:val="14"/>
                <w:b w:val="1"/>
                <w:bCs w:val="1"/>
                <w:color w:val="auto"/>
                <w:w w:val="89"/>
              </w:rPr>
              <w:t>As of and for the three months ended</w:t>
            </w:r>
          </w:p>
        </w:tc>
      </w:tr>
      <w:tr>
        <w:trPr>
          <w:trHeight w:val="24"/>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March 31, 2023</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4"/>
              </w:rPr>
              <w:t>March 31, 2022</w:t>
            </w:r>
          </w:p>
        </w:tc>
      </w:tr>
      <w:tr>
        <w:trPr>
          <w:trHeight w:val="189"/>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2"/>
          </w:tcPr>
          <w:p>
            <w:pPr>
              <w:jc w:val="center"/>
              <w:ind w:left="1039"/>
              <w:spacing w:after="0"/>
              <w:rPr>
                <w:sz w:val="20"/>
                <w:szCs w:val="20"/>
                <w:color w:val="auto"/>
              </w:rPr>
            </w:pPr>
            <w:r>
              <w:rPr>
                <w:rFonts w:ascii="Arial" w:cs="Arial" w:eastAsia="Arial" w:hAnsi="Arial"/>
                <w:sz w:val="14"/>
                <w:szCs w:val="14"/>
                <w:i w:val="1"/>
                <w:iCs w:val="1"/>
                <w:color w:val="auto"/>
                <w:w w:val="91"/>
              </w:rPr>
              <w:t>(In Thousands)</w:t>
            </w:r>
          </w:p>
        </w:tc>
        <w:tc>
          <w:tcPr>
            <w:tcW w:w="1400" w:type="dxa"/>
            <w:vAlign w:val="bottom"/>
          </w:tcPr>
          <w:p>
            <w:pPr>
              <w:spacing w:after="0"/>
              <w:rPr>
                <w:sz w:val="16"/>
                <w:szCs w:val="16"/>
                <w:color w:val="auto"/>
              </w:rPr>
            </w:pPr>
          </w:p>
        </w:tc>
      </w:tr>
      <w:tr>
        <w:trPr>
          <w:trHeight w:val="23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12,635,442</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8,504,853</w:t>
            </w:r>
          </w:p>
        </w:tc>
      </w:tr>
      <w:tr>
        <w:trPr>
          <w:trHeight w:val="224"/>
        </w:trPr>
        <w:tc>
          <w:tcPr>
            <w:tcW w:w="750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(42,096)</w:t>
            </w:r>
          </w:p>
        </w:tc>
        <w:tc>
          <w:tcPr>
            <w:tcW w:w="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(29,005)</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 (benefits)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1,965</w:t>
            </w: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4"/>
        </w:trPr>
        <w:tc>
          <w:tcPr>
            <w:tcW w:w="750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28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9,965</w:t>
            </w:r>
          </w:p>
        </w:tc>
        <w:tc>
          <w:tcPr>
            <w:tcW w:w="4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22,279</w:t>
            </w: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r>
    </w:tbl>
    <w:p>
      <w:pPr>
        <w:spacing w:after="0" w:line="238"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NMIC also receives a profit commission under each of the QSR Transactions, provided that the loss ratios on loans covered under the 2016, 2018, 2020, 2021, 2022, 2023 QSR and 2022 Seasoned QSR Transactions, generally remain below 60%, 61%, 50%, 57.5%, 62%, 62%, and 55% respectively, as measured annually. Ceded claims and claim expenses under each of the QSR Transactions reduce the respective profit commission received by NMIC on a dollar-for-dollar basis.</w:t>
      </w:r>
    </w:p>
    <w:p>
      <w:pPr>
        <w:spacing w:after="0" w:line="11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$2.4 million and $2.6 million as of March 31, 2023 and December 31, 2022, respectively.</w:t>
      </w:r>
    </w:p>
    <w:p>
      <w:pPr>
        <w:spacing w:after="0" w:line="14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In accordance with the terms of the 2018, 2020, 2021, 2022 and 2023 QSR and 2022 Seasoned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2023 QSR and 2022 Seasoned QSR Transactions was $21.1 million and $19.0 million as of March 31, 2023 and December 31, 2022, respectively.</w:t>
      </w:r>
    </w:p>
    <w:p>
      <w:pPr>
        <w:spacing w:after="0" w:line="14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The allowance for credit loss established on our reinsurance recoverable was deemed immaterial at March 31, 2023 and December 31,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68"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March 31, 2023, we had 4,475 primary loans in default and held gross reserves for insurance claims and claim expenses of $108.2 million. During the three months ended March 31, 2023, we paid 21 claims totaling $0.4 million, including 20 claims covered under the QSR Transactions representing $0.1 million of ceded claims and claim expenses.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March 31, 2023, 41 loans in the pool were in default. These 41 loans represented approximately $2.9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March 31, 2023. In connection with the settlement of pool claims, we applied $1.0 million to the pool deductible through March 31, 2023. At March 31, 2023, the remaining pool deductible was $9.4 million. We have not paid any pool claims to date. 100% of our pool RIF is reinsured under the 2016 QSR Transaction.</w:t>
      </w:r>
    </w:p>
    <w:p>
      <w:pPr>
        <w:spacing w:after="0" w:line="117"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We had 4,475 loans in default in our primary insured portfolio as of March 31, 2023, which represented a 0.75% default rate against 600,294 total policies in-force and 4,449 loans in default in our primary portfolio as of December 31, 2022, which represented a 0.75% default rate against 594,142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1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provides a reconciliation of the beginning and ending gross reserve balances for primary insurance claims and claim expenses (benefits):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3560" w:type="dxa"/>
            <w:vAlign w:val="bottom"/>
            <w:gridSpan w:val="5"/>
          </w:tcPr>
          <w:p>
            <w:pPr>
              <w:jc w:val="right"/>
              <w:ind w:right="533"/>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4"/>
        </w:trPr>
        <w:tc>
          <w:tcPr>
            <w:tcW w:w="7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6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r>
      <w:tr>
        <w:trPr>
          <w:trHeight w:val="189"/>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6"/>
                <w:szCs w:val="16"/>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103,551</w:t>
            </w:r>
          </w:p>
        </w:tc>
      </w:tr>
      <w:tr>
        <w:trPr>
          <w:trHeight w:val="224"/>
        </w:trPr>
        <w:tc>
          <w:tcPr>
            <w:tcW w:w="768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(21,587)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(20,320)</w:t>
            </w:r>
          </w:p>
        </w:tc>
      </w:tr>
      <w:tr>
        <w:trPr>
          <w:trHeight w:val="21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r>
      <w:tr>
        <w:trPr>
          <w:trHeight w:val="244"/>
        </w:trPr>
        <w:tc>
          <w:tcPr>
            <w:tcW w:w="7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(benefits)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768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r>
      <w:tr>
        <w:trPr>
          <w:trHeight w:val="224"/>
        </w:trPr>
        <w:tc>
          <w:tcPr>
            <w:tcW w:w="768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(20,907)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w:t>
            </w:r>
          </w:p>
        </w:tc>
      </w:tr>
      <w:tr>
        <w:trPr>
          <w:trHeight w:val="21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(benefits)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125"/>
        </w:trPr>
        <w:tc>
          <w:tcPr>
            <w:tcW w:w="7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768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680" w:type="dxa"/>
            <w:vAlign w:val="bottom"/>
            <w:tcBorders>
              <w:bottom w:val="single" w:sz="8" w:color="CCEEFF"/>
            </w:tcBorders>
          </w:tcPr>
          <w:p>
            <w:pPr>
              <w:ind w:left="34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1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4"/>
        </w:trPr>
        <w:tc>
          <w:tcPr>
            <w:tcW w:w="7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82,292</w:t>
            </w:r>
          </w:p>
        </w:tc>
      </w:tr>
      <w:tr>
        <w:trPr>
          <w:trHeight w:val="224"/>
        </w:trPr>
        <w:tc>
          <w:tcPr>
            <w:tcW w:w="768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w:t>
            </w:r>
          </w:p>
        </w:tc>
      </w:tr>
      <w:tr>
        <w:trPr>
          <w:trHeight w:val="24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108,157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Related to ceded losses recoverable under the QSR Transactions.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9" w:lineRule="exact"/>
        <w:rPr>
          <w:rFonts w:ascii="Arial" w:cs="Arial" w:eastAsia="Arial" w:hAnsi="Arial"/>
          <w:sz w:val="14"/>
          <w:szCs w:val="14"/>
          <w:color w:val="auto"/>
        </w:rPr>
      </w:pPr>
    </w:p>
    <w:p>
      <w:pPr>
        <w:jc w:val="both"/>
        <w:ind w:left="320" w:hanging="314"/>
        <w:spacing w:after="0" w:line="254" w:lineRule="auto"/>
        <w:tabs>
          <w:tab w:leader="none" w:pos="323"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$22.3 million attributed to net case reserves and $4.9 million attributed to net IBNR reserves for the three months ended March 31, 2023 and $5.2 million attributed to net case reserves and $4.7 million attributed to net IBNR reserves for the three months ended March 31, 2022.</w:t>
      </w:r>
    </w:p>
    <w:p>
      <w:pPr>
        <w:jc w:val="both"/>
        <w:ind w:left="320" w:hanging="314"/>
        <w:spacing w:after="0" w:line="253" w:lineRule="auto"/>
        <w:tabs>
          <w:tab w:leader="none" w:pos="308"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$16.2 million attributed to net case reserves and $4.5 million attributed to net IBNR reserves for the three months ended March 31, 2023 and $5.8 million attributed to net case reserves and $4.7 million attributed to net IBNR reserves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"claims incurred" section of the table above shows claims and claim expenses (benefits)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$72.7 million related to prior year defaults remained as of March 31,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6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w:t>
      </w:r>
    </w:p>
    <w:p>
      <w:pPr>
        <w:spacing w:after="0" w:line="113"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reconciles the net income and the weighted average shares of common stock outstanding used in the computations of basic and diluted EPS of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spacing w:after="0"/>
              <w:rPr>
                <w:sz w:val="15"/>
                <w:szCs w:val="15"/>
                <w:color w:val="auto"/>
              </w:rPr>
            </w:pPr>
          </w:p>
        </w:tc>
        <w:tc>
          <w:tcPr>
            <w:tcW w:w="330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For the three months ended March 31,</w:t>
            </w:r>
          </w:p>
        </w:tc>
        <w:tc>
          <w:tcPr>
            <w:tcW w:w="680" w:type="dxa"/>
            <w:vAlign w:val="bottom"/>
          </w:tcPr>
          <w:p>
            <w:pPr>
              <w:spacing w:after="0"/>
              <w:rPr>
                <w:sz w:val="15"/>
                <w:szCs w:val="15"/>
                <w:color w:val="auto"/>
              </w:rPr>
            </w:pPr>
          </w:p>
        </w:tc>
      </w:tr>
      <w:tr>
        <w:trPr>
          <w:trHeight w:val="24"/>
        </w:trPr>
        <w:tc>
          <w:tcPr>
            <w:tcW w:w="72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7260" w:type="dxa"/>
            <w:vAlign w:val="bottom"/>
          </w:tcPr>
          <w:p>
            <w:pPr>
              <w:spacing w:after="0"/>
              <w:rPr>
                <w:sz w:val="16"/>
                <w:szCs w:val="16"/>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r>
      <w:tr>
        <w:trPr>
          <w:trHeight w:val="191"/>
        </w:trPr>
        <w:tc>
          <w:tcPr>
            <w:tcW w:w="726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i w:val="1"/>
                <w:iCs w:val="1"/>
                <w:color w:val="auto"/>
              </w:rPr>
              <w:t>(In Thousands, except for per share data)</w:t>
            </w:r>
          </w:p>
        </w:tc>
        <w:tc>
          <w:tcPr>
            <w:tcW w:w="680" w:type="dxa"/>
            <w:vAlign w:val="bottom"/>
            <w:tcBorders>
              <w:bottom w:val="single" w:sz="8" w:color="auto"/>
            </w:tcBorders>
          </w:tcPr>
          <w:p>
            <w:pPr>
              <w:spacing w:after="0"/>
              <w:rPr>
                <w:sz w:val="16"/>
                <w:szCs w:val="16"/>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67,680</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85,953</w:t>
            </w: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67,680</w:t>
            </w:r>
          </w:p>
        </w:tc>
      </w:tr>
      <w:tr>
        <w:trPr>
          <w:trHeight w:val="224"/>
        </w:trPr>
        <w:tc>
          <w:tcPr>
            <w:tcW w:w="726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12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1240" w:type="dxa"/>
            <w:vAlign w:val="bottom"/>
            <w:tcBorders>
              <w:top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74,458</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67,587</w:t>
            </w:r>
          </w:p>
        </w:tc>
      </w:tr>
      <w:tr>
        <w:trPr>
          <w:trHeight w:val="251"/>
        </w:trPr>
        <w:tc>
          <w:tcPr>
            <w:tcW w:w="7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85,953</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issuable shares</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r>
      <w:tr>
        <w:trPr>
          <w:trHeight w:val="21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87,310</w:t>
            </w:r>
          </w:p>
        </w:tc>
      </w:tr>
      <w:tr>
        <w:trPr>
          <w:trHeight w:val="251"/>
        </w:trPr>
        <w:tc>
          <w:tcPr>
            <w:tcW w:w="726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1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6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our pre-tax income was 22.6% and 22.0% for the three months ended March 31, 2023 and 2022,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114"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months ended March 31, 2023 primarily represents a change in our net deferred tax liability. As of March 31, 2023 and December 31, 2022, we held $154.4 million of tax and loss bonds in "Prepaid federal income taxes"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6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On February 10, 2022, our Board of Directors approved a $125 million share repurchase program (excluding associated costs and applicable taxes) effective through December 31, 2023. The authorization provides us the flexibility to repurchase stock from time to time in the open market or in privately negotiated transactions, based on market and business conditions, stock price and other factors, pursuant to a trading plan under Rule 10b-18 and Rule 10b5-1 of the Exchange Act. During the three months ended March 31, 2023, we repurchased 0.7 million shares at an average price of $22.19 (excluding associated costs and applicable taxes). During the year ended December 31, 2022, we repurchased 2.9 million shares at an average price of $19.34 per share (excluding associated costs). As of March 31, 2023, $53.7 million of repurchase authority remained under the program.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168"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We record a liability when we believe that it is probable that a loss has been incurred, and the amount can be reasonably estimated. If we determine that a loss is reasonably possible, we disclose an estimate of the possible loss or range of loss. If no estimate can be made, we disclose the matter as such. We evaluate litigation and other legal developments that could affect the amount of liability that may need to be accrued, related reasonably possible losses disclosed and make adjustments as appropriate. Significant judgment is required to determine both the likelihood and the estimated amount of losses related to such matters.</w:t>
      </w:r>
    </w:p>
    <w:p>
      <w:pPr>
        <w:spacing w:after="0" w:line="14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We are currently monitoring litigation regarding the refund of certain mortgage insurance premiums as it pertains to provisions of the Homeowners Protection Act and have been named as a defendant in one such case. We are unable to assess the outcome of such litigation at this time or its potential impact on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Premiums Receivable</w:t>
      </w:r>
    </w:p>
    <w:p>
      <w:pPr>
        <w:spacing w:after="0" w:line="24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March 31, 2023 and December 31, 2022.</w:t>
      </w:r>
    </w:p>
    <w:p>
      <w:pPr>
        <w:spacing w:after="0" w:line="22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Premiums receivable may be written off prior to 120 days in the ordinary course of business for non-credit events including, but not limited to, the modification or refinancing of an underlying insured loan. We established a $2.6 million and $2.3 million reserve for premium write-offs at March 31, 2023 and December 31, 2022, respectively.</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Regulatory Information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Statutory Requirements</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NMIC and Re One generated combined statutory net income of $21.8 million and $18.6 million for the three months ended March 31, 2023 and 2022, respectively.</w:t>
      </w:r>
    </w:p>
    <w:p>
      <w:pPr>
        <w:spacing w:after="0" w:line="12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The following table presents NMIC's statutory surplus, contingency reserve, statutory capital and risk-to-capital (RTC) ratio as of March 31, 2023 and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March 31, 2023</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jc w:val="right"/>
              <w:ind w:right="616"/>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60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2"/>
        </w:trPr>
        <w:tc>
          <w:tcPr>
            <w:tcW w:w="6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4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5"/>
                <w:szCs w:val="15"/>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1780" w:type="dxa"/>
            <w:vAlign w:val="bottom"/>
            <w:shd w:val="clear" w:color="auto" w:fill="CCEEFF"/>
          </w:tcPr>
          <w:p>
            <w:pPr>
              <w:jc w:val="right"/>
              <w:ind w:right="1598"/>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998,973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980,225</w:t>
            </w:r>
          </w:p>
        </w:tc>
      </w:tr>
      <w:tr>
        <w:trPr>
          <w:trHeight w:val="224"/>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w:t>
            </w:r>
          </w:p>
        </w:tc>
        <w:tc>
          <w:tcPr>
            <w:tcW w:w="1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1,340,443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1,266,038</w:t>
            </w:r>
          </w:p>
        </w:tc>
      </w:tr>
      <w:tr>
        <w:trPr>
          <w:trHeight w:val="243"/>
        </w:trPr>
        <w:tc>
          <w:tcPr>
            <w:tcW w:w="6000" w:type="dxa"/>
            <w:vAlign w:val="bottom"/>
            <w:tcBorders>
              <w:bottom w:val="single" w:sz="8" w:color="CCEEFF"/>
            </w:tcBorders>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Statutory capital </w:t>
            </w:r>
            <w:r>
              <w:rPr>
                <w:rFonts w:ascii="Arial" w:cs="Arial" w:eastAsia="Arial" w:hAnsi="Arial"/>
                <w:sz w:val="22"/>
                <w:szCs w:val="22"/>
                <w:color w:val="auto"/>
                <w:vertAlign w:val="superscript"/>
              </w:rPr>
              <w:t>(1)</w:t>
            </w:r>
          </w:p>
        </w:tc>
        <w:tc>
          <w:tcPr>
            <w:tcW w:w="1780" w:type="dxa"/>
            <w:vAlign w:val="bottom"/>
            <w:tcBorders>
              <w:bottom w:val="single" w:sz="8" w:color="auto"/>
            </w:tcBorders>
            <w:shd w:val="clear" w:color="auto" w:fill="CCEEFF"/>
          </w:tcPr>
          <w:p>
            <w:pPr>
              <w:jc w:val="right"/>
              <w:ind w:right="1598"/>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2,339,416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2,246,263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Risk-to-capital</w:t>
            </w:r>
          </w:p>
        </w:tc>
        <w:tc>
          <w:tcPr>
            <w:tcW w:w="17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r>
    </w:tbl>
    <w:p>
      <w:pPr>
        <w:spacing w:after="0" w:line="232"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total of the statutory surplus and contingency reserve.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 One had $5.6 million of statutory capital at March 31, 2023 and December 31, 2022.</w:t>
      </w:r>
    </w:p>
    <w:p>
      <w:pPr>
        <w:spacing w:after="0" w:line="16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82" w:lineRule="exact"/>
        <w:rPr>
          <w:sz w:val="20"/>
          <w:szCs w:val="20"/>
          <w:color w:val="auto"/>
        </w:rPr>
      </w:pPr>
    </w:p>
    <w:p>
      <w:pPr>
        <w:jc w:val="both"/>
        <w:ind w:firstLine="633"/>
        <w:spacing w:after="0" w:line="284" w:lineRule="auto"/>
        <w:rPr>
          <w:sz w:val="20"/>
          <w:szCs w:val="20"/>
          <w:color w:val="auto"/>
        </w:rPr>
      </w:pPr>
      <w:r>
        <w:rPr>
          <w:rFonts w:ascii="Arial" w:cs="Arial" w:eastAsia="Arial" w:hAnsi="Arial"/>
          <w:sz w:val="18"/>
          <w:szCs w:val="18"/>
          <w:color w:val="auto"/>
        </w:rPr>
        <w:t>NMIC and Re One are subject to certain rules and regulations prescribed by jurisdictions in which they are authorized to operate and the GSEs that may restrict their ability to pay dividends to NMIH. NMIC has the capacity to pay $98.0 million of aggregate ordinary dividends to NMIH during the twelve-month period ending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189"/>
        <w:spacing w:after="0" w:line="283"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2022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2022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3"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40"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2023, we had issued master policies with 1,900 customers, including national and regional mortgage banks, money center banks, credit unions, community banks, builder-owned mortgage lenders, internet-sourced lenders and other non-bank lenders. As of March 31, 2023, we had $186.7 billion of primary insurance-in-force (IIF) and $48.5 billion of primary risk-in-force (RIF).</w:t>
      </w:r>
    </w:p>
    <w:p>
      <w:pPr>
        <w:spacing w:after="0" w:line="113"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5"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March 31, 2023, we had 242 employees. Our corporate website is located at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7"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6" w:name="page27"/>
    <w:bookmarkEnd w:id="26"/>
    <w:p>
      <w:pPr>
        <w:jc w:val="center"/>
        <w:ind w:right="7740"/>
        <w:spacing w:after="0"/>
        <w:rPr>
          <w:sz w:val="20"/>
          <w:szCs w:val="20"/>
          <w:color w:val="auto"/>
        </w:rPr>
      </w:pPr>
      <w:r>
        <w:rPr>
          <w:rFonts w:ascii="Arial" w:cs="Arial" w:eastAsia="Arial" w:hAnsi="Arial"/>
          <w:sz w:val="15"/>
          <w:szCs w:val="15"/>
          <w:b w:val="1"/>
          <w:bCs w:val="1"/>
          <w:color w:val="auto"/>
        </w:rPr>
        <w:t>Conditions and Trends Affecting Our Business</w:t>
      </w:r>
    </w:p>
    <w:p>
      <w:pPr>
        <w:spacing w:after="0" w:line="203" w:lineRule="exact"/>
        <w:rPr>
          <w:sz w:val="20"/>
          <w:szCs w:val="20"/>
          <w:color w:val="auto"/>
        </w:rPr>
      </w:pPr>
    </w:p>
    <w:p>
      <w:pPr>
        <w:jc w:val="center"/>
        <w:ind w:right="7740"/>
        <w:spacing w:after="0"/>
        <w:rPr>
          <w:sz w:val="20"/>
          <w:szCs w:val="20"/>
          <w:color w:val="auto"/>
        </w:rPr>
      </w:pPr>
      <w:r>
        <w:rPr>
          <w:rFonts w:ascii="Arial" w:cs="Arial" w:eastAsia="Arial" w:hAnsi="Arial"/>
          <w:sz w:val="18"/>
          <w:szCs w:val="18"/>
          <w:b w:val="1"/>
          <w:bCs w:val="1"/>
          <w:i w:val="1"/>
          <w:iCs w:val="1"/>
          <w:color w:val="auto"/>
        </w:rPr>
        <w:t>Macroeconomic Developments</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Macroeconomic factors, including persistent inflation, increasing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62"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62"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Arial" w:cs="Arial" w:eastAsia="Arial" w:hAnsi="Arial"/>
          <w:sz w:val="20"/>
          <w:szCs w:val="20"/>
          <w:color w:val="auto"/>
          <w:vertAlign w:val="superscript"/>
        </w:rPr>
        <w:t>®</w:t>
      </w:r>
      <w:r>
        <w:rPr>
          <w:rFonts w:ascii="Arial" w:cs="Arial" w:eastAsia="Arial" w:hAnsi="Arial"/>
          <w:sz w:val="16"/>
          <w:szCs w:val="16"/>
          <w:color w:val="auto"/>
        </w:rPr>
        <w:t>.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June 2018 to replace our previous rate card pricing system. While most of our new business is priced through Rate GPS</w:t>
      </w:r>
      <w:r>
        <w:rPr>
          <w:rFonts w:ascii="Arial" w:cs="Arial" w:eastAsia="Arial" w:hAnsi="Arial"/>
          <w:sz w:val="20"/>
          <w:szCs w:val="20"/>
          <w:color w:val="auto"/>
          <w:vertAlign w:val="superscript"/>
        </w:rPr>
        <w:t>®</w:t>
      </w:r>
      <w:r>
        <w:rPr>
          <w:rFonts w:ascii="Arial" w:cs="Arial" w:eastAsia="Arial" w:hAnsi="Arial"/>
          <w:sz w:val="16"/>
          <w:szCs w:val="16"/>
          <w:color w:val="auto"/>
        </w:rPr>
        <w:t>, we also continue to offer a rate card pricing option to a limited number of lender customers who require a rate card for operational reasons. We believe the introduction and utilization of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7" w:lineRule="exact"/>
        <w:rPr>
          <w:sz w:val="20"/>
          <w:szCs w:val="20"/>
          <w:color w:val="auto"/>
        </w:rPr>
      </w:pPr>
    </w:p>
    <w:p>
      <w:pPr>
        <w:ind w:left="960" w:hanging="32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NIW;</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March 31, 2023 were non-refundable under most cancellation scenarios. If non-refundable single premium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8"/>
          <w:szCs w:val="18"/>
          <w:color w:val="auto"/>
        </w:rPr>
        <w:t>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37"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Effect of reinsurance on our results</w:t>
      </w:r>
    </w:p>
    <w:p>
      <w:pPr>
        <w:spacing w:after="0" w:line="162" w:lineRule="exact"/>
        <w:rPr>
          <w:sz w:val="20"/>
          <w:szCs w:val="20"/>
          <w:color w:val="auto"/>
        </w:rPr>
      </w:pPr>
    </w:p>
    <w:p>
      <w:pPr>
        <w:jc w:val="both"/>
        <w:ind w:firstLine="633"/>
        <w:spacing w:after="0" w:line="302" w:lineRule="auto"/>
        <w:rPr>
          <w:sz w:val="20"/>
          <w:szCs w:val="20"/>
          <w:color w:val="auto"/>
        </w:rPr>
      </w:pPr>
      <w:r>
        <w:rPr>
          <w:rFonts w:ascii="Arial" w:cs="Arial" w:eastAsia="Arial" w:hAnsi="Arial"/>
          <w:sz w:val="15"/>
          <w:szCs w:val="15"/>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40"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March 31, 2023, the 2021-2 ILN Transaction was deemed to be in Lock Out in connection with the initial build of its target credit enhancement level and will remain in Lock Out until such target credit enhancement level is achieved. Effective February 28, 2023, a previously triggered Lock-Out Event for the 2018 ILN Transaction was deemed to have cleared and amortization of the associated reinsurance coverage, and distribution of collateral assets and amortization of the associated insurance-linked notes resumed.</w:t>
      </w:r>
    </w:p>
    <w:p>
      <w:pPr>
        <w:spacing w:after="0" w:line="12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28" w:name="page29"/>
    <w:bookmarkEnd w:id="28"/>
    <w:p>
      <w:pPr>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current reinsurance coverage amount, current first layer retained aggregate loss and detail on the level of overcollateralization under each outstanding ILN Transaction. Current amounts are presented as of March 31,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81"/>
              <w:spacing w:after="0"/>
              <w:rPr>
                <w:sz w:val="20"/>
                <w:szCs w:val="20"/>
                <w:color w:val="auto"/>
              </w:rPr>
            </w:pPr>
            <w:r>
              <w:rPr>
                <w:rFonts w:ascii="Arial" w:cs="Arial" w:eastAsia="Arial" w:hAnsi="Arial"/>
                <w:sz w:val="16"/>
                <w:szCs w:val="16"/>
                <w:b w:val="1"/>
                <w:bCs w:val="1"/>
                <w:color w:val="auto"/>
                <w:w w:val="97"/>
              </w:rPr>
              <w:t>2018 ILN</w:t>
            </w:r>
          </w:p>
        </w:tc>
        <w:tc>
          <w:tcPr>
            <w:tcW w:w="200" w:type="dxa"/>
            <w:vAlign w:val="bottom"/>
          </w:tcPr>
          <w:p>
            <w:pPr>
              <w:spacing w:after="0"/>
              <w:rPr>
                <w:sz w:val="16"/>
                <w:szCs w:val="16"/>
                <w:color w:val="auto"/>
              </w:rPr>
            </w:pPr>
          </w:p>
        </w:tc>
        <w:tc>
          <w:tcPr>
            <w:tcW w:w="1240" w:type="dxa"/>
            <w:vAlign w:val="bottom"/>
          </w:tcPr>
          <w:p>
            <w:pPr>
              <w:jc w:val="center"/>
              <w:ind w:right="121"/>
              <w:spacing w:after="0"/>
              <w:rPr>
                <w:sz w:val="20"/>
                <w:szCs w:val="20"/>
                <w:color w:val="auto"/>
              </w:rPr>
            </w:pPr>
            <w:r>
              <w:rPr>
                <w:rFonts w:ascii="Arial" w:cs="Arial" w:eastAsia="Arial" w:hAnsi="Arial"/>
                <w:sz w:val="16"/>
                <w:szCs w:val="16"/>
                <w:b w:val="1"/>
                <w:bCs w:val="1"/>
                <w:color w:val="auto"/>
                <w:w w:val="97"/>
              </w:rPr>
              <w:t>2019 ILN</w:t>
            </w:r>
          </w:p>
        </w:tc>
        <w:tc>
          <w:tcPr>
            <w:tcW w:w="140" w:type="dxa"/>
            <w:vAlign w:val="bottom"/>
          </w:tcPr>
          <w:p>
            <w:pPr>
              <w:spacing w:after="0"/>
              <w:rPr>
                <w:sz w:val="16"/>
                <w:szCs w:val="16"/>
                <w:color w:val="auto"/>
              </w:rPr>
            </w:pPr>
          </w:p>
        </w:tc>
        <w:tc>
          <w:tcPr>
            <w:tcW w:w="1400" w:type="dxa"/>
            <w:vAlign w:val="bottom"/>
          </w:tcPr>
          <w:p>
            <w:pPr>
              <w:jc w:val="right"/>
              <w:ind w:right="243"/>
              <w:spacing w:after="0"/>
              <w:rPr>
                <w:sz w:val="20"/>
                <w:szCs w:val="20"/>
                <w:color w:val="auto"/>
              </w:rPr>
            </w:pPr>
            <w:r>
              <w:rPr>
                <w:rFonts w:ascii="Arial" w:cs="Arial" w:eastAsia="Arial" w:hAnsi="Arial"/>
                <w:sz w:val="16"/>
                <w:szCs w:val="16"/>
                <w:b w:val="1"/>
                <w:bCs w:val="1"/>
                <w:color w:val="auto"/>
              </w:rPr>
              <w:t>2020-2 ILN</w:t>
            </w:r>
          </w:p>
        </w:tc>
        <w:tc>
          <w:tcPr>
            <w:tcW w:w="200" w:type="dxa"/>
            <w:vAlign w:val="bottom"/>
          </w:tcPr>
          <w:p>
            <w:pPr>
              <w:spacing w:after="0"/>
              <w:rPr>
                <w:sz w:val="16"/>
                <w:szCs w:val="16"/>
                <w:color w:val="auto"/>
              </w:rPr>
            </w:pPr>
          </w:p>
        </w:tc>
        <w:tc>
          <w:tcPr>
            <w:tcW w:w="1340" w:type="dxa"/>
            <w:vAlign w:val="bottom"/>
          </w:tcPr>
          <w:p>
            <w:pPr>
              <w:jc w:val="right"/>
              <w:ind w:right="243"/>
              <w:spacing w:after="0"/>
              <w:rPr>
                <w:sz w:val="20"/>
                <w:szCs w:val="20"/>
                <w:color w:val="auto"/>
              </w:rPr>
            </w:pPr>
            <w:r>
              <w:rPr>
                <w:rFonts w:ascii="Arial" w:cs="Arial" w:eastAsia="Arial" w:hAnsi="Arial"/>
                <w:sz w:val="16"/>
                <w:szCs w:val="16"/>
                <w:b w:val="1"/>
                <w:bCs w:val="1"/>
                <w:color w:val="auto"/>
              </w:rPr>
              <w:t>2021-1 ILN</w:t>
            </w:r>
          </w:p>
        </w:tc>
        <w:tc>
          <w:tcPr>
            <w:tcW w:w="180" w:type="dxa"/>
            <w:vAlign w:val="bottom"/>
          </w:tcPr>
          <w:p>
            <w:pPr>
              <w:spacing w:after="0"/>
              <w:rPr>
                <w:sz w:val="16"/>
                <w:szCs w:val="16"/>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2021-2 ILN</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values in thousands)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8"/>
              </w:rPr>
              <w:t>Transaction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8"/>
              </w:rPr>
              <w:t>Transaction</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Transaction</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Transaction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Transaction</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Inception date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July 25, 2018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w w:val="90"/>
              </w:rPr>
              <w:t>July 30, 2019</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w w:val="93"/>
              </w:rPr>
              <w:t>October 29, 2020</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April 27, 2021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October 26, 2021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Covered production</w:t>
            </w:r>
          </w:p>
        </w:tc>
        <w:tc>
          <w:tcPr>
            <w:tcW w:w="180" w:type="dxa"/>
            <w:vAlign w:val="bottom"/>
          </w:tcPr>
          <w:p>
            <w:pPr>
              <w:spacing w:after="0"/>
              <w:rPr>
                <w:sz w:val="16"/>
                <w:szCs w:val="16"/>
                <w:color w:val="auto"/>
              </w:rPr>
            </w:pPr>
          </w:p>
        </w:tc>
        <w:tc>
          <w:tcPr>
            <w:tcW w:w="1200" w:type="dxa"/>
            <w:vAlign w:val="bottom"/>
          </w:tcPr>
          <w:p>
            <w:pPr>
              <w:jc w:val="center"/>
              <w:ind w:right="81"/>
              <w:spacing w:after="0"/>
              <w:rPr>
                <w:sz w:val="20"/>
                <w:szCs w:val="20"/>
                <w:color w:val="auto"/>
              </w:rPr>
            </w:pPr>
            <w:r>
              <w:rPr>
                <w:rFonts w:ascii="Arial" w:cs="Arial" w:eastAsia="Arial" w:hAnsi="Arial"/>
                <w:sz w:val="16"/>
                <w:szCs w:val="16"/>
                <w:color w:val="auto"/>
                <w:w w:val="89"/>
              </w:rPr>
              <w:t>1/1/2017 –</w:t>
            </w: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color w:val="auto"/>
                <w:w w:val="91"/>
              </w:rPr>
              <w:t>6/1/2018 – 6/30/2019</w:t>
            </w:r>
          </w:p>
        </w:tc>
        <w:tc>
          <w:tcPr>
            <w:tcW w:w="1540" w:type="dxa"/>
            <w:vAlign w:val="bottom"/>
            <w:gridSpan w:val="2"/>
          </w:tcPr>
          <w:p>
            <w:pPr>
              <w:jc w:val="center"/>
              <w:spacing w:after="0"/>
              <w:rPr>
                <w:sz w:val="20"/>
                <w:szCs w:val="20"/>
                <w:color w:val="auto"/>
              </w:rPr>
            </w:pPr>
            <w:r>
              <w:rPr>
                <w:rFonts w:ascii="Arial" w:cs="Arial" w:eastAsia="Arial" w:hAnsi="Arial"/>
                <w:sz w:val="16"/>
                <w:szCs w:val="16"/>
                <w:color w:val="auto"/>
                <w:w w:val="89"/>
              </w:rPr>
              <w:t>4/1/2020 – 9/30/2020</w:t>
            </w:r>
          </w:p>
        </w:tc>
        <w:tc>
          <w:tcPr>
            <w:tcW w:w="1540" w:type="dxa"/>
            <w:vAlign w:val="bottom"/>
            <w:gridSpan w:val="2"/>
          </w:tcPr>
          <w:p>
            <w:pPr>
              <w:jc w:val="center"/>
              <w:spacing w:after="0"/>
              <w:rPr>
                <w:sz w:val="20"/>
                <w:szCs w:val="20"/>
                <w:color w:val="auto"/>
              </w:rPr>
            </w:pPr>
            <w:r>
              <w:rPr>
                <w:rFonts w:ascii="Arial" w:cs="Arial" w:eastAsia="Arial" w:hAnsi="Arial"/>
                <w:sz w:val="16"/>
                <w:szCs w:val="16"/>
                <w:color w:val="auto"/>
                <w:w w:val="89"/>
              </w:rPr>
              <w:t>10/1/2020 – 3/31/2021</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color w:val="auto"/>
                <w:w w:val="91"/>
              </w:rPr>
              <w:t>4/1/2021 – 9/30/2021</w:t>
            </w:r>
          </w:p>
        </w:tc>
        <w:tc>
          <w:tcPr>
            <w:tcW w:w="180" w:type="dxa"/>
            <w:vAlign w:val="bottom"/>
          </w:tcPr>
          <w:p>
            <w:pPr>
              <w:jc w:val="right"/>
              <w:spacing w:after="0"/>
              <w:rPr>
                <w:sz w:val="20"/>
                <w:szCs w:val="20"/>
                <w:color w:val="auto"/>
              </w:rPr>
            </w:pP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130"/>
        </w:trPr>
        <w:tc>
          <w:tcPr>
            <w:tcW w:w="34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281"/>
              <w:spacing w:after="0"/>
              <w:rPr>
                <w:sz w:val="20"/>
                <w:szCs w:val="20"/>
                <w:color w:val="auto"/>
              </w:rPr>
            </w:pPr>
            <w:r>
              <w:rPr>
                <w:rFonts w:ascii="Arial" w:cs="Arial" w:eastAsia="Arial" w:hAnsi="Arial"/>
                <w:sz w:val="16"/>
                <w:szCs w:val="16"/>
                <w:color w:val="auto"/>
              </w:rPr>
              <w:t>5/31/2018</w:t>
            </w:r>
          </w:p>
        </w:tc>
        <w:tc>
          <w:tcPr>
            <w:tcW w:w="1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643"/>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1"/>
                <w:szCs w:val="11"/>
                <w:color w:val="auto"/>
              </w:rPr>
            </w:pPr>
          </w:p>
        </w:tc>
        <w:tc>
          <w:tcPr>
            <w:tcW w:w="1340" w:type="dxa"/>
            <w:vAlign w:val="bottom"/>
          </w:tcPr>
          <w:p>
            <w:pPr>
              <w:jc w:val="right"/>
              <w:ind w:right="643"/>
              <w:spacing w:after="0"/>
              <w:rPr>
                <w:sz w:val="20"/>
                <w:szCs w:val="20"/>
                <w:color w:val="auto"/>
              </w:rPr>
            </w:pPr>
            <w:r>
              <w:rPr>
                <w:rFonts w:ascii="Arial" w:cs="Arial" w:eastAsia="Arial" w:hAnsi="Arial"/>
                <w:sz w:val="10"/>
                <w:szCs w:val="10"/>
                <w:color w:val="auto"/>
              </w:rPr>
              <w:t>(2)</w:t>
            </w: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3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20" w:type="dxa"/>
            <w:vAlign w:val="bottom"/>
          </w:tcPr>
          <w:p>
            <w:pPr>
              <w:ind w:left="20"/>
              <w:spacing w:after="0"/>
              <w:rPr>
                <w:sz w:val="20"/>
                <w:szCs w:val="20"/>
                <w:color w:val="auto"/>
              </w:rPr>
            </w:pPr>
            <w:r>
              <w:rPr>
                <w:rFonts w:ascii="Arial" w:cs="Arial" w:eastAsia="Arial" w:hAnsi="Arial"/>
                <w:sz w:val="16"/>
                <w:szCs w:val="16"/>
                <w:color w:val="auto"/>
              </w:rPr>
              <w:t>Current ceded RIF</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811,639</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929,536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3,236,685</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6,591,872</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6,860,558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20" w:type="dxa"/>
            <w:vAlign w:val="bottom"/>
          </w:tcPr>
          <w:p>
            <w:pPr>
              <w:ind w:left="20"/>
              <w:spacing w:after="0"/>
              <w:rPr>
                <w:sz w:val="20"/>
                <w:szCs w:val="20"/>
                <w:color w:val="auto"/>
              </w:rPr>
            </w:pPr>
            <w:r>
              <w:rPr>
                <w:rFonts w:ascii="Arial" w:cs="Arial" w:eastAsia="Arial" w:hAnsi="Arial"/>
                <w:sz w:val="16"/>
                <w:szCs w:val="16"/>
                <w:color w:val="auto"/>
              </w:rPr>
              <w:t>Current first layer retained loss</w:t>
            </w:r>
          </w:p>
        </w:tc>
        <w:tc>
          <w:tcPr>
            <w:tcW w:w="180" w:type="dxa"/>
            <w:vAlign w:val="bottom"/>
          </w:tcPr>
          <w:p>
            <w:pPr>
              <w:spacing w:after="0"/>
              <w:rPr>
                <w:sz w:val="19"/>
                <w:szCs w:val="19"/>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122,166</w:t>
            </w:r>
          </w:p>
        </w:tc>
        <w:tc>
          <w:tcPr>
            <w:tcW w:w="20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122,182</w:t>
            </w:r>
          </w:p>
        </w:tc>
        <w:tc>
          <w:tcPr>
            <w:tcW w:w="140" w:type="dxa"/>
            <w:vAlign w:val="bottom"/>
          </w:tcPr>
          <w:p>
            <w:pPr>
              <w:spacing w:after="0"/>
              <w:rPr>
                <w:sz w:val="19"/>
                <w:szCs w:val="19"/>
                <w:color w:val="auto"/>
              </w:rPr>
            </w:pP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121,177</w:t>
            </w:r>
          </w:p>
        </w:tc>
        <w:tc>
          <w:tcPr>
            <w:tcW w:w="200" w:type="dxa"/>
            <w:vAlign w:val="bottom"/>
          </w:tcPr>
          <w:p>
            <w:pPr>
              <w:spacing w:after="0"/>
              <w:rPr>
                <w:sz w:val="19"/>
                <w:szCs w:val="19"/>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163,654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146,167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reinsurance coverage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147,608</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191,044</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85,011</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282,630</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363,596</w:t>
            </w: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20"/>
              <w:spacing w:after="0"/>
              <w:rPr>
                <w:sz w:val="20"/>
                <w:szCs w:val="20"/>
                <w:color w:val="auto"/>
              </w:rPr>
            </w:pPr>
            <w:r>
              <w:rPr>
                <w:rFonts w:ascii="Arial" w:cs="Arial" w:eastAsia="Arial" w:hAnsi="Arial"/>
                <w:sz w:val="16"/>
                <w:szCs w:val="16"/>
                <w:color w:val="auto"/>
              </w:rPr>
              <w:t>Eligible coverage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269,774</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313,226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3"/>
              <w:spacing w:after="0"/>
              <w:rPr>
                <w:sz w:val="20"/>
                <w:szCs w:val="20"/>
                <w:color w:val="auto"/>
              </w:rPr>
            </w:pPr>
            <w:r>
              <w:rPr>
                <w:rFonts w:ascii="Arial" w:cs="Arial" w:eastAsia="Arial" w:hAnsi="Arial"/>
                <w:sz w:val="16"/>
                <w:szCs w:val="16"/>
                <w:color w:val="auto"/>
              </w:rPr>
              <w:t>206,188</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446,284</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509,763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Subordinated coverage </w:t>
            </w:r>
            <w:r>
              <w:rPr>
                <w:rFonts w:ascii="Arial" w:cs="Arial" w:eastAsia="Arial" w:hAnsi="Arial"/>
                <w:sz w:val="20"/>
                <w:szCs w:val="20"/>
                <w:color w:val="auto"/>
                <w:vertAlign w:val="superscript"/>
              </w:rPr>
              <w:t>(4)</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33.24 %</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33.70 %</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6.25 %</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7.43 %</w:t>
            </w:r>
          </w:p>
        </w:tc>
        <w:tc>
          <w:tcPr>
            <w:tcW w:w="0" w:type="dxa"/>
            <w:vAlign w:val="bottom"/>
          </w:tcPr>
          <w:p>
            <w:pPr>
              <w:spacing w:after="0"/>
              <w:rPr>
                <w:sz w:val="1"/>
                <w:szCs w:val="1"/>
                <w:color w:val="auto"/>
              </w:rPr>
            </w:pPr>
          </w:p>
        </w:tc>
      </w:tr>
      <w:tr>
        <w:trPr>
          <w:trHeight w:val="211"/>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PMIERs charge on ceded RIF</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7.86 %</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7.74 %</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5.65 %</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6.77 %</w:t>
            </w:r>
          </w:p>
        </w:tc>
        <w:tc>
          <w:tcPr>
            <w:tcW w:w="0" w:type="dxa"/>
            <w:vAlign w:val="bottom"/>
          </w:tcPr>
          <w:p>
            <w:pPr>
              <w:spacing w:after="0"/>
              <w:rPr>
                <w:sz w:val="1"/>
                <w:szCs w:val="1"/>
                <w:color w:val="auto"/>
              </w:rPr>
            </w:pPr>
          </w:p>
        </w:tc>
      </w:tr>
      <w:tr>
        <w:trPr>
          <w:trHeight w:val="217"/>
        </w:trPr>
        <w:tc>
          <w:tcPr>
            <w:tcW w:w="342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Overcollateralization </w:t>
            </w:r>
            <w:r>
              <w:rPr>
                <w:rFonts w:ascii="Arial" w:cs="Arial" w:eastAsia="Arial" w:hAnsi="Arial"/>
                <w:sz w:val="20"/>
                <w:szCs w:val="20"/>
                <w:color w:val="auto"/>
                <w:vertAlign w:val="superscript"/>
              </w:rPr>
              <w:t>(5) (6)</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147,608</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191,044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44,509</w:t>
            </w: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74,062</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45,241</w:t>
            </w:r>
          </w:p>
        </w:tc>
        <w:tc>
          <w:tcPr>
            <w:tcW w:w="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420" w:type="dxa"/>
            <w:vAlign w:val="bottom"/>
          </w:tcPr>
          <w:p>
            <w:pPr>
              <w:ind w:left="20"/>
              <w:spacing w:after="0"/>
              <w:rPr>
                <w:sz w:val="20"/>
                <w:szCs w:val="20"/>
                <w:color w:val="auto"/>
              </w:rPr>
            </w:pPr>
            <w:r>
              <w:rPr>
                <w:rFonts w:ascii="Arial" w:cs="Arial" w:eastAsia="Arial" w:hAnsi="Arial"/>
                <w:sz w:val="16"/>
                <w:szCs w:val="16"/>
                <w:color w:val="auto"/>
              </w:rPr>
              <w:t xml:space="preserve">Delinquency Trigger </w:t>
            </w:r>
            <w:r>
              <w:rPr>
                <w:rFonts w:ascii="Arial" w:cs="Arial" w:eastAsia="Arial" w:hAnsi="Arial"/>
                <w:sz w:val="20"/>
                <w:szCs w:val="20"/>
                <w:color w:val="auto"/>
                <w:vertAlign w:val="superscript"/>
              </w:rPr>
              <w:t>(7)</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4.7 %</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5.1 %</w:t>
            </w:r>
          </w:p>
        </w:tc>
        <w:tc>
          <w:tcPr>
            <w:tcW w:w="1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4"/>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9" w:lineRule="exact"/>
        <w:rPr>
          <w:rFonts w:ascii="Arial" w:cs="Arial" w:eastAsia="Arial" w:hAnsi="Arial"/>
          <w:sz w:val="14"/>
          <w:szCs w:val="14"/>
          <w:color w:val="auto"/>
        </w:rPr>
      </w:pPr>
    </w:p>
    <w:p>
      <w:pPr>
        <w:ind w:left="300" w:hanging="294"/>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spacing w:after="0" w:line="6" w:lineRule="exact"/>
        <w:rPr>
          <w:rFonts w:ascii="Arial" w:cs="Arial" w:eastAsia="Arial" w:hAnsi="Arial"/>
          <w:sz w:val="14"/>
          <w:szCs w:val="14"/>
          <w:color w:val="auto"/>
        </w:rPr>
      </w:pPr>
    </w:p>
    <w:p>
      <w:pPr>
        <w:ind w:left="300" w:hanging="294"/>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10" w:lineRule="exact"/>
        <w:rPr>
          <w:rFonts w:ascii="Arial" w:cs="Arial" w:eastAsia="Arial" w:hAnsi="Arial"/>
          <w:sz w:val="14"/>
          <w:szCs w:val="14"/>
          <w:color w:val="auto"/>
        </w:rPr>
      </w:pPr>
    </w:p>
    <w:p>
      <w:pPr>
        <w:ind w:left="340" w:hanging="334"/>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Absent a delinquency trigger, the subordinated coverage is capped at 7.75%, 7.50%, 6.25%, 6.75% and 7.45% for the 2018, 2019, 2020-2, 2021-1 and 2021-2 ILN Transactions, respectively.</w:t>
      </w:r>
    </w:p>
    <w:p>
      <w:pPr>
        <w:spacing w:after="0" w:line="33" w:lineRule="exact"/>
        <w:rPr>
          <w:rFonts w:ascii="Arial" w:cs="Arial" w:eastAsia="Arial" w:hAnsi="Arial"/>
          <w:sz w:val="12"/>
          <w:szCs w:val="12"/>
          <w:color w:val="auto"/>
        </w:rPr>
      </w:pPr>
    </w:p>
    <w:p>
      <w:pPr>
        <w:ind w:left="320" w:right="80" w:hanging="314"/>
        <w:spacing w:after="0" w:line="248" w:lineRule="auto"/>
        <w:tabs>
          <w:tab w:leader="none" w:pos="308" w:val="left"/>
        </w:tabs>
        <w:numPr>
          <w:ilvl w:val="0"/>
          <w:numId w:val="12"/>
        </w:numPr>
        <w:rPr>
          <w:rFonts w:ascii="Arial" w:cs="Arial" w:eastAsia="Arial" w:hAnsi="Arial"/>
          <w:sz w:val="14"/>
          <w:szCs w:val="14"/>
          <w:color w:val="auto"/>
        </w:rPr>
      </w:pPr>
      <w:r>
        <w:rPr>
          <w:rFonts w:ascii="Arial" w:cs="Arial" w:eastAsia="Arial" w:hAnsi="Arial"/>
          <w:sz w:val="14"/>
          <w:szCs w:val="14"/>
          <w:color w:val="auto"/>
        </w:rPr>
        <w:t>Overcollateralization for each of the 2018 and 2019 ILN Transactions is equal to their current reinsurance coverage as the PMIERs required asset amount on RIF ceded under each transaction is currently below its remaining first layer retained loss.</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May not be replicated based on the rounded figures presented in the table.</w:t>
      </w:r>
    </w:p>
    <w:p>
      <w:pPr>
        <w:spacing w:after="0" w:line="6" w:lineRule="exact"/>
        <w:rPr>
          <w:rFonts w:ascii="Arial" w:cs="Arial" w:eastAsia="Arial" w:hAnsi="Arial"/>
          <w:sz w:val="14"/>
          <w:szCs w:val="14"/>
          <w:color w:val="auto"/>
        </w:rPr>
      </w:pPr>
    </w:p>
    <w:p>
      <w:pPr>
        <w:ind w:left="320" w:right="380" w:hanging="314"/>
        <w:spacing w:after="0" w:line="271" w:lineRule="auto"/>
        <w:tabs>
          <w:tab w:leader="none" w:pos="308"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Delinquency triggers for the 2018 and 2019 ILN Transactions are set at a fixed 4.0% and assessed on a discrete monthly basis; delinquency triggers for the 2020-2, 2021-1 and 2021-2 ILN Transactions are equal to seventy-five percent of the subordinated coverage level and assessed on the basis of a three-month rolling average.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NMIC is a party to four excess-of-loss reinsurance agreements with broad panels of third-party reinsurers – the 2022-1 XOL Transaction, effective April 1, 2022, the 2022-2 XOL Transaction, effective July 1, 2022, the 2022-3 XOL Transaction, effective October 1, 2022, and the 2023-1 XOL Transaction, effective January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over a ten-year period in the event the PMIERs minimum required assets of the pool declines. NMIC retains losses in excess of the outstanding reinsurance coverage amount.</w:t>
      </w:r>
    </w:p>
    <w:p>
      <w:pPr>
        <w:spacing w:after="0" w:line="11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Each of the third-party reinsurance providers that is party to the XOL Transactions has an insurer financial strength rating of A- or better by S&amp;P, A.M. Best or both.</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spacing w:after="0" w:line="262" w:lineRule="auto"/>
        <w:rPr>
          <w:sz w:val="20"/>
          <w:szCs w:val="20"/>
          <w:color w:val="auto"/>
        </w:rPr>
      </w:pPr>
      <w:r>
        <w:rPr>
          <w:rFonts w:ascii="Arial" w:cs="Arial" w:eastAsia="Arial" w:hAnsi="Arial"/>
          <w:sz w:val="18"/>
          <w:szCs w:val="18"/>
          <w:color w:val="auto"/>
        </w:rPr>
        <w:t>amount, and initial and current first layer retained aggregate loss under each outstanding XOL Transaction. Current amounts are presented as of March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 First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1"/>
        </w:trPr>
        <w:tc>
          <w:tcPr>
            <w:tcW w:w="2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values in thousands)</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80" w:type="dxa"/>
            <w:vAlign w:val="bottom"/>
            <w:vMerge w:val="restart"/>
          </w:tcPr>
          <w:p>
            <w:pPr>
              <w:spacing w:after="0"/>
              <w:rPr>
                <w:sz w:val="12"/>
                <w:szCs w:val="12"/>
                <w:color w:val="auto"/>
              </w:rPr>
            </w:pPr>
          </w:p>
        </w:tc>
        <w:tc>
          <w:tcPr>
            <w:tcW w:w="22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2"/>
                <w:szCs w:val="12"/>
                <w:color w:val="auto"/>
              </w:rPr>
            </w:pP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1"/>
        </w:trPr>
        <w:tc>
          <w:tcPr>
            <w:tcW w:w="2600" w:type="dxa"/>
            <w:vAlign w:val="bottom"/>
            <w:tcBorders>
              <w:bottom w:val="single" w:sz="8" w:color="CCEEFF"/>
            </w:tcBorders>
            <w:gridSpan w:val="2"/>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Coverage</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2022-1</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April 1, 2022</w:t>
            </w:r>
          </w:p>
        </w:tc>
        <w:tc>
          <w:tcPr>
            <w:tcW w:w="226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7"/>
              </w:rPr>
              <w:t xml:space="preserve">10/1/2021 – 3/31/2022 </w:t>
            </w:r>
            <w:r>
              <w:rPr>
                <w:rFonts w:ascii="Arial" w:cs="Arial" w:eastAsia="Arial" w:hAnsi="Arial"/>
                <w:sz w:val="22"/>
                <w:szCs w:val="22"/>
                <w:color w:val="auto"/>
                <w:w w:val="87"/>
                <w:vertAlign w:val="superscript"/>
              </w:rPr>
              <w:t>(2)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$289,741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$283,077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2022-2</w:t>
            </w:r>
          </w:p>
        </w:tc>
        <w:tc>
          <w:tcPr>
            <w:tcW w:w="206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2022</w:t>
            </w:r>
          </w:p>
        </w:tc>
        <w:tc>
          <w:tcPr>
            <w:tcW w:w="2360" w:type="dxa"/>
            <w:vAlign w:val="bottom"/>
            <w:gridSpan w:val="2"/>
          </w:tcPr>
          <w:p>
            <w:pPr>
              <w:jc w:val="center"/>
              <w:ind w:right="100"/>
              <w:spacing w:after="0" w:line="224" w:lineRule="exact"/>
              <w:rPr>
                <w:sz w:val="20"/>
                <w:szCs w:val="20"/>
                <w:color w:val="auto"/>
              </w:rPr>
            </w:pPr>
            <w:r>
              <w:rPr>
                <w:rFonts w:ascii="Arial" w:cs="Arial" w:eastAsia="Arial" w:hAnsi="Arial"/>
                <w:sz w:val="18"/>
                <w:szCs w:val="18"/>
                <w:color w:val="auto"/>
                <w:w w:val="88"/>
              </w:rPr>
              <w:t xml:space="preserve">4/1/2022 – 6/30/2022 </w:t>
            </w:r>
            <w:r>
              <w:rPr>
                <w:rFonts w:ascii="Arial" w:cs="Arial" w:eastAsia="Arial" w:hAnsi="Arial"/>
                <w:sz w:val="22"/>
                <w:szCs w:val="22"/>
                <w:color w:val="auto"/>
                <w:w w:val="88"/>
                <w:vertAlign w:val="superscript"/>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154,306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152,347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78,906</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78,906</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2022-3</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October 1, 2022</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7/1/2022 – 9/30/2022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96,779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96,197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0" w:type="dxa"/>
            <w:vAlign w:val="bottom"/>
          </w:tcPr>
          <w:p>
            <w:pPr>
              <w:spacing w:after="0"/>
              <w:rPr>
                <w:sz w:val="1"/>
                <w:szCs w:val="1"/>
                <w:color w:val="auto"/>
              </w:rPr>
            </w:pPr>
          </w:p>
        </w:tc>
      </w:tr>
      <w:tr>
        <w:trPr>
          <w:trHeight w:val="298"/>
        </w:trPr>
        <w:tc>
          <w:tcPr>
            <w:tcW w:w="540" w:type="dxa"/>
            <w:vAlign w:val="bottom"/>
          </w:tcPr>
          <w:p>
            <w:pPr>
              <w:ind w:left="20"/>
              <w:spacing w:after="0"/>
              <w:rPr>
                <w:sz w:val="20"/>
                <w:szCs w:val="20"/>
                <w:color w:val="auto"/>
              </w:rPr>
            </w:pPr>
            <w:r>
              <w:rPr>
                <w:rFonts w:ascii="Arial" w:cs="Arial" w:eastAsia="Arial" w:hAnsi="Arial"/>
                <w:sz w:val="18"/>
                <w:szCs w:val="18"/>
                <w:color w:val="auto"/>
                <w:w w:val="89"/>
              </w:rPr>
              <w:t>2023-1</w:t>
            </w:r>
          </w:p>
        </w:tc>
        <w:tc>
          <w:tcPr>
            <w:tcW w:w="2060" w:type="dxa"/>
            <w:vAlign w:val="bottom"/>
          </w:tcPr>
          <w:p>
            <w:pPr>
              <w:ind w:left="20"/>
              <w:spacing w:after="0"/>
              <w:rPr>
                <w:sz w:val="20"/>
                <w:szCs w:val="20"/>
                <w:color w:val="auto"/>
              </w:rPr>
            </w:pPr>
            <w:r>
              <w:rPr>
                <w:rFonts w:ascii="Arial" w:cs="Arial" w:eastAsia="Arial" w:hAnsi="Arial"/>
                <w:sz w:val="18"/>
                <w:szCs w:val="18"/>
                <w:color w:val="auto"/>
              </w:rPr>
              <w:t xml:space="preserve">XOL Transaction </w:t>
            </w:r>
            <w:r>
              <w:rPr>
                <w:rFonts w:ascii="Arial" w:cs="Arial" w:eastAsia="Arial" w:hAnsi="Arial"/>
                <w:sz w:val="22"/>
                <w:szCs w:val="22"/>
                <w:color w:val="auto"/>
                <w:vertAlign w:val="superscript"/>
              </w:rPr>
              <w:t>(4)</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January 1, 2023</w:t>
            </w: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10/1/2022 – 6/30/2023</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59,509</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59,509</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94,977</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94,977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4"/>
        <w:spacing w:after="0" w:line="251" w:lineRule="auto"/>
        <w:tabs>
          <w:tab w:leader="none" w:pos="3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4"/>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2022-1 XOL Transaction has coverage reporting dates between October 21, 2019 and September 30, 2021.</w:t>
      </w:r>
    </w:p>
    <w:p>
      <w:pPr>
        <w:spacing w:after="0" w:line="10" w:lineRule="exact"/>
        <w:rPr>
          <w:rFonts w:ascii="Arial" w:cs="Arial" w:eastAsia="Arial" w:hAnsi="Arial"/>
          <w:sz w:val="14"/>
          <w:szCs w:val="14"/>
          <w:color w:val="auto"/>
        </w:rPr>
      </w:pPr>
    </w:p>
    <w:p>
      <w:pPr>
        <w:ind w:left="300" w:hanging="294"/>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2022-2 XOL Transaction has coverage reporting dates between January 4, 2021 and March 31, 2022.</w:t>
      </w:r>
    </w:p>
    <w:p>
      <w:pPr>
        <w:spacing w:after="0" w:line="10" w:lineRule="exact"/>
        <w:rPr>
          <w:rFonts w:ascii="Arial" w:cs="Arial" w:eastAsia="Arial" w:hAnsi="Arial"/>
          <w:sz w:val="14"/>
          <w:szCs w:val="14"/>
          <w:color w:val="auto"/>
        </w:rPr>
      </w:pPr>
    </w:p>
    <w:p>
      <w:pPr>
        <w:ind w:left="320" w:right="260" w:hanging="314"/>
        <w:spacing w:after="0" w:line="271" w:lineRule="auto"/>
        <w:tabs>
          <w:tab w:leader="none" w:pos="305"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initial reinsurance coverage, current reinsurance coverage, initial first layer retained loss and current first layer retained loss for the 2023-1 XOL Transaction will increase as incremental covered production is ceded under the transaction through June 30, 2023.</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41"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0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3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0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3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In connection with the 2022 QSR Transaction, NMIC entered into the 2023 QSR Transaction as a springing back-to-back quota share agreement. Under the terms of the 2023 QSR Transactions, NMIC cedes premiums earned related to 20% of the risk on eligible policies written from January 1, 2023 to December 31, 2023, in exchange for reimbursement of ceded claims and claim expenses on covered policies, a 20% ceding commission, and a profit commission of up to 62% that varies directly and inversely with ceded claims.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jc w:val="both"/>
        <w:ind w:firstLine="633"/>
        <w:spacing w:after="0" w:line="292" w:lineRule="auto"/>
        <w:rPr>
          <w:sz w:val="20"/>
          <w:szCs w:val="20"/>
          <w:color w:val="auto"/>
        </w:rPr>
      </w:pPr>
      <w:r>
        <w:rPr>
          <w:rFonts w:ascii="Arial" w:cs="Arial" w:eastAsia="Arial" w:hAnsi="Arial"/>
          <w:sz w:val="16"/>
          <w:szCs w:val="16"/>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07"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to terminate its engagement with individual reinsurers on a run-off basis (i.e., reinsurers continue providing coverage on all risk ceded prior to the termination date, with no new cessions going forward) or cut-off basis (i.e.,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1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xml:space="preserve"> for further discussion of these third-party reinsurance arrangements.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Portfolio Data</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and for the three months ended</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4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2023</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1000" w:type="dxa"/>
            <w:vAlign w:val="bottom"/>
            <w:tcBorders>
              <w:bottom w:val="single" w:sz="8" w:color="auto"/>
            </w:tcBorders>
          </w:tcPr>
          <w:p>
            <w:pPr>
              <w:spacing w:after="0"/>
              <w:rPr>
                <w:sz w:val="16"/>
                <w:szCs w:val="16"/>
                <w:color w:val="auto"/>
              </w:rPr>
            </w:pPr>
          </w:p>
        </w:tc>
      </w:tr>
      <w:tr>
        <w:trPr>
          <w:trHeight w:val="191"/>
        </w:trPr>
        <w:tc>
          <w:tcPr>
            <w:tcW w:w="4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IIF</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NIW</w:t>
            </w:r>
          </w:p>
        </w:tc>
      </w:tr>
      <w:tr>
        <w:trPr>
          <w:trHeight w:val="189"/>
        </w:trPr>
        <w:tc>
          <w:tcPr>
            <w:tcW w:w="4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166,924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w:t>
            </w:r>
          </w:p>
        </w:tc>
      </w:tr>
      <w:tr>
        <w:trPr>
          <w:trHeight w:val="224"/>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Single</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1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14,165</w:t>
            </w:r>
          </w:p>
        </w:tc>
      </w:tr>
      <w:tr>
        <w:trPr>
          <w:trHeight w:val="106"/>
        </w:trPr>
        <w:tc>
          <w:tcPr>
            <w:tcW w:w="4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92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187,749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160,039</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14,165</w:t>
            </w: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NIW for the three months ended March 31, 2023 was $8.7 billion compared to $14.2 billion for the three months ended March 31, 2022. NIW decreased year-on-year primarily due to a decline in the size of the total mortgage insurance market.</w:t>
      </w:r>
    </w:p>
    <w:p>
      <w:pPr>
        <w:spacing w:after="0" w:line="220"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Total IIF increased 17% at March 31, 2023 compared to March 31, 2022, primarily due to the NIW generated between such measurement dates, partially offset by the run-off of in-force policies. Our persistency rate improved to 85.1% at March 31, 2023 from 71.5% at March 31, 2022, due to a slowdown in the pace of refinancing activity during the intervening twelve-month period driven by an increase in interest and mortgage note rates.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80" w:type="dxa"/>
            <w:vAlign w:val="bottom"/>
          </w:tcPr>
          <w:p>
            <w:pPr>
              <w:spacing w:after="0"/>
              <w:rPr>
                <w:sz w:val="15"/>
                <w:szCs w:val="15"/>
                <w:color w:val="auto"/>
              </w:rPr>
            </w:pPr>
          </w:p>
        </w:tc>
        <w:tc>
          <w:tcPr>
            <w:tcW w:w="3480" w:type="dxa"/>
            <w:vAlign w:val="bottom"/>
            <w:gridSpan w:val="3"/>
          </w:tcPr>
          <w:p>
            <w:pPr>
              <w:jc w:val="center"/>
              <w:ind w:right="218"/>
              <w:spacing w:after="0"/>
              <w:rPr>
                <w:sz w:val="20"/>
                <w:szCs w:val="20"/>
                <w:color w:val="auto"/>
              </w:rPr>
            </w:pPr>
            <w:r>
              <w:rPr>
                <w:rFonts w:ascii="Arial" w:cs="Arial" w:eastAsia="Arial" w:hAnsi="Arial"/>
                <w:sz w:val="14"/>
                <w:szCs w:val="14"/>
                <w:b w:val="1"/>
                <w:bCs w:val="1"/>
                <w:color w:val="auto"/>
                <w:w w:val="89"/>
              </w:rPr>
              <w:t>For the three months ended</w:t>
            </w:r>
          </w:p>
        </w:tc>
      </w:tr>
      <w:tr>
        <w:trPr>
          <w:trHeight w:val="2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March 31, 2023</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w w:val="94"/>
              </w:rPr>
              <w:t>March 31, 2022</w:t>
            </w:r>
          </w:p>
        </w:tc>
      </w:tr>
      <w:tr>
        <w:trPr>
          <w:trHeight w:val="189"/>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2"/>
          </w:tcPr>
          <w:p>
            <w:pPr>
              <w:jc w:val="center"/>
              <w:ind w:left="1063"/>
              <w:spacing w:after="0"/>
              <w:rPr>
                <w:sz w:val="20"/>
                <w:szCs w:val="20"/>
                <w:color w:val="auto"/>
              </w:rPr>
            </w:pPr>
            <w:r>
              <w:rPr>
                <w:rFonts w:ascii="Arial" w:cs="Arial" w:eastAsia="Arial" w:hAnsi="Arial"/>
                <w:sz w:val="14"/>
                <w:szCs w:val="14"/>
                <w:i w:val="1"/>
                <w:iCs w:val="1"/>
                <w:color w:val="auto"/>
                <w:w w:val="89"/>
              </w:rPr>
              <w:t>(In Thousands)</w:t>
            </w:r>
          </w:p>
        </w:tc>
        <w:tc>
          <w:tcPr>
            <w:tcW w:w="1420" w:type="dxa"/>
            <w:vAlign w:val="bottom"/>
          </w:tcPr>
          <w:p>
            <w:pPr>
              <w:spacing w:after="0"/>
              <w:rPr>
                <w:sz w:val="16"/>
                <w:szCs w:val="16"/>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112,976</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116,034</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9"/>
                <w:szCs w:val="19"/>
                <w:color w:val="auto"/>
              </w:rPr>
            </w:pP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121,754</w:t>
            </w: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116,495</w:t>
            </w:r>
          </w:p>
        </w:tc>
      </w:tr>
    </w:tbl>
    <w:p>
      <w:pPr>
        <w:spacing w:after="0" w:line="239"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Net premiums written decreased 3% during the three months ended March 31, 2023 compared to the three months ended March 31, 2022, reflecting an increase in total premiums ceded under our reinsurance transactions and a decline in single premium policy production, partially offset by growth in our monthly IIF and monthly pay policy premium receipts.</w:t>
      </w:r>
    </w:p>
    <w:p>
      <w:pPr>
        <w:spacing w:after="0" w:line="13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Net premiums earned during the three months ended March 31, 2023 increased 5% compared to the three months ended March 31, 2022, primarily driven by our NIW production and the growth of our IIF, partially offset by an increase in total premiums ceded under our reinsurance transactions, the run-off of a portion of our prior period monthly policy production and associated premium receipts, and a decline in the contribution from single premium policy cancellations.</w:t>
      </w:r>
    </w:p>
    <w:p>
      <w:pPr>
        <w:spacing w:after="0" w:line="14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Pool premiums written and earned for each of the three months ended March 31, 2023 and 2022 were $0.3 million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62"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40" w:type="dxa"/>
            <w:vAlign w:val="bottom"/>
            <w:gridSpan w:val="5"/>
          </w:tcPr>
          <w:p>
            <w:pPr>
              <w:jc w:val="center"/>
              <w:ind w:right="233"/>
              <w:spacing w:after="0"/>
              <w:rPr>
                <w:sz w:val="20"/>
                <w:szCs w:val="20"/>
                <w:color w:val="auto"/>
              </w:rPr>
            </w:pPr>
            <w:r>
              <w:rPr>
                <w:rFonts w:ascii="Arial" w:cs="Arial" w:eastAsia="Arial" w:hAnsi="Arial"/>
                <w:sz w:val="14"/>
                <w:szCs w:val="14"/>
                <w:b w:val="1"/>
                <w:bCs w:val="1"/>
                <w:color w:val="auto"/>
                <w:w w:val="89"/>
              </w:rPr>
              <w:t>As of and for the three months ended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March 31, 2023</w:t>
            </w:r>
          </w:p>
        </w:tc>
        <w:tc>
          <w:tcPr>
            <w:tcW w:w="136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6"/>
              </w:rPr>
              <w:t>December 31, 2022</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September 30, 2022</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March 31, 2022</w:t>
            </w:r>
          </w:p>
        </w:tc>
      </w:tr>
      <w:tr>
        <w:trPr>
          <w:trHeight w:val="189"/>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40" w:type="dxa"/>
            <w:vAlign w:val="bottom"/>
            <w:gridSpan w:val="5"/>
          </w:tcPr>
          <w:p>
            <w:pPr>
              <w:jc w:val="center"/>
              <w:ind w:right="233"/>
              <w:spacing w:after="0"/>
              <w:rPr>
                <w:sz w:val="20"/>
                <w:szCs w:val="20"/>
                <w:color w:val="auto"/>
              </w:rPr>
            </w:pPr>
            <w:r>
              <w:rPr>
                <w:rFonts w:ascii="Arial" w:cs="Arial" w:eastAsia="Arial" w:hAnsi="Arial"/>
                <w:sz w:val="14"/>
                <w:szCs w:val="14"/>
                <w:i w:val="1"/>
                <w:iCs w:val="1"/>
                <w:color w:val="auto"/>
                <w:w w:val="91"/>
              </w:rPr>
              <w:t>($ Values In Millions, except as noted below)</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8,734</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10,719</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17,239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16,611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14,165</w:t>
            </w:r>
          </w:p>
        </w:tc>
      </w:tr>
      <w:tr>
        <w:trPr>
          <w:trHeight w:val="224"/>
        </w:trPr>
        <w:tc>
          <w:tcPr>
            <w:tcW w:w="452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94 %</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25"/>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4"/>
        </w:trPr>
        <w:tc>
          <w:tcPr>
            <w:tcW w:w="452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2,258</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2,797</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4,616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4,386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3,721</w:t>
            </w:r>
          </w:p>
        </w:tc>
      </w:tr>
      <w:tr>
        <w:trPr>
          <w:trHeight w:val="225"/>
        </w:trPr>
        <w:tc>
          <w:tcPr>
            <w:tcW w:w="452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186,724</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183,968</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179,173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168,639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158,877</w:t>
            </w:r>
          </w:p>
        </w:tc>
      </w:tr>
      <w:tr>
        <w:trPr>
          <w:trHeight w:val="224"/>
        </w:trPr>
        <w:tc>
          <w:tcPr>
            <w:tcW w:w="452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88 %</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25"/>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2"/>
                <w:szCs w:val="22"/>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48,494</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47,648</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46,259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43,260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40,522</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600,294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594,142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580,525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551,543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526,976</w:t>
            </w:r>
          </w:p>
        </w:tc>
      </w:tr>
      <w:tr>
        <w:trPr>
          <w:trHeight w:val="237"/>
        </w:trPr>
        <w:tc>
          <w:tcPr>
            <w:tcW w:w="4520" w:type="dxa"/>
            <w:vAlign w:val="bottom"/>
          </w:tcPr>
          <w:p>
            <w:pPr>
              <w:ind w:left="220"/>
              <w:spacing w:after="0" w:line="238"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14"/>
                <w:szCs w:val="14"/>
                <w:i w:val="1"/>
                <w:iCs w:val="1"/>
                <w:color w:val="auto"/>
              </w:rPr>
              <w:t>($ value in thousands)</w:t>
            </w:r>
            <w:r>
              <w:rPr>
                <w:rFonts w:ascii="Arial" w:cs="Arial" w:eastAsia="Arial" w:hAnsi="Arial"/>
                <w:sz w:val="18"/>
                <w:szCs w:val="18"/>
                <w:color w:val="auto"/>
              </w:rPr>
              <w:t xml:space="preserve"> </w:t>
            </w:r>
            <w:r>
              <w:rPr>
                <w:rFonts w:ascii="Arial" w:cs="Arial" w:eastAsia="Arial" w:hAnsi="Arial"/>
                <w:sz w:val="22"/>
                <w:szCs w:val="22"/>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311</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310</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306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301</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4,475</w:t>
            </w:r>
          </w:p>
        </w:tc>
        <w:tc>
          <w:tcPr>
            <w:tcW w:w="340" w:type="dxa"/>
            <w:vAlign w:val="bottom"/>
          </w:tcPr>
          <w:p>
            <w:pPr>
              <w:spacing w:after="0"/>
              <w:rPr>
                <w:sz w:val="19"/>
                <w:szCs w:val="19"/>
                <w:color w:val="auto"/>
              </w:rPr>
            </w:pP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4,449</w:t>
            </w:r>
          </w:p>
        </w:tc>
        <w:tc>
          <w:tcPr>
            <w:tcW w:w="34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4,096</w:t>
            </w:r>
          </w:p>
        </w:tc>
        <w:tc>
          <w:tcPr>
            <w:tcW w:w="220" w:type="dxa"/>
            <w:vAlign w:val="bottom"/>
          </w:tcPr>
          <w:p>
            <w:pPr>
              <w:spacing w:after="0"/>
              <w:rPr>
                <w:sz w:val="19"/>
                <w:szCs w:val="19"/>
                <w:color w:val="auto"/>
              </w:rPr>
            </w:pP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4,271</w:t>
            </w:r>
          </w:p>
        </w:tc>
        <w:tc>
          <w:tcPr>
            <w:tcW w:w="18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5,238</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Default rate </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2"/>
                <w:szCs w:val="22"/>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337</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323</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295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362</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Net premium yield </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r>
      <w:tr>
        <w:trPr>
          <w:trHeight w:val="224"/>
        </w:trPr>
        <w:tc>
          <w:tcPr>
            <w:tcW w:w="452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2.9</w:t>
            </w:r>
          </w:p>
        </w:tc>
      </w:tr>
      <w:tr>
        <w:trPr>
          <w:trHeight w:val="225"/>
        </w:trPr>
        <w:tc>
          <w:tcPr>
            <w:tcW w:w="452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r>
      <w:tr>
        <w:trPr>
          <w:trHeight w:val="298"/>
        </w:trPr>
        <w:tc>
          <w:tcPr>
            <w:tcW w:w="452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2"/>
                <w:szCs w:val="22"/>
                <w:color w:val="auto"/>
                <w:vertAlign w:val="superscript"/>
              </w:rPr>
              <w:t>(5)</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4.3 %</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5.0 %</w:t>
            </w:r>
          </w:p>
        </w:tc>
      </w:tr>
    </w:tbl>
    <w:p>
      <w:pPr>
        <w:spacing w:after="0" w:line="158"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Reported as of the end of the period.</w:t>
      </w:r>
    </w:p>
    <w:p>
      <w:pPr>
        <w:spacing w:after="0" w:line="9" w:lineRule="exact"/>
        <w:rPr>
          <w:rFonts w:ascii="Arial" w:cs="Arial" w:eastAsia="Arial" w:hAnsi="Arial"/>
          <w:sz w:val="14"/>
          <w:szCs w:val="14"/>
          <w:color w:val="auto"/>
        </w:rPr>
      </w:pPr>
    </w:p>
    <w:p>
      <w:pPr>
        <w:ind w:left="320" w:hanging="314"/>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as end of period RIF divided by end of period IIF.</w:t>
      </w:r>
    </w:p>
    <w:p>
      <w:pPr>
        <w:spacing w:after="0" w:line="6" w:lineRule="exact"/>
        <w:rPr>
          <w:rFonts w:ascii="Arial" w:cs="Arial" w:eastAsia="Arial" w:hAnsi="Arial"/>
          <w:sz w:val="14"/>
          <w:szCs w:val="14"/>
          <w:color w:val="auto"/>
        </w:rPr>
      </w:pPr>
    </w:p>
    <w:p>
      <w:pPr>
        <w:ind w:left="320" w:hanging="314"/>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as net premiums earned divided by average primary IIF for the period, annualized.</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Defined as the percentage of IIF that remains on our books after a given twelve-month period.</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Defined as the percentage of IIF that is no longer on our books after a given three-month period.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240" w:type="dxa"/>
            <w:vAlign w:val="bottom"/>
          </w:tcPr>
          <w:p>
            <w:pPr>
              <w:spacing w:after="0"/>
              <w:rPr>
                <w:sz w:val="15"/>
                <w:szCs w:val="15"/>
                <w:color w:val="auto"/>
              </w:rPr>
            </w:pPr>
          </w:p>
        </w:tc>
        <w:tc>
          <w:tcPr>
            <w:tcW w:w="330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As of and for the three months ended</w:t>
            </w:r>
          </w:p>
        </w:tc>
      </w:tr>
      <w:tr>
        <w:trPr>
          <w:trHeight w:val="24"/>
        </w:trPr>
        <w:tc>
          <w:tcPr>
            <w:tcW w:w="7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7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6"/>
              </w:rPr>
              <w:t>March 31, 2022</w:t>
            </w:r>
          </w:p>
        </w:tc>
      </w:tr>
      <w:tr>
        <w:trPr>
          <w:trHeight w:val="189"/>
        </w:trPr>
        <w:tc>
          <w:tcPr>
            <w:tcW w:w="7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16"/>
                <w:szCs w:val="16"/>
                <w:color w:val="auto"/>
              </w:rPr>
            </w:pPr>
          </w:p>
        </w:tc>
      </w:tr>
      <w:tr>
        <w:trPr>
          <w:trHeight w:val="23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152,343</w:t>
            </w:r>
          </w:p>
        </w:tc>
      </w:tr>
      <w:tr>
        <w:trPr>
          <w:trHeight w:val="224"/>
        </w:trPr>
        <w:tc>
          <w:tcPr>
            <w:tcW w:w="7520" w:type="dxa"/>
            <w:vAlign w:val="bottom"/>
          </w:tcPr>
          <w:p>
            <w:pPr>
              <w:ind w:left="220"/>
              <w:spacing w:after="0"/>
              <w:rPr>
                <w:sz w:val="20"/>
                <w:szCs w:val="20"/>
                <w:color w:val="auto"/>
              </w:rPr>
            </w:pPr>
            <w:r>
              <w:rPr>
                <w:rFonts w:ascii="Arial" w:cs="Arial" w:eastAsia="Arial" w:hAnsi="Arial"/>
                <w:sz w:val="18"/>
                <w:szCs w:val="18"/>
                <w:color w:val="auto"/>
              </w:rPr>
              <w:t>NIW</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14,165</w:t>
            </w:r>
          </w:p>
        </w:tc>
      </w:tr>
      <w:tr>
        <w:trPr>
          <w:trHeight w:val="224"/>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w:t>
            </w:r>
          </w:p>
        </w:tc>
      </w:tr>
      <w:tr>
        <w:trPr>
          <w:trHeight w:val="218"/>
        </w:trPr>
        <w:tc>
          <w:tcPr>
            <w:tcW w:w="752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158,877</w:t>
            </w: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ind w:left="64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9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As of March 31, 2023</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March 31, 2022</w:t>
            </w:r>
          </w:p>
        </w:tc>
        <w:tc>
          <w:tcPr>
            <w:tcW w:w="1020" w:type="dxa"/>
            <w:vAlign w:val="bottom"/>
          </w:tcPr>
          <w:p>
            <w:pPr>
              <w:spacing w:after="0"/>
              <w:rPr>
                <w:sz w:val="15"/>
                <w:szCs w:val="15"/>
                <w:color w:val="auto"/>
              </w:rPr>
            </w:pPr>
          </w:p>
        </w:tc>
      </w:tr>
      <w:tr>
        <w:trPr>
          <w:trHeight w:val="24"/>
        </w:trPr>
        <w:tc>
          <w:tcPr>
            <w:tcW w:w="4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41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6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RIF</w:t>
            </w:r>
          </w:p>
        </w:tc>
      </w:tr>
      <w:tr>
        <w:trPr>
          <w:trHeight w:val="189"/>
        </w:trPr>
        <w:tc>
          <w:tcPr>
            <w:tcW w:w="4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gridSpan w:val="3"/>
          </w:tcPr>
          <w:p>
            <w:pPr>
              <w:jc w:val="right"/>
              <w:ind w:right="112"/>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180" w:type="dxa"/>
            <w:vAlign w:val="bottom"/>
          </w:tcPr>
          <w:p>
            <w:pPr>
              <w:ind w:left="20"/>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55,664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14,076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3,699</w:t>
            </w: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r>
      <w:tr>
        <w:trPr>
          <w:trHeight w:val="224"/>
        </w:trPr>
        <w:tc>
          <w:tcPr>
            <w:tcW w:w="4180" w:type="dxa"/>
            <w:vAlign w:val="bottom"/>
          </w:tcPr>
          <w:p>
            <w:pPr>
              <w:ind w:left="2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41,311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10,431</w:t>
            </w: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24"/>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2018 and before</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186,724</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158,877</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4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240" w:type="dxa"/>
            <w:vAlign w:val="bottom"/>
          </w:tcPr>
          <w:p>
            <w:pPr>
              <w:spacing w:after="0"/>
              <w:rPr>
                <w:sz w:val="15"/>
                <w:szCs w:val="15"/>
                <w:color w:val="auto"/>
              </w:rPr>
            </w:pPr>
          </w:p>
        </w:tc>
        <w:tc>
          <w:tcPr>
            <w:tcW w:w="332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For the three months ended</w:t>
            </w:r>
          </w:p>
        </w:tc>
      </w:tr>
      <w:tr>
        <w:trPr>
          <w:trHeight w:val="24"/>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March 31, 2022</w:t>
            </w:r>
          </w:p>
        </w:tc>
      </w:tr>
      <w:tr>
        <w:trPr>
          <w:trHeight w:val="189"/>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16"/>
                <w:szCs w:val="16"/>
                <w:color w:val="auto"/>
              </w:rPr>
            </w:pPr>
          </w:p>
        </w:tc>
      </w:tr>
      <w:tr>
        <w:trPr>
          <w:trHeight w:val="233"/>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r>
      <w:tr>
        <w:trPr>
          <w:trHeight w:val="224"/>
        </w:trPr>
        <w:tc>
          <w:tcPr>
            <w:tcW w:w="7620" w:type="dxa"/>
            <w:vAlign w:val="bottom"/>
          </w:tcPr>
          <w:p>
            <w:pPr>
              <w:ind w:left="220"/>
              <w:spacing w:after="0"/>
              <w:rPr>
                <w:sz w:val="20"/>
                <w:szCs w:val="20"/>
                <w:color w:val="auto"/>
              </w:rPr>
            </w:pPr>
            <w:r>
              <w:rPr>
                <w:rFonts w:ascii="Arial" w:cs="Arial" w:eastAsia="Arial" w:hAnsi="Arial"/>
                <w:sz w:val="18"/>
                <w:szCs w:val="18"/>
                <w:color w:val="auto"/>
              </w:rPr>
              <w:t>740-759</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25"/>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24"/>
        </w:trPr>
        <w:tc>
          <w:tcPr>
            <w:tcW w:w="7620" w:type="dxa"/>
            <w:vAlign w:val="bottom"/>
          </w:tcPr>
          <w:p>
            <w:pPr>
              <w:ind w:left="220"/>
              <w:spacing w:after="0"/>
              <w:rPr>
                <w:sz w:val="20"/>
                <w:szCs w:val="20"/>
                <w:color w:val="auto"/>
              </w:rPr>
            </w:pPr>
            <w:r>
              <w:rPr>
                <w:rFonts w:ascii="Arial" w:cs="Arial" w:eastAsia="Arial" w:hAnsi="Arial"/>
                <w:sz w:val="18"/>
                <w:szCs w:val="18"/>
                <w:color w:val="auto"/>
              </w:rPr>
              <w:t>700-719</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1,639</w:t>
            </w:r>
          </w:p>
        </w:tc>
      </w:tr>
      <w:tr>
        <w:trPr>
          <w:trHeight w:val="225"/>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4"/>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w:t>
            </w:r>
          </w:p>
        </w:tc>
      </w:tr>
      <w:tr>
        <w:trPr>
          <w:trHeight w:val="218"/>
        </w:trPr>
        <w:tc>
          <w:tcPr>
            <w:tcW w:w="762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260" w:type="dxa"/>
            <w:vAlign w:val="bottom"/>
          </w:tcPr>
          <w:p>
            <w:pPr>
              <w:spacing w:after="0"/>
              <w:rPr>
                <w:sz w:val="15"/>
                <w:szCs w:val="15"/>
                <w:color w:val="auto"/>
              </w:rPr>
            </w:pPr>
          </w:p>
        </w:tc>
        <w:tc>
          <w:tcPr>
            <w:tcW w:w="352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For the three months ended</w:t>
            </w:r>
          </w:p>
        </w:tc>
      </w:tr>
      <w:tr>
        <w:trPr>
          <w:trHeight w:val="24"/>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4"/>
        </w:trPr>
        <w:tc>
          <w:tcPr>
            <w:tcW w:w="7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2023</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8"/>
              </w:rPr>
              <w:t>March 31, 2022</w:t>
            </w:r>
          </w:p>
        </w:tc>
      </w:tr>
      <w:tr>
        <w:trPr>
          <w:trHeight w:val="189"/>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Pr>
          <w:p>
            <w:pPr>
              <w:spacing w:after="0"/>
              <w:rPr>
                <w:sz w:val="16"/>
                <w:szCs w:val="16"/>
                <w:color w:val="auto"/>
              </w:rPr>
            </w:pPr>
          </w:p>
        </w:tc>
      </w:tr>
      <w:tr>
        <w:trPr>
          <w:trHeight w:val="233"/>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1,366</w:t>
            </w:r>
          </w:p>
        </w:tc>
      </w:tr>
      <w:tr>
        <w:trPr>
          <w:trHeight w:val="224"/>
        </w:trPr>
        <w:tc>
          <w:tcPr>
            <w:tcW w:w="740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60" w:type="dxa"/>
            <w:vAlign w:val="bottom"/>
          </w:tcPr>
          <w:p>
            <w:pPr>
              <w:spacing w:after="0"/>
              <w:rPr>
                <w:sz w:val="19"/>
                <w:szCs w:val="19"/>
                <w:color w:val="auto"/>
              </w:rPr>
            </w:pPr>
          </w:p>
        </w:tc>
        <w:tc>
          <w:tcPr>
            <w:tcW w:w="1560" w:type="dxa"/>
            <w:vAlign w:val="bottom"/>
          </w:tcPr>
          <w:p>
            <w:pPr>
              <w:jc w:val="right"/>
              <w:ind w:right="138"/>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7,055</w:t>
            </w:r>
          </w:p>
        </w:tc>
      </w:tr>
      <w:tr>
        <w:trPr>
          <w:trHeight w:val="225"/>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3,868</w:t>
            </w:r>
          </w:p>
        </w:tc>
      </w:tr>
      <w:tr>
        <w:trPr>
          <w:trHeight w:val="224"/>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1,876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8,734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14,165</w:t>
            </w:r>
          </w:p>
        </w:tc>
      </w:tr>
      <w:tr>
        <w:trPr>
          <w:trHeight w:val="218"/>
        </w:trPr>
        <w:tc>
          <w:tcPr>
            <w:tcW w:w="740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91.6 %</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92.1 %</w:t>
            </w: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3"/>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240" w:type="dxa"/>
            <w:vAlign w:val="bottom"/>
          </w:tcPr>
          <w:p>
            <w:pPr>
              <w:spacing w:after="0"/>
              <w:rPr>
                <w:sz w:val="15"/>
                <w:szCs w:val="15"/>
                <w:color w:val="auto"/>
              </w:rPr>
            </w:pPr>
          </w:p>
        </w:tc>
        <w:tc>
          <w:tcPr>
            <w:tcW w:w="332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For the three months ended</w:t>
            </w:r>
          </w:p>
        </w:tc>
      </w:tr>
      <w:tr>
        <w:trPr>
          <w:trHeight w:val="24"/>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6"/>
              </w:rPr>
              <w:t>March 31, 2022</w:t>
            </w:r>
          </w:p>
        </w:tc>
      </w:tr>
      <w:tr>
        <w:trPr>
          <w:trHeight w:val="189"/>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16"/>
                <w:szCs w:val="16"/>
                <w:color w:val="auto"/>
              </w:rPr>
            </w:pPr>
          </w:p>
        </w:tc>
      </w:tr>
      <w:tr>
        <w:trPr>
          <w:trHeight w:val="233"/>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13,398</w:t>
            </w:r>
          </w:p>
        </w:tc>
      </w:tr>
      <w:tr>
        <w:trPr>
          <w:trHeight w:val="224"/>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Refinance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tables below present our total primary IIF and RIF by FICO and LTV, and total primary RIF by loan type as of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gridSpan w:val="5"/>
          </w:tcPr>
          <w:p>
            <w:pPr>
              <w:jc w:val="center"/>
              <w:ind w:left="56"/>
              <w:spacing w:after="0"/>
              <w:rPr>
                <w:sz w:val="20"/>
                <w:szCs w:val="20"/>
                <w:color w:val="auto"/>
              </w:rPr>
            </w:pPr>
            <w:r>
              <w:rPr>
                <w:rFonts w:ascii="Arial" w:cs="Arial" w:eastAsia="Arial" w:hAnsi="Arial"/>
                <w:sz w:val="14"/>
                <w:szCs w:val="14"/>
                <w:b w:val="1"/>
                <w:bCs w:val="1"/>
                <w:color w:val="auto"/>
                <w:w w:val="85"/>
              </w:rPr>
              <w:t>As of</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2023</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March 31, 2022</w:t>
            </w:r>
          </w:p>
        </w:tc>
        <w:tc>
          <w:tcPr>
            <w:tcW w:w="800" w:type="dxa"/>
            <w:vAlign w:val="bottom"/>
            <w:tcBorders>
              <w:bottom w:val="single" w:sz="8" w:color="auto"/>
            </w:tcBorders>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gridSpan w:val="5"/>
          </w:tcPr>
          <w:p>
            <w:pPr>
              <w:jc w:val="center"/>
              <w:ind w:left="56"/>
              <w:spacing w:after="0"/>
              <w:rPr>
                <w:sz w:val="20"/>
                <w:szCs w:val="20"/>
                <w:color w:val="auto"/>
              </w:rPr>
            </w:pPr>
            <w:r>
              <w:rPr>
                <w:rFonts w:ascii="Arial" w:cs="Arial" w:eastAsia="Arial" w:hAnsi="Arial"/>
                <w:sz w:val="14"/>
                <w:szCs w:val="14"/>
                <w:i w:val="1"/>
                <w:iCs w:val="1"/>
                <w:color w:val="auto"/>
                <w:w w:val="93"/>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27,406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17</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158,877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gridSpan w:val="5"/>
          </w:tcPr>
          <w:p>
            <w:pPr>
              <w:jc w:val="center"/>
              <w:ind w:left="76"/>
              <w:spacing w:after="0"/>
              <w:rPr>
                <w:sz w:val="20"/>
                <w:szCs w:val="20"/>
                <w:color w:val="auto"/>
              </w:rPr>
            </w:pPr>
            <w:r>
              <w:rPr>
                <w:rFonts w:ascii="Arial" w:cs="Arial" w:eastAsia="Arial" w:hAnsi="Arial"/>
                <w:sz w:val="14"/>
                <w:szCs w:val="14"/>
                <w:b w:val="1"/>
                <w:bCs w:val="1"/>
                <w:color w:val="auto"/>
                <w:w w:val="91"/>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2023</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March 31, 2022</w:t>
            </w:r>
          </w:p>
        </w:tc>
        <w:tc>
          <w:tcPr>
            <w:tcW w:w="800" w:type="dxa"/>
            <w:vAlign w:val="bottom"/>
            <w:tcBorders>
              <w:bottom w:val="single" w:sz="8" w:color="auto"/>
            </w:tcBorders>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gridSpan w:val="5"/>
          </w:tcPr>
          <w:p>
            <w:pPr>
              <w:jc w:val="center"/>
              <w:ind w:left="56"/>
              <w:spacing w:after="0"/>
              <w:rPr>
                <w:sz w:val="20"/>
                <w:szCs w:val="20"/>
                <w:color w:val="auto"/>
              </w:rPr>
            </w:pPr>
            <w:r>
              <w:rPr>
                <w:rFonts w:ascii="Arial" w:cs="Arial" w:eastAsia="Arial" w:hAnsi="Arial"/>
                <w:sz w:val="14"/>
                <w:szCs w:val="14"/>
                <w:i w:val="1"/>
                <w:iCs w:val="1"/>
                <w:color w:val="auto"/>
                <w:w w:val="93"/>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17</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3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gridSpan w:val="5"/>
          </w:tcPr>
          <w:p>
            <w:pPr>
              <w:jc w:val="center"/>
              <w:ind w:left="56"/>
              <w:spacing w:after="0"/>
              <w:rPr>
                <w:sz w:val="20"/>
                <w:szCs w:val="20"/>
                <w:color w:val="auto"/>
              </w:rPr>
            </w:pPr>
            <w:r>
              <w:rPr>
                <w:rFonts w:ascii="Arial" w:cs="Arial" w:eastAsia="Arial" w:hAnsi="Arial"/>
                <w:sz w:val="14"/>
                <w:szCs w:val="14"/>
                <w:b w:val="1"/>
                <w:bCs w:val="1"/>
                <w:color w:val="auto"/>
                <w:w w:val="85"/>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2023</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March 31, 2022</w:t>
            </w:r>
          </w:p>
        </w:tc>
        <w:tc>
          <w:tcPr>
            <w:tcW w:w="800" w:type="dxa"/>
            <w:vAlign w:val="bottom"/>
            <w:tcBorders>
              <w:bottom w:val="single" w:sz="8" w:color="auto"/>
            </w:tcBorders>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gridSpan w:val="5"/>
          </w:tcPr>
          <w:p>
            <w:pPr>
              <w:jc w:val="center"/>
              <w:ind w:left="56"/>
              <w:spacing w:after="0"/>
              <w:rPr>
                <w:sz w:val="20"/>
                <w:szCs w:val="20"/>
                <w:color w:val="auto"/>
              </w:rPr>
            </w:pPr>
            <w:r>
              <w:rPr>
                <w:rFonts w:ascii="Arial" w:cs="Arial" w:eastAsia="Arial" w:hAnsi="Arial"/>
                <w:sz w:val="14"/>
                <w:szCs w:val="14"/>
                <w:i w:val="1"/>
                <w:iCs w:val="1"/>
                <w:color w:val="auto"/>
                <w:w w:val="93"/>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72,381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46</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158,877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27"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3"/>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r>
      <w:tr>
        <w:trPr>
          <w:trHeight w:val="184"/>
        </w:trPr>
        <w:tc>
          <w:tcPr>
            <w:tcW w:w="474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March 31, 2023</w:t>
            </w:r>
          </w:p>
        </w:tc>
        <w:tc>
          <w:tcPr>
            <w:tcW w:w="3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2480" w:type="dxa"/>
            <w:vAlign w:val="bottom"/>
            <w:tcBorders>
              <w:top w:val="single" w:sz="8" w:color="auto"/>
              <w:bottom w:val="single" w:sz="8" w:color="auto"/>
            </w:tcBorders>
            <w:gridSpan w:val="5"/>
          </w:tcPr>
          <w:p>
            <w:pPr>
              <w:jc w:val="right"/>
              <w:ind w:right="1034"/>
              <w:spacing w:after="0"/>
              <w:rPr>
                <w:sz w:val="20"/>
                <w:szCs w:val="20"/>
                <w:color w:val="auto"/>
              </w:rPr>
            </w:pPr>
            <w:r>
              <w:rPr>
                <w:rFonts w:ascii="Arial" w:cs="Arial" w:eastAsia="Arial" w:hAnsi="Arial"/>
                <w:sz w:val="14"/>
                <w:szCs w:val="14"/>
                <w:b w:val="1"/>
                <w:bCs w:val="1"/>
                <w:color w:val="auto"/>
              </w:rPr>
              <w:t>March 31, 2022</w:t>
            </w:r>
          </w:p>
        </w:tc>
        <w:tc>
          <w:tcPr>
            <w:tcW w:w="40" w:type="dxa"/>
            <w:vAlign w:val="bottom"/>
          </w:tcPr>
          <w:p>
            <w:pPr>
              <w:spacing w:after="0"/>
              <w:rPr>
                <w:sz w:val="16"/>
                <w:szCs w:val="16"/>
                <w:color w:val="auto"/>
              </w:rPr>
            </w:pPr>
          </w:p>
        </w:tc>
      </w:tr>
      <w:tr>
        <w:trPr>
          <w:trHeight w:val="189"/>
        </w:trPr>
        <w:tc>
          <w:tcPr>
            <w:tcW w:w="4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gridSpan w:val="4"/>
          </w:tcPr>
          <w:p>
            <w:pPr>
              <w:jc w:val="right"/>
              <w:ind w:right="32"/>
              <w:spacing w:after="0"/>
              <w:rPr>
                <w:sz w:val="20"/>
                <w:szCs w:val="20"/>
                <w:color w:val="auto"/>
              </w:rPr>
            </w:pPr>
            <w:r>
              <w:rPr>
                <w:rFonts w:ascii="Arial" w:cs="Arial" w:eastAsia="Arial" w:hAnsi="Arial"/>
                <w:sz w:val="14"/>
                <w:szCs w:val="14"/>
                <w:i w:val="1"/>
                <w:iCs w:val="1"/>
                <w:color w:val="auto"/>
              </w:rPr>
              <w:t>($ Values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20"/>
                <w:szCs w:val="20"/>
                <w:color w:val="auto"/>
              </w:rPr>
            </w:pP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26,326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r>
      <w:tr>
        <w:trPr>
          <w:trHeight w:val="225"/>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11,895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r>
      <w:tr>
        <w:trPr>
          <w:trHeight w:val="224"/>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40,522</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20"/>
                <w:szCs w:val="20"/>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Borders>
              <w:bottom w:val="single" w:sz="8" w:color="auto"/>
            </w:tcBorders>
            <w:gridSpan w:val="7"/>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184"/>
        </w:trPr>
        <w:tc>
          <w:tcPr>
            <w:tcW w:w="4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7"/>
          </w:tcPr>
          <w:p>
            <w:pPr>
              <w:ind w:left="460"/>
              <w:spacing w:after="0"/>
              <w:rPr>
                <w:sz w:val="20"/>
                <w:szCs w:val="20"/>
                <w:color w:val="auto"/>
              </w:rPr>
            </w:pPr>
            <w:r>
              <w:rPr>
                <w:rFonts w:ascii="Arial" w:cs="Arial" w:eastAsia="Arial" w:hAnsi="Arial"/>
                <w:sz w:val="14"/>
                <w:szCs w:val="14"/>
                <w:b w:val="1"/>
                <w:bCs w:val="1"/>
                <w:color w:val="auto"/>
              </w:rPr>
              <w:t>March 31, 2023</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2022</w:t>
            </w:r>
          </w:p>
        </w:tc>
      </w:tr>
      <w:tr>
        <w:trPr>
          <w:trHeight w:val="224"/>
        </w:trPr>
        <w:tc>
          <w:tcPr>
            <w:tcW w:w="4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5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99 %</w:t>
            </w:r>
          </w:p>
        </w:tc>
      </w:tr>
      <w:tr>
        <w:trPr>
          <w:trHeight w:val="224"/>
        </w:trPr>
        <w:tc>
          <w:tcPr>
            <w:tcW w:w="474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4"/>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Five years and longer</w:t>
            </w:r>
          </w:p>
        </w:tc>
        <w:tc>
          <w:tcPr>
            <w:tcW w:w="5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selected primary portfolio statistics, by book year, as of March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80" w:type="dxa"/>
            <w:vAlign w:val="bottom"/>
            <w:gridSpan w:val="4"/>
          </w:tcPr>
          <w:p>
            <w:pPr>
              <w:ind w:left="720"/>
              <w:spacing w:after="0"/>
              <w:rPr>
                <w:sz w:val="20"/>
                <w:szCs w:val="20"/>
                <w:color w:val="auto"/>
              </w:rPr>
            </w:pPr>
            <w:r>
              <w:rPr>
                <w:rFonts w:ascii="Arial" w:cs="Arial" w:eastAsia="Arial" w:hAnsi="Arial"/>
                <w:sz w:val="14"/>
                <w:szCs w:val="14"/>
                <w:b w:val="1"/>
                <w:bCs w:val="1"/>
                <w:color w:val="auto"/>
              </w:rPr>
              <w:t>As of March 31, 2023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Original</w:t>
            </w:r>
          </w:p>
        </w:tc>
        <w:tc>
          <w:tcPr>
            <w:tcW w:w="120" w:type="dxa"/>
            <w:vAlign w:val="bottom"/>
          </w:tcPr>
          <w:p>
            <w:pPr>
              <w:spacing w:after="0"/>
              <w:rPr>
                <w:sz w:val="11"/>
                <w:szCs w:val="11"/>
                <w:color w:val="auto"/>
              </w:rPr>
            </w:pPr>
          </w:p>
        </w:tc>
        <w:tc>
          <w:tcPr>
            <w:tcW w:w="80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9"/>
              </w:rPr>
              <w:t>Remaining</w:t>
            </w: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 Remaining of</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Policies Ever in</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 of</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Incurred Loss</w:t>
            </w:r>
          </w:p>
        </w:tc>
        <w:tc>
          <w:tcPr>
            <w:tcW w:w="11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Cumulative</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 Default</w:t>
            </w:r>
          </w:p>
        </w:tc>
        <w:tc>
          <w:tcPr>
            <w:tcW w:w="0" w:type="dxa"/>
            <w:vAlign w:val="bottom"/>
          </w:tcPr>
          <w:p>
            <w:pPr>
              <w:spacing w:after="0"/>
              <w:rPr>
                <w:sz w:val="1"/>
                <w:szCs w:val="1"/>
                <w:color w:val="auto"/>
              </w:rPr>
            </w:pPr>
          </w:p>
        </w:tc>
      </w:tr>
      <w:tr>
        <w:trPr>
          <w:trHeight w:val="142"/>
        </w:trPr>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Book Year</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Insurance</w:t>
            </w:r>
          </w:p>
        </w:tc>
        <w:tc>
          <w:tcPr>
            <w:tcW w:w="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Original</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6"/>
              </w:rPr>
              <w:t>Policies in</w:t>
            </w:r>
          </w:p>
        </w:tc>
        <w:tc>
          <w:tcPr>
            <w:tcW w:w="8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Loans in</w:t>
            </w: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Claims</w:t>
            </w: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Ratio (Inception</w:t>
            </w:r>
          </w:p>
        </w:tc>
        <w:tc>
          <w:tcPr>
            <w:tcW w:w="11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Insurance</w:t>
            </w: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Force</w:t>
            </w: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Force</w:t>
            </w: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Paid</w:t>
            </w:r>
          </w:p>
        </w:tc>
        <w:tc>
          <w:tcPr>
            <w:tcW w:w="124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4"/>
                <w:szCs w:val="14"/>
                <w:b w:val="1"/>
                <w:bCs w:val="1"/>
                <w:color w:val="auto"/>
                <w:w w:val="87"/>
              </w:rPr>
              <w:t xml:space="preserve">to Date) </w:t>
            </w:r>
            <w:r>
              <w:rPr>
                <w:rFonts w:ascii="Arial" w:cs="Arial" w:eastAsia="Arial" w:hAnsi="Arial"/>
                <w:sz w:val="18"/>
                <w:szCs w:val="18"/>
                <w:b w:val="1"/>
                <w:bCs w:val="1"/>
                <w:color w:val="auto"/>
                <w:w w:val="87"/>
                <w:vertAlign w:val="superscript"/>
              </w:rPr>
              <w:t>(1)</w:t>
            </w:r>
          </w:p>
        </w:tc>
        <w:tc>
          <w:tcPr>
            <w:tcW w:w="1180" w:type="dxa"/>
            <w:vAlign w:val="bottom"/>
            <w:tcBorders>
              <w:bottom w:val="single" w:sz="8" w:color="auto"/>
            </w:tcBorders>
          </w:tcPr>
          <w:p>
            <w:pPr>
              <w:jc w:val="right"/>
              <w:ind w:right="75"/>
              <w:spacing w:after="0" w:line="197" w:lineRule="exact"/>
              <w:rPr>
                <w:sz w:val="20"/>
                <w:szCs w:val="20"/>
                <w:color w:val="auto"/>
              </w:rPr>
            </w:pPr>
            <w:r>
              <w:rPr>
                <w:rFonts w:ascii="Arial" w:cs="Arial" w:eastAsia="Arial" w:hAnsi="Arial"/>
                <w:sz w:val="14"/>
                <w:szCs w:val="14"/>
                <w:b w:val="1"/>
                <w:bCs w:val="1"/>
                <w:color w:val="auto"/>
                <w:w w:val="99"/>
              </w:rPr>
              <w:t xml:space="preserve">Default Rate </w:t>
            </w:r>
            <w:r>
              <w:rPr>
                <w:rFonts w:ascii="Arial" w:cs="Arial" w:eastAsia="Arial" w:hAnsi="Arial"/>
                <w:sz w:val="18"/>
                <w:szCs w:val="18"/>
                <w:b w:val="1"/>
                <w:bCs w:val="1"/>
                <w:color w:val="auto"/>
                <w:w w:val="99"/>
                <w:vertAlign w:val="superscript"/>
              </w:rPr>
              <w:t>(2)</w:t>
            </w:r>
          </w:p>
        </w:tc>
        <w:tc>
          <w:tcPr>
            <w:tcW w:w="1100" w:type="dxa"/>
            <w:vAlign w:val="bottom"/>
            <w:tcBorders>
              <w:bottom w:val="single" w:sz="8" w:color="auto"/>
            </w:tcBorders>
          </w:tcPr>
          <w:p>
            <w:pPr>
              <w:jc w:val="right"/>
              <w:ind w:right="235"/>
              <w:spacing w:after="0" w:line="197"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240"/>
              <w:spacing w:after="0"/>
              <w:rPr>
                <w:sz w:val="20"/>
                <w:szCs w:val="20"/>
                <w:color w:val="auto"/>
              </w:rPr>
            </w:pPr>
            <w:r>
              <w:rPr>
                <w:rFonts w:ascii="Arial" w:cs="Arial" w:eastAsia="Arial" w:hAnsi="Arial"/>
                <w:sz w:val="14"/>
                <w:szCs w:val="14"/>
                <w:i w:val="1"/>
                <w:iCs w:val="1"/>
                <w:color w:val="auto"/>
              </w:rPr>
              <w:t>($ Values In Millions)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2014 and</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1,158</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9 %</w:t>
            </w:r>
          </w:p>
        </w:tc>
        <w:tc>
          <w:tcPr>
            <w:tcW w:w="1000" w:type="dxa"/>
            <w:vAlign w:val="bottom"/>
          </w:tcPr>
          <w:p>
            <w:pPr>
              <w:jc w:val="right"/>
              <w:spacing w:after="0"/>
              <w:rPr>
                <w:sz w:val="20"/>
                <w:szCs w:val="20"/>
                <w:color w:val="auto"/>
              </w:rPr>
            </w:pPr>
            <w:r>
              <w:rPr>
                <w:rFonts w:ascii="Arial" w:cs="Arial" w:eastAsia="Arial" w:hAnsi="Arial"/>
                <w:sz w:val="18"/>
                <w:szCs w:val="18"/>
                <w:color w:val="auto"/>
              </w:rPr>
              <w:t>52,548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2.6 %</w:t>
            </w: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2,930</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14 %</w:t>
            </w:r>
          </w:p>
        </w:tc>
        <w:tc>
          <w:tcPr>
            <w:tcW w:w="1000" w:type="dxa"/>
            <w:vAlign w:val="bottom"/>
          </w:tcPr>
          <w:p>
            <w:pPr>
              <w:jc w:val="right"/>
              <w:spacing w:after="0"/>
              <w:rPr>
                <w:sz w:val="20"/>
                <w:szCs w:val="20"/>
                <w:color w:val="auto"/>
              </w:rPr>
            </w:pPr>
            <w:r>
              <w:rPr>
                <w:rFonts w:ascii="Arial" w:cs="Arial" w:eastAsia="Arial" w:hAnsi="Arial"/>
                <w:sz w:val="18"/>
                <w:szCs w:val="18"/>
                <w:color w:val="auto"/>
              </w:rPr>
              <w:t>85,897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15,691</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2.7 %</w:t>
            </w:r>
          </w:p>
        </w:tc>
        <w:tc>
          <w:tcPr>
            <w:tcW w:w="1180" w:type="dxa"/>
            <w:vAlign w:val="bottom"/>
          </w:tcPr>
          <w:p>
            <w:pPr>
              <w:jc w:val="right"/>
              <w:spacing w:after="0"/>
              <w:rPr>
                <w:sz w:val="20"/>
                <w:szCs w:val="20"/>
                <w:color w:val="auto"/>
              </w:rPr>
            </w:pPr>
            <w:r>
              <w:rPr>
                <w:rFonts w:ascii="Arial" w:cs="Arial" w:eastAsia="Arial" w:hAnsi="Arial"/>
                <w:sz w:val="18"/>
                <w:szCs w:val="18"/>
                <w:color w:val="auto"/>
              </w:rPr>
              <w:t>0.6 %</w:t>
            </w:r>
          </w:p>
        </w:tc>
        <w:tc>
          <w:tcPr>
            <w:tcW w:w="110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4.1 %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8,798</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19 %</w:t>
            </w:r>
          </w:p>
        </w:tc>
        <w:tc>
          <w:tcPr>
            <w:tcW w:w="1000" w:type="dxa"/>
            <w:vAlign w:val="bottom"/>
          </w:tcPr>
          <w:p>
            <w:pPr>
              <w:jc w:val="right"/>
              <w:spacing w:after="0"/>
              <w:rPr>
                <w:sz w:val="20"/>
                <w:szCs w:val="20"/>
                <w:color w:val="auto"/>
              </w:rPr>
            </w:pPr>
            <w:r>
              <w:rPr>
                <w:rFonts w:ascii="Arial" w:cs="Arial" w:eastAsia="Arial" w:hAnsi="Arial"/>
                <w:sz w:val="18"/>
                <w:szCs w:val="18"/>
                <w:color w:val="auto"/>
              </w:rPr>
              <w:t>148,423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4.1 %</w:t>
            </w:r>
          </w:p>
        </w:tc>
        <w:tc>
          <w:tcPr>
            <w:tcW w:w="1180" w:type="dxa"/>
            <w:vAlign w:val="bottom"/>
          </w:tcPr>
          <w:p>
            <w:pPr>
              <w:jc w:val="right"/>
              <w:spacing w:after="0"/>
              <w:rPr>
                <w:sz w:val="20"/>
                <w:szCs w:val="20"/>
                <w:color w:val="auto"/>
              </w:rPr>
            </w:pPr>
            <w:r>
              <w:rPr>
                <w:rFonts w:ascii="Arial" w:cs="Arial" w:eastAsia="Arial" w:hAnsi="Arial"/>
                <w:sz w:val="18"/>
                <w:szCs w:val="18"/>
                <w:color w:val="auto"/>
              </w:rPr>
              <w:t>0.4 %</w:t>
            </w:r>
          </w:p>
        </w:tc>
        <w:tc>
          <w:tcPr>
            <w:tcW w:w="11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32,679</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70,771</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83 %</w:t>
            </w:r>
          </w:p>
        </w:tc>
        <w:tc>
          <w:tcPr>
            <w:tcW w:w="1000" w:type="dxa"/>
            <w:vAlign w:val="bottom"/>
          </w:tcPr>
          <w:p>
            <w:pPr>
              <w:jc w:val="right"/>
              <w:spacing w:after="0"/>
              <w:rPr>
                <w:sz w:val="20"/>
                <w:szCs w:val="20"/>
                <w:color w:val="auto"/>
              </w:rPr>
            </w:pPr>
            <w:r>
              <w:rPr>
                <w:rFonts w:ascii="Arial" w:cs="Arial" w:eastAsia="Arial" w:hAnsi="Arial"/>
                <w:sz w:val="18"/>
                <w:szCs w:val="18"/>
                <w:color w:val="auto"/>
              </w:rPr>
              <w:t>257,972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222,036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6.2 %</w:t>
            </w: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110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55,664</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95 %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19.3 %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8,674</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99 %</w:t>
            </w:r>
          </w:p>
        </w:tc>
        <w:tc>
          <w:tcPr>
            <w:tcW w:w="1000" w:type="dxa"/>
            <w:vAlign w:val="bottom"/>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23,120</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186,724</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Calculated as total claims incurred (paid and reserved) divided by cumulative premiums earned, net of reinsurance.</w:t>
      </w:r>
    </w:p>
    <w:p>
      <w:pPr>
        <w:spacing w:after="0" w:line="18" w:lineRule="exact"/>
        <w:rPr>
          <w:rFonts w:ascii="Arial" w:cs="Arial" w:eastAsia="Arial" w:hAnsi="Arial"/>
          <w:sz w:val="14"/>
          <w:szCs w:val="14"/>
          <w:color w:val="auto"/>
        </w:rPr>
      </w:pP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Calculated as the sum of the number of claims paid ever to date and number of loans in default divided by policies ever in force.</w:t>
      </w:r>
    </w:p>
    <w:p>
      <w:pPr>
        <w:spacing w:after="0" w:line="10" w:lineRule="exact"/>
        <w:rPr>
          <w:rFonts w:ascii="Arial" w:cs="Arial" w:eastAsia="Arial" w:hAnsi="Arial"/>
          <w:sz w:val="14"/>
          <w:szCs w:val="14"/>
          <w:color w:val="auto"/>
        </w:rPr>
      </w:pP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Calculated as the number of loans in default divided by number of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6" w:name="page37"/>
    <w:bookmarkEnd w:id="36"/>
    <w:p>
      <w:pPr>
        <w:ind w:left="640"/>
        <w:spacing w:after="0"/>
        <w:rPr>
          <w:sz w:val="20"/>
          <w:szCs w:val="20"/>
          <w:color w:val="auto"/>
        </w:rPr>
      </w:pPr>
      <w:r>
        <w:rPr>
          <w:rFonts w:ascii="Arial" w:cs="Arial" w:eastAsia="Arial" w:hAnsi="Arial"/>
          <w:sz w:val="18"/>
          <w:szCs w:val="18"/>
          <w:i w:val="1"/>
          <w:iCs w:val="1"/>
          <w:color w:val="auto"/>
        </w:rPr>
        <w:t>Geographic Dispersion</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shows the distribution by state of our primary RIF as of the dates indicated. The distribution of our primary RIF as of March 31, 2023 is not necessarily representative of the geographic distribution we expect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2200" w:type="dxa"/>
            <w:vAlign w:val="bottom"/>
            <w:gridSpan w:val="3"/>
          </w:tcPr>
          <w:p>
            <w:pPr>
              <w:ind w:left="1720"/>
              <w:spacing w:after="0"/>
              <w:rPr>
                <w:sz w:val="20"/>
                <w:szCs w:val="20"/>
                <w:color w:val="auto"/>
              </w:rPr>
            </w:pPr>
            <w:r>
              <w:rPr>
                <w:rFonts w:ascii="Arial" w:cs="Arial" w:eastAsia="Arial" w:hAnsi="Arial"/>
                <w:sz w:val="14"/>
                <w:szCs w:val="14"/>
                <w:b w:val="1"/>
                <w:bCs w:val="1"/>
                <w:color w:val="auto"/>
              </w:rPr>
              <w:t>As of</w:t>
            </w:r>
          </w:p>
        </w:tc>
        <w:tc>
          <w:tcPr>
            <w:tcW w:w="1560" w:type="dxa"/>
            <w:vAlign w:val="bottom"/>
          </w:tcPr>
          <w:p>
            <w:pPr>
              <w:spacing w:after="0"/>
              <w:rPr>
                <w:sz w:val="15"/>
                <w:szCs w:val="15"/>
                <w:color w:val="auto"/>
              </w:rPr>
            </w:pPr>
          </w:p>
        </w:tc>
      </w:tr>
      <w:tr>
        <w:trPr>
          <w:trHeight w:val="24"/>
        </w:trPr>
        <w:tc>
          <w:tcPr>
            <w:tcW w:w="748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7480" w:type="dxa"/>
            <w:vAlign w:val="bottom"/>
          </w:tcPr>
          <w:p>
            <w:pPr>
              <w:spacing w:after="0"/>
              <w:rPr>
                <w:sz w:val="16"/>
                <w:szCs w:val="16"/>
                <w:color w:val="auto"/>
              </w:rPr>
            </w:pPr>
          </w:p>
        </w:tc>
        <w:tc>
          <w:tcPr>
            <w:tcW w:w="220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31, 2023</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 2022</w:t>
            </w:r>
          </w:p>
        </w:tc>
      </w:tr>
      <w:tr>
        <w:trPr>
          <w:trHeight w:val="224"/>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24"/>
        </w:trPr>
        <w:tc>
          <w:tcPr>
            <w:tcW w:w="7480" w:type="dxa"/>
            <w:vAlign w:val="bottom"/>
          </w:tcPr>
          <w:p>
            <w:pPr>
              <w:ind w:left="20"/>
              <w:spacing w:after="0"/>
              <w:rPr>
                <w:sz w:val="20"/>
                <w:szCs w:val="20"/>
                <w:color w:val="auto"/>
              </w:rPr>
            </w:pPr>
            <w:r>
              <w:rPr>
                <w:rFonts w:ascii="Arial" w:cs="Arial" w:eastAsia="Arial" w:hAnsi="Arial"/>
                <w:sz w:val="18"/>
                <w:szCs w:val="18"/>
                <w:color w:val="auto"/>
              </w:rPr>
              <w:t>Texas</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9.5</w:t>
            </w: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w:t>
            </w:r>
          </w:p>
        </w:tc>
      </w:tr>
      <w:tr>
        <w:trPr>
          <w:trHeight w:val="224"/>
        </w:trPr>
        <w:tc>
          <w:tcPr>
            <w:tcW w:w="7480" w:type="dxa"/>
            <w:vAlign w:val="bottom"/>
          </w:tcPr>
          <w:p>
            <w:pPr>
              <w:ind w:left="20"/>
              <w:spacing w:after="0"/>
              <w:rPr>
                <w:sz w:val="20"/>
                <w:szCs w:val="20"/>
                <w:color w:val="auto"/>
              </w:rPr>
            </w:pPr>
            <w:r>
              <w:rPr>
                <w:rFonts w:ascii="Arial" w:cs="Arial" w:eastAsia="Arial" w:hAnsi="Arial"/>
                <w:sz w:val="18"/>
                <w:szCs w:val="18"/>
                <w:color w:val="auto"/>
              </w:rPr>
              <w:t>Georgia</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3.9</w:t>
            </w: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w:t>
            </w:r>
          </w:p>
        </w:tc>
      </w:tr>
      <w:tr>
        <w:trPr>
          <w:trHeight w:val="224"/>
        </w:trPr>
        <w:tc>
          <w:tcPr>
            <w:tcW w:w="748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3.7</w:t>
            </w: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w:t>
            </w:r>
          </w:p>
        </w:tc>
      </w:tr>
      <w:tr>
        <w:trPr>
          <w:trHeight w:val="224"/>
        </w:trPr>
        <w:tc>
          <w:tcPr>
            <w:tcW w:w="7480" w:type="dxa"/>
            <w:vAlign w:val="bottom"/>
          </w:tcPr>
          <w:p>
            <w:pPr>
              <w:ind w:left="20"/>
              <w:spacing w:after="0"/>
              <w:rPr>
                <w:sz w:val="20"/>
                <w:szCs w:val="20"/>
                <w:color w:val="auto"/>
              </w:rPr>
            </w:pPr>
            <w:r>
              <w:rPr>
                <w:rFonts w:ascii="Arial" w:cs="Arial" w:eastAsia="Arial" w:hAnsi="Arial"/>
                <w:sz w:val="18"/>
                <w:szCs w:val="18"/>
                <w:color w:val="auto"/>
              </w:rPr>
              <w:t>Colorado</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3.7</w:t>
            </w: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r>
      <w:tr>
        <w:trPr>
          <w:trHeight w:val="22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Maryland</w:t>
            </w:r>
          </w:p>
        </w:tc>
        <w:tc>
          <w:tcPr>
            <w:tcW w:w="18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3.6</w:t>
            </w:r>
          </w:p>
        </w:tc>
      </w:tr>
      <w:tr>
        <w:trPr>
          <w:trHeight w:val="24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07"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4"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19"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7" w:name="page38"/>
    <w:bookmarkEnd w:id="37"/>
    <w:p>
      <w:pPr>
        <w:jc w:val="both"/>
        <w:ind w:firstLine="633"/>
        <w:spacing w:after="0" w:line="248" w:lineRule="auto"/>
        <w:rPr>
          <w:sz w:val="20"/>
          <w:szCs w:val="20"/>
          <w:color w:val="auto"/>
        </w:rPr>
      </w:pPr>
      <w:r>
        <w:rPr>
          <w:rFonts w:ascii="Arial" w:cs="Arial" w:eastAsia="Arial" w:hAnsi="Arial"/>
          <w:sz w:val="18"/>
          <w:szCs w:val="18"/>
          <w:color w:val="auto"/>
        </w:rPr>
        <w:t>In response to the COVID-19 pandemic, politicians, regulators, lenders, loan servicers and others offered extraordinary assistance to dislocated borrowers through, among other programs, the forbearance, foreclosure moratorium and other assistance programs codified under the Coronavirus Aid, Relief, and Economic Security Act (CARES Act). The FHFA and GSEs offered further assistance by introducing new repayment and loan modification options to assist borrowers with their transition out of forbearance programs and default status. We generally observe that forbearance, repayment and modification, and other assistance programs aid affected borrowers and drive higher cure rates on defaults than would otherwise be expected on similarly situated loans that did not benefit from broad-based assistance programs.</w:t>
      </w:r>
    </w:p>
    <w:p>
      <w:pPr>
        <w:spacing w:after="0" w:line="14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Emerging 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provides a reconciliation of the beginning and ending gross reserve balances for primary insurance claims and claim expenses (benefits):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For the three months ended</w:t>
            </w:r>
          </w:p>
        </w:tc>
      </w:tr>
      <w:tr>
        <w:trPr>
          <w:trHeight w:val="24"/>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7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2"/>
              </w:rPr>
              <w:t>March 31, 2022</w:t>
            </w:r>
          </w:p>
        </w:tc>
      </w:tr>
      <w:tr>
        <w:trPr>
          <w:trHeight w:val="189"/>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6"/>
                <w:szCs w:val="16"/>
                <w:color w:val="auto"/>
              </w:rPr>
            </w:pPr>
          </w:p>
        </w:tc>
      </w:tr>
      <w:tr>
        <w:trPr>
          <w:trHeight w:val="23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103,551</w:t>
            </w:r>
          </w:p>
        </w:tc>
      </w:tr>
      <w:tr>
        <w:trPr>
          <w:trHeight w:val="224"/>
        </w:trPr>
        <w:tc>
          <w:tcPr>
            <w:tcW w:w="76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(20,320)</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r>
      <w:tr>
        <w:trPr>
          <w:trHeight w:val="244"/>
        </w:trPr>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7620" w:type="dxa"/>
            <w:vAlign w:val="bottom"/>
          </w:tcPr>
          <w:p>
            <w:pPr>
              <w:ind w:left="220"/>
              <w:spacing w:after="0"/>
              <w:rPr>
                <w:sz w:val="20"/>
                <w:szCs w:val="20"/>
                <w:color w:val="auto"/>
              </w:rPr>
            </w:pPr>
            <w:r>
              <w:rPr>
                <w:rFonts w:ascii="Arial" w:cs="Arial" w:eastAsia="Arial" w:hAnsi="Arial"/>
                <w:sz w:val="18"/>
                <w:szCs w:val="18"/>
                <w:color w:val="auto"/>
              </w:rPr>
              <w:t>Claims and claim expenses (benefits) incurred: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762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r>
      <w:tr>
        <w:trPr>
          <w:trHeight w:val="224"/>
        </w:trPr>
        <w:tc>
          <w:tcPr>
            <w:tcW w:w="762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w:t>
            </w: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(benefits) incurred</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44"/>
        </w:trPr>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762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762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62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4"/>
        </w:trPr>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82,292</w:t>
            </w:r>
          </w:p>
        </w:tc>
      </w:tr>
      <w:tr>
        <w:trPr>
          <w:trHeight w:val="224"/>
        </w:trPr>
        <w:tc>
          <w:tcPr>
            <w:tcW w:w="76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w:t>
            </w: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line="251" w:lineRule="auto"/>
        <w:tabs>
          <w:tab w:leader="none" w:pos="384"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Related to ceded losses recoverable under the QSR Transactions. See Item 1, "</w:t>
      </w:r>
      <w:r>
        <w:rPr>
          <w:rFonts w:ascii="Arial" w:cs="Arial" w:eastAsia="Arial" w:hAnsi="Arial"/>
          <w:sz w:val="14"/>
          <w:szCs w:val="14"/>
          <w:i w:val="1"/>
          <w:iCs w:val="1"/>
          <w:color w:val="auto"/>
        </w:rPr>
        <w:t>Financial Statements - Notes to Condensed Consolidated Financial Statements - Note 5, Reinsurance</w:t>
      </w:r>
      <w:r>
        <w:rPr>
          <w:rFonts w:ascii="Arial" w:cs="Arial" w:eastAsia="Arial" w:hAnsi="Arial"/>
          <w:sz w:val="14"/>
          <w:szCs w:val="14"/>
          <w:color w:val="auto"/>
        </w:rPr>
        <w:t>" for additional information.</w:t>
      </w:r>
    </w:p>
    <w:p>
      <w:pPr>
        <w:jc w:val="both"/>
        <w:ind w:left="320" w:hanging="314"/>
        <w:spacing w:after="0" w:line="260" w:lineRule="auto"/>
        <w:tabs>
          <w:tab w:leader="none" w:pos="323"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$22.3 million attributed to net case reserves and $4.9 million attributed to net IBNR reserves for the three months ended March 31, 2023 and $5.2 million attributed to net case reserves and $4.7 million attributed to net IBNR reserves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jc w:val="both"/>
        <w:ind w:left="320" w:hanging="314"/>
        <w:spacing w:after="0" w:line="269" w:lineRule="auto"/>
        <w:tabs>
          <w:tab w:leader="none" w:pos="308"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$16.2 million attributed to net case reserves and $4.5 million attributed to net IBNR reserves for the three months ended March 31, 2023 and $5.8 million attributed to net case reserves and $4.7 million attributed to net IBNR reserves for the three months ended March 31, 2022.</w:t>
      </w:r>
    </w:p>
    <w:p>
      <w:pPr>
        <w:spacing w:after="0" w:line="3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"claims incurred" section of the table above shows claims and claim expenses (benefits)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$72.7 million related to prior year defaults remained as of March 31, 2023.</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3560" w:type="dxa"/>
            <w:vAlign w:val="bottom"/>
            <w:gridSpan w:val="3"/>
          </w:tcPr>
          <w:p>
            <w:pPr>
              <w:jc w:val="right"/>
              <w:ind w:right="875"/>
              <w:spacing w:after="0"/>
              <w:rPr>
                <w:sz w:val="20"/>
                <w:szCs w:val="20"/>
                <w:color w:val="auto"/>
              </w:rPr>
            </w:pPr>
            <w:r>
              <w:rPr>
                <w:rFonts w:ascii="Arial" w:cs="Arial" w:eastAsia="Arial" w:hAnsi="Arial"/>
                <w:sz w:val="14"/>
                <w:szCs w:val="14"/>
                <w:b w:val="1"/>
                <w:bCs w:val="1"/>
                <w:color w:val="auto"/>
              </w:rPr>
              <w:t>For the three months ended</w:t>
            </w:r>
          </w:p>
        </w:tc>
      </w:tr>
      <w:tr>
        <w:trPr>
          <w:trHeight w:val="24"/>
        </w:trPr>
        <w:tc>
          <w:tcPr>
            <w:tcW w:w="76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4"/>
        </w:trPr>
        <w:tc>
          <w:tcPr>
            <w:tcW w:w="7600" w:type="dxa"/>
            <w:vAlign w:val="bottom"/>
          </w:tcPr>
          <w:p>
            <w:pPr>
              <w:spacing w:after="0"/>
              <w:rPr>
                <w:sz w:val="16"/>
                <w:szCs w:val="16"/>
                <w:color w:val="auto"/>
              </w:rPr>
            </w:pPr>
          </w:p>
        </w:tc>
        <w:tc>
          <w:tcPr>
            <w:tcW w:w="18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2023</w:t>
            </w:r>
          </w:p>
        </w:tc>
        <w:tc>
          <w:tcPr>
            <w:tcW w:w="174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 2022</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24"/>
        </w:trPr>
        <w:tc>
          <w:tcPr>
            <w:tcW w:w="760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74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24"/>
        </w:trPr>
        <w:tc>
          <w:tcPr>
            <w:tcW w:w="760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rescission and claims denied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760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r>
    </w:tbl>
    <w:p>
      <w:pPr>
        <w:spacing w:after="0" w:line="238" w:lineRule="exact"/>
        <w:rPr>
          <w:sz w:val="20"/>
          <w:szCs w:val="20"/>
          <w:color w:val="auto"/>
        </w:rPr>
      </w:pPr>
    </w:p>
    <w:p>
      <w:pPr>
        <w:ind w:right="80" w:firstLine="633"/>
        <w:spacing w:after="0" w:line="250" w:lineRule="auto"/>
        <w:rPr>
          <w:sz w:val="20"/>
          <w:szCs w:val="20"/>
          <w:color w:val="auto"/>
        </w:rPr>
      </w:pPr>
      <w:r>
        <w:rPr>
          <w:rFonts w:ascii="Arial" w:cs="Arial" w:eastAsia="Arial" w:hAnsi="Arial"/>
          <w:sz w:val="18"/>
          <w:szCs w:val="18"/>
          <w:color w:val="auto"/>
        </w:rPr>
        <w:t>Ending default inventory declined from March 31, 2022 to March 31, 2023, as borrowers initially impacted by the COVID-19 pandemic continued to cure their delinquencies, and contributed to total cure experience that exceeded the number of new defaults that emerged during the intervening period. New default experience increased during the three months ended March 31, 2023 compared to the three months ended March 31, 2022, primarily due to the growth and natural seasoning of our insured portfolio.</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3"/>
          </w:tcPr>
          <w:p>
            <w:pPr>
              <w:jc w:val="right"/>
              <w:ind w:right="976"/>
              <w:spacing w:after="0"/>
              <w:rPr>
                <w:sz w:val="20"/>
                <w:szCs w:val="20"/>
                <w:color w:val="auto"/>
              </w:rPr>
            </w:pPr>
            <w:r>
              <w:rPr>
                <w:rFonts w:ascii="Arial" w:cs="Arial" w:eastAsia="Arial" w:hAnsi="Arial"/>
                <w:sz w:val="14"/>
                <w:szCs w:val="14"/>
                <w:b w:val="1"/>
                <w:bCs w:val="1"/>
                <w:color w:val="auto"/>
              </w:rPr>
              <w:t>For the three months ended</w:t>
            </w:r>
          </w:p>
        </w:tc>
      </w:tr>
      <w:tr>
        <w:trPr>
          <w:trHeight w:val="24"/>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7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March 31, 2022</w:t>
            </w:r>
          </w:p>
        </w:tc>
      </w:tr>
      <w:tr>
        <w:trPr>
          <w:trHeight w:val="189"/>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3"/>
          </w:tcPr>
          <w:p>
            <w:pPr>
              <w:jc w:val="right"/>
              <w:ind w:right="1116"/>
              <w:spacing w:after="0"/>
              <w:rPr>
                <w:sz w:val="20"/>
                <w:szCs w:val="20"/>
                <w:color w:val="auto"/>
              </w:rPr>
            </w:pPr>
            <w:r>
              <w:rPr>
                <w:rFonts w:ascii="Arial" w:cs="Arial" w:eastAsia="Arial" w:hAnsi="Arial"/>
                <w:sz w:val="14"/>
                <w:szCs w:val="14"/>
                <w:i w:val="1"/>
                <w:iCs w:val="1"/>
                <w:color w:val="auto"/>
              </w:rPr>
              <w:t>($ Values In Thousands)</w:t>
            </w:r>
          </w:p>
        </w:tc>
      </w:tr>
      <w:tr>
        <w:trPr>
          <w:trHeight w:val="233"/>
        </w:trPr>
        <w:tc>
          <w:tcPr>
            <w:tcW w:w="740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w:t>
            </w:r>
          </w:p>
        </w:tc>
      </w:tr>
      <w:tr>
        <w:trPr>
          <w:trHeight w:val="224"/>
        </w:trPr>
        <w:tc>
          <w:tcPr>
            <w:tcW w:w="740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200"/>
              <w:spacing w:after="0"/>
              <w:rPr>
                <w:sz w:val="20"/>
                <w:szCs w:val="20"/>
                <w:color w:val="auto"/>
              </w:rPr>
            </w:pPr>
            <w:r>
              <w:rPr>
                <w:rFonts w:ascii="Arial" w:cs="Arial" w:eastAsia="Arial" w:hAnsi="Arial"/>
                <w:sz w:val="18"/>
                <w:szCs w:val="18"/>
                <w:color w:val="auto"/>
              </w:rPr>
              <w:t>344</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402</w:t>
            </w:r>
          </w:p>
        </w:tc>
      </w:tr>
      <w:tr>
        <w:trPr>
          <w:trHeight w:val="225"/>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amount paid per claim</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w:t>
            </w:r>
          </w:p>
        </w:tc>
      </w:tr>
      <w:tr>
        <w:trPr>
          <w:trHeight w:val="298"/>
        </w:trPr>
        <w:tc>
          <w:tcPr>
            <w:tcW w:w="7400" w:type="dxa"/>
            <w:vAlign w:val="bottom"/>
          </w:tcPr>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2"/>
                <w:szCs w:val="22"/>
                <w:color w:val="auto"/>
                <w:vertAlign w:val="superscript"/>
              </w:rPr>
              <w:t>(2)</w:t>
            </w:r>
          </w:p>
        </w:tc>
        <w:tc>
          <w:tcPr>
            <w:tcW w:w="2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39 %</w:t>
            </w:r>
          </w:p>
        </w:tc>
        <w:tc>
          <w:tcPr>
            <w:tcW w:w="3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39 %</w:t>
            </w:r>
          </w:p>
        </w:tc>
      </w:tr>
    </w:tbl>
    <w:p>
      <w:pPr>
        <w:spacing w:after="0" w:line="158"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Count includes seven and six claims settled without payment during the three months ended March 31, 2023 and 2022, respectively.</w:t>
      </w:r>
    </w:p>
    <w:p>
      <w:pPr>
        <w:spacing w:after="0" w:line="18" w:lineRule="exact"/>
        <w:rPr>
          <w:rFonts w:ascii="Arial" w:cs="Arial" w:eastAsia="Arial" w:hAnsi="Arial"/>
          <w:sz w:val="14"/>
          <w:szCs w:val="14"/>
          <w:color w:val="auto"/>
        </w:rPr>
      </w:pPr>
    </w:p>
    <w:p>
      <w:pPr>
        <w:ind w:left="320" w:hanging="314"/>
        <w:spacing w:after="0" w:line="251" w:lineRule="auto"/>
        <w:tabs>
          <w:tab w:leader="none" w:pos="331"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29"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We paid 21 and 19 claims during the three months ended March 31, 2023 and 2022, respectively. The number of claims paid was modest relative to the size of our insured portfolio and number of defaulted loans we reported in each period, primarily due to the forbearance program and foreclosure moratorium implemented by the GSEs in response to the COVID-19 pandemic and codified under the CARES Act. Such forbearance and foreclosure programs remain available and may ultimately interrupt, the timeline over which loans would otherwise progress through the default cycle to a paid claim. Our claims paid experience for the three months ended March 31, 2023 and 2022, further benefited from broad national house price appreciation observed through June 2022. An increase in the value of the homes collateralizing the mortgages we insure provides defaulted borrowers with alternative paths and incentives to cure their loan prior to the development of a claim. Although national house prices have contracted from their peak, the scale of decline has been modest relative to the quantum of previous gains, and many borrowers still retain significant net price gains and appreciated equity in their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39" w:name="page40"/>
    <w:bookmarkEnd w:id="39"/>
    <w:p>
      <w:pPr>
        <w:jc w:val="both"/>
        <w:ind w:firstLine="633"/>
        <w:spacing w:after="0" w:line="250" w:lineRule="auto"/>
        <w:rPr>
          <w:sz w:val="20"/>
          <w:szCs w:val="20"/>
          <w:color w:val="auto"/>
        </w:rPr>
      </w:pPr>
      <w:r>
        <w:rPr>
          <w:rFonts w:ascii="Arial" w:cs="Arial" w:eastAsia="Arial" w:hAnsi="Arial"/>
          <w:sz w:val="18"/>
          <w:szCs w:val="18"/>
          <w:color w:val="auto"/>
        </w:rPr>
        <w:t>Our claims severity for each of the three months ended March 31, 2023 and 2022 was 39%. Claims severity for the three months ended March 31, 2023 and 2022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4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 number of claims paid and our severity experience in future periods may be impacted by developing economic cycles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13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260" w:type="dxa"/>
            <w:vAlign w:val="bottom"/>
          </w:tcPr>
          <w:p>
            <w:pPr>
              <w:spacing w:after="0"/>
              <w:rPr>
                <w:sz w:val="15"/>
                <w:szCs w:val="15"/>
                <w:color w:val="auto"/>
              </w:rPr>
            </w:pPr>
          </w:p>
        </w:tc>
        <w:tc>
          <w:tcPr>
            <w:tcW w:w="19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March 31, 2023</w:t>
            </w:r>
          </w:p>
        </w:tc>
        <w:tc>
          <w:tcPr>
            <w:tcW w:w="420" w:type="dxa"/>
            <w:vAlign w:val="bottom"/>
          </w:tcPr>
          <w:p>
            <w:pPr>
              <w:spacing w:after="0"/>
              <w:rPr>
                <w:sz w:val="15"/>
                <w:szCs w:val="15"/>
                <w:color w:val="auto"/>
              </w:rPr>
            </w:pPr>
          </w:p>
        </w:tc>
        <w:tc>
          <w:tcPr>
            <w:tcW w:w="1740" w:type="dxa"/>
            <w:vAlign w:val="bottom"/>
          </w:tcPr>
          <w:p>
            <w:pPr>
              <w:jc w:val="right"/>
              <w:ind w:right="356"/>
              <w:spacing w:after="0"/>
              <w:rPr>
                <w:sz w:val="20"/>
                <w:szCs w:val="20"/>
                <w:color w:val="auto"/>
              </w:rPr>
            </w:pPr>
            <w:r>
              <w:rPr>
                <w:rFonts w:ascii="Arial" w:cs="Arial" w:eastAsia="Arial" w:hAnsi="Arial"/>
                <w:sz w:val="14"/>
                <w:szCs w:val="14"/>
                <w:b w:val="1"/>
                <w:bCs w:val="1"/>
                <w:color w:val="auto"/>
                <w:w w:val="92"/>
              </w:rPr>
              <w:t>As of March 31, 2022</w:t>
            </w:r>
          </w:p>
        </w:tc>
      </w:tr>
      <w:tr>
        <w:trPr>
          <w:trHeight w:val="24"/>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2"/>
        </w:trPr>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40" w:type="dxa"/>
            <w:vAlign w:val="bottom"/>
          </w:tcPr>
          <w:p>
            <w:pPr>
              <w:spacing w:after="0"/>
              <w:rPr>
                <w:sz w:val="15"/>
                <w:szCs w:val="15"/>
                <w:color w:val="auto"/>
              </w:rPr>
            </w:pPr>
          </w:p>
        </w:tc>
      </w:tr>
      <w:tr>
        <w:trPr>
          <w:trHeight w:val="233"/>
        </w:trPr>
        <w:tc>
          <w:tcPr>
            <w:tcW w:w="68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2"/>
                <w:szCs w:val="22"/>
                <w:color w:val="auto"/>
                <w:vertAlign w:val="superscript"/>
              </w:rPr>
              <w:t>(1)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4"/>
        </w:trPr>
        <w:tc>
          <w:tcPr>
            <w:tcW w:w="68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25"/>
                <w:szCs w:val="25"/>
                <w:color w:val="auto"/>
                <w:vertAlign w:val="subscript"/>
              </w:rPr>
              <w:t>IBNR</w:t>
            </w:r>
            <w:r>
              <w:rPr>
                <w:rFonts w:ascii="Arial" w:cs="Arial" w:eastAsia="Arial" w:hAnsi="Arial"/>
                <w:sz w:val="10"/>
                <w:szCs w:val="10"/>
                <w:color w:val="auto"/>
              </w:rPr>
              <w:t xml:space="preserve"> (1)(2)</w:t>
            </w: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bl>
    <w:p>
      <w:pPr>
        <w:spacing w:after="0" w:line="232"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Defined as the gross reserve per insured loan in default.</w:t>
      </w:r>
    </w:p>
    <w:p>
      <w:pPr>
        <w:spacing w:after="0" w:line="9" w:lineRule="exact"/>
        <w:rPr>
          <w:rFonts w:ascii="Arial" w:cs="Arial" w:eastAsia="Arial" w:hAnsi="Arial"/>
          <w:sz w:val="14"/>
          <w:szCs w:val="14"/>
          <w:color w:val="auto"/>
        </w:rPr>
      </w:pPr>
    </w:p>
    <w:p>
      <w:pPr>
        <w:ind w:left="300" w:hanging="294"/>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includes claims adjustment expenses.</w:t>
      </w:r>
    </w:p>
    <w:p>
      <w:pPr>
        <w:spacing w:after="0" w:line="163"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Average reserve per default increased from March 31, 2022 to March 31, 2023, primarily due to an incrementally conservative set of assumptions about future macroeconomic and housing market conditions compared to those assumed at March 31, 2022. The increased average reserve per default at March 31, 2023 also reflects the “aging” of COVID-related defaults. While we initially established lower reserves for defaults that we considered to be connected to the COVID-19 pandemic given our expectation that forbearance, repayment and modification, and other assistance programs would aid affected borrowers and drive higher cure rates on such defaults than we would otherwise expect to experience on similarly situated loans that did not benefit from broad-based assistance programs, we have increased such reserves over time as individual defaults remain outstanding or “age.”</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GSE Oversight</w:t>
      </w:r>
    </w:p>
    <w:p>
      <w:pPr>
        <w:spacing w:after="0" w:line="162" w:lineRule="exact"/>
        <w:rPr>
          <w:sz w:val="20"/>
          <w:szCs w:val="20"/>
          <w:color w:val="auto"/>
        </w:rPr>
      </w:pPr>
    </w:p>
    <w:p>
      <w:pPr>
        <w:jc w:val="both"/>
        <w:ind w:firstLine="673"/>
        <w:spacing w:after="0" w:line="28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13" w:lineRule="exact"/>
        <w:rPr>
          <w:sz w:val="20"/>
          <w:szCs w:val="20"/>
          <w:color w:val="auto"/>
        </w:rPr>
      </w:pPr>
    </w:p>
    <w:p>
      <w:pPr>
        <w:jc w:val="both"/>
        <w:ind w:firstLine="673"/>
        <w:spacing w:after="0" w:line="247"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insurer's </w:t>
      </w:r>
      <w:r>
        <w:rPr>
          <w:rFonts w:ascii="Arial" w:cs="Arial" w:eastAsia="Arial" w:hAnsi="Arial"/>
          <w:sz w:val="18"/>
          <w:szCs w:val="18"/>
          <w:color w:val="auto"/>
        </w:rPr>
        <w:t>RIF, assessed on a loan-by-loan basis and considered against certain risk-based factors derived from tables set out in the PMIERs, which is then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adjusted on an aggregate basis for reinsurance transactions approved by the GSEs, such as with respect to our ILN Transactions, XOL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pool insurance policy.</w:t>
      </w:r>
    </w:p>
    <w:p>
      <w:pPr>
        <w:spacing w:after="0" w:line="144"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2023 that NMIC was in full compliance with the PMIERs as of December 31, 2022. NMIC also has an ongoing obligation to immediately notify the GSEs in writing upon discovery of a failure to meet one or more of the PMIERs requirements. We continuously monitor NMIC's compliance with the PMIERs.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jc w:val="both"/>
        <w:ind w:firstLine="633"/>
        <w:spacing w:after="0" w:line="262"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As of</w:t>
            </w:r>
          </w:p>
        </w:tc>
        <w:tc>
          <w:tcPr>
            <w:tcW w:w="1340" w:type="dxa"/>
            <w:vAlign w:val="bottom"/>
          </w:tcPr>
          <w:p>
            <w:pPr>
              <w:spacing w:after="0"/>
              <w:rPr>
                <w:sz w:val="15"/>
                <w:szCs w:val="15"/>
                <w:color w:val="auto"/>
              </w:rPr>
            </w:pPr>
          </w:p>
        </w:tc>
      </w:tr>
      <w:tr>
        <w:trPr>
          <w:trHeight w:val="24"/>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March 31, 2023</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w w:val="92"/>
              </w:rPr>
              <w:t>March 31, 2022</w:t>
            </w:r>
          </w:p>
        </w:tc>
      </w:tr>
      <w:tr>
        <w:trPr>
          <w:trHeight w:val="189"/>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6"/>
                <w:szCs w:val="16"/>
                <w:color w:val="auto"/>
              </w:rPr>
            </w:pP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2,480,882</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2,127,030</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240" w:type="dxa"/>
            <w:vAlign w:val="bottom"/>
          </w:tcPr>
          <w:p>
            <w:pPr>
              <w:spacing w:after="0"/>
              <w:rPr>
                <w:sz w:val="19"/>
                <w:szCs w:val="19"/>
                <w:color w:val="auto"/>
              </w:rPr>
            </w:pPr>
          </w:p>
        </w:tc>
        <w:tc>
          <w:tcPr>
            <w:tcW w:w="1500" w:type="dxa"/>
            <w:vAlign w:val="bottom"/>
          </w:tcPr>
          <w:p>
            <w:pPr>
              <w:jc w:val="right"/>
              <w:ind w:right="23"/>
              <w:spacing w:after="0"/>
              <w:rPr>
                <w:sz w:val="20"/>
                <w:szCs w:val="20"/>
                <w:color w:val="auto"/>
              </w:rPr>
            </w:pPr>
            <w:r>
              <w:rPr>
                <w:rFonts w:ascii="Arial" w:cs="Arial" w:eastAsia="Arial" w:hAnsi="Arial"/>
                <w:sz w:val="18"/>
                <w:szCs w:val="18"/>
                <w:color w:val="auto"/>
              </w:rPr>
              <w:t>1,231,780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1,341,217</w:t>
            </w:r>
          </w:p>
        </w:tc>
      </w:tr>
    </w:tbl>
    <w:p>
      <w:pPr>
        <w:spacing w:after="0" w:line="200" w:lineRule="exact"/>
        <w:rPr>
          <w:sz w:val="20"/>
          <w:szCs w:val="20"/>
          <w:color w:val="auto"/>
        </w:rPr>
      </w:pPr>
    </w:p>
    <w:p>
      <w:pPr>
        <w:spacing w:after="0" w:line="276"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$2.5 billion at March 31, 2023, compared to $2.1 billion at March 31, 2022. The $354 million increase in</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between the dates presented was primarily driven by NMIC's positive cash flow from operations during the intervening period, partially offset by the payment of an ordinary course dividend from NMIC to NMIH in April 2022.</w:t>
      </w:r>
    </w:p>
    <w:p>
      <w:pPr>
        <w:spacing w:after="0" w:line="137" w:lineRule="exact"/>
        <w:rPr>
          <w:sz w:val="20"/>
          <w:szCs w:val="20"/>
          <w:color w:val="auto"/>
        </w:rPr>
      </w:pPr>
    </w:p>
    <w:p>
      <w:pPr>
        <w:jc w:val="both"/>
        <w:ind w:right="20" w:firstLine="633"/>
        <w:spacing w:after="0" w:line="325" w:lineRule="auto"/>
        <w:rPr>
          <w:sz w:val="20"/>
          <w:szCs w:val="20"/>
          <w:color w:val="auto"/>
        </w:rPr>
      </w:pPr>
      <w:r>
        <w:rPr>
          <w:rFonts w:ascii="Arial" w:cs="Arial" w:eastAsia="Arial" w:hAnsi="Arial"/>
          <w:sz w:val="16"/>
          <w:szCs w:val="16"/>
          <w:color w:val="auto"/>
        </w:rPr>
        <w:t xml:space="preserve">The decrease in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between the dates presented was primarily due to an increase in the risk ceded under our third-party reinsurance agreements, partially offset by the growth in our gross RIF and aggregate gross-risk based required asset amount.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Competition</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140"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certain ILN Transactions that require LIBOR-based payments. We reviewed our LIBOR-based contracts and each contains provisions that dictate a transition to an alternative reference rate at the time of the discontinuance of LIBOR. We will continue to monitor the impact of the phase out of LIBOR; however, we do not expect the transition will have a material impact on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220" w:type="dxa"/>
            <w:vAlign w:val="bottom"/>
          </w:tcPr>
          <w:p>
            <w:pPr>
              <w:spacing w:after="0"/>
              <w:rPr>
                <w:sz w:val="15"/>
                <w:szCs w:val="15"/>
                <w:color w:val="auto"/>
              </w:rPr>
            </w:pPr>
          </w:p>
        </w:tc>
        <w:tc>
          <w:tcPr>
            <w:tcW w:w="354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84"/>
        </w:trPr>
        <w:tc>
          <w:tcPr>
            <w:tcW w:w="7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2022</w:t>
            </w:r>
          </w:p>
        </w:tc>
      </w:tr>
      <w:tr>
        <w:trPr>
          <w:trHeight w:val="211"/>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3540" w:type="dxa"/>
            <w:vAlign w:val="bottom"/>
            <w:gridSpan w:val="6"/>
          </w:tcPr>
          <w:p>
            <w:pPr>
              <w:jc w:val="right"/>
              <w:ind w:right="660"/>
              <w:spacing w:after="0"/>
              <w:rPr>
                <w:sz w:val="20"/>
                <w:szCs w:val="20"/>
                <w:color w:val="auto"/>
              </w:rPr>
            </w:pPr>
            <w:r>
              <w:rPr>
                <w:rFonts w:ascii="Arial" w:cs="Arial" w:eastAsia="Arial" w:hAnsi="Arial"/>
                <w:sz w:val="14"/>
                <w:szCs w:val="14"/>
                <w:i w:val="1"/>
                <w:iCs w:val="1"/>
                <w:color w:val="auto"/>
              </w:rPr>
              <w:t>($ In Thousands, except for per share data)</w:t>
            </w:r>
          </w:p>
        </w:tc>
      </w:tr>
      <w:tr>
        <w:trPr>
          <w:trHeight w:val="225"/>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121,754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116,495</w:t>
            </w:r>
          </w:p>
        </w:tc>
      </w:tr>
      <w:tr>
        <w:trPr>
          <w:trHeight w:val="224"/>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14,894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10,199</w:t>
            </w:r>
          </w:p>
        </w:tc>
      </w:tr>
      <w:tr>
        <w:trPr>
          <w:trHeight w:val="225"/>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realized investment (losses) gains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r>
      <w:tr>
        <w:trPr>
          <w:trHeight w:val="224"/>
        </w:trPr>
        <w:tc>
          <w:tcPr>
            <w:tcW w:w="7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339</w:t>
            </w:r>
          </w:p>
        </w:tc>
      </w:tr>
      <w:tr>
        <w:trPr>
          <w:trHeight w:val="218"/>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136,779</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127,441</w:t>
            </w:r>
          </w:p>
        </w:tc>
      </w:tr>
      <w:tr>
        <w:trPr>
          <w:trHeight w:val="204"/>
        </w:trPr>
        <w:tc>
          <w:tcPr>
            <w:tcW w:w="73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25"/>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claims and claim expenses (benefits)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r>
      <w:tr>
        <w:trPr>
          <w:trHeight w:val="224"/>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25,786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32,935</w:t>
            </w:r>
          </w:p>
        </w:tc>
      </w:tr>
      <w:tr>
        <w:trPr>
          <w:trHeight w:val="225"/>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 expenses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r>
      <w:tr>
        <w:trPr>
          <w:trHeight w:val="224"/>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8,039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8,041</w:t>
            </w:r>
          </w:p>
        </w:tc>
      </w:tr>
      <w:tr>
        <w:trPr>
          <w:trHeight w:val="225"/>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r>
      <w:tr>
        <w:trPr>
          <w:trHeight w:val="217"/>
        </w:trPr>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40,606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40,694</w:t>
            </w:r>
          </w:p>
        </w:tc>
      </w:tr>
      <w:tr>
        <w:trPr>
          <w:trHeight w:val="244"/>
        </w:trPr>
        <w:tc>
          <w:tcPr>
            <w:tcW w:w="7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24"/>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96,173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86,747</w:t>
            </w:r>
          </w:p>
        </w:tc>
      </w:tr>
      <w:tr>
        <w:trPr>
          <w:trHeight w:val="224"/>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21,715</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19,067</w:t>
            </w:r>
          </w:p>
        </w:tc>
      </w:tr>
      <w:tr>
        <w:trPr>
          <w:trHeight w:val="218"/>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74,458</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67,680</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125"/>
        </w:trPr>
        <w:tc>
          <w:tcPr>
            <w:tcW w:w="7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r>
      <w:tr>
        <w:trPr>
          <w:trHeight w:val="224"/>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0.89</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0.79</w:t>
            </w:r>
          </w:p>
        </w:tc>
      </w:tr>
      <w:tr>
        <w:trPr>
          <w:trHeight w:val="225"/>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0.88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r>
      <w:tr>
        <w:trPr>
          <w:trHeight w:val="158"/>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24"/>
        </w:trPr>
        <w:tc>
          <w:tcPr>
            <w:tcW w:w="73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Loss ratio</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24"/>
        </w:trPr>
        <w:tc>
          <w:tcPr>
            <w:tcW w:w="7380" w:type="dxa"/>
            <w:vAlign w:val="bottom"/>
            <w:tcBorders>
              <w:bottom w:val="single" w:sz="8" w:color="CCEEFF"/>
            </w:tcBorders>
            <w:gridSpan w:val="2"/>
          </w:tcPr>
          <w:p>
            <w:pPr>
              <w:ind w:left="20"/>
              <w:spacing w:after="0" w:line="224" w:lineRule="exact"/>
              <w:rPr>
                <w:sz w:val="20"/>
                <w:szCs w:val="20"/>
                <w:color w:val="auto"/>
              </w:rPr>
            </w:pPr>
            <w:r>
              <w:rPr>
                <w:rFonts w:ascii="Arial" w:cs="Arial" w:eastAsia="Arial" w:hAnsi="Arial"/>
                <w:sz w:val="18"/>
                <w:szCs w:val="18"/>
                <w:color w:val="auto"/>
              </w:rPr>
              <w:t>Expense ratio</w:t>
            </w:r>
            <w:r>
              <w:rPr>
                <w:rFonts w:ascii="Arial" w:cs="Arial" w:eastAsia="Arial" w:hAnsi="Arial"/>
                <w:sz w:val="22"/>
                <w:szCs w:val="22"/>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28.3 %</w:t>
            </w:r>
          </w:p>
        </w:tc>
      </w:tr>
      <w:tr>
        <w:trPr>
          <w:trHeight w:val="217"/>
        </w:trPr>
        <w:tc>
          <w:tcPr>
            <w:tcW w:w="7380" w:type="dxa"/>
            <w:vAlign w:val="bottom"/>
            <w:gridSpan w:val="2"/>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Combined ratio </w:t>
            </w:r>
            <w:r>
              <w:rPr>
                <w:rFonts w:ascii="Arial" w:cs="Arial" w:eastAsia="Arial" w:hAnsi="Arial"/>
                <w:sz w:val="22"/>
                <w:szCs w:val="22"/>
                <w:color w:val="auto"/>
                <w:vertAlign w:val="superscript"/>
              </w:rPr>
              <w:t>(3)</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27.7 %</w:t>
            </w:r>
          </w:p>
        </w:tc>
      </w:tr>
      <w:tr>
        <w:trPr>
          <w:trHeight w:val="444"/>
        </w:trPr>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6"/>
          </w:tcPr>
          <w:p>
            <w:pPr>
              <w:jc w:val="right"/>
              <w:ind w:right="1440"/>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7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191"/>
        </w:trPr>
        <w:tc>
          <w:tcPr>
            <w:tcW w:w="7360" w:type="dxa"/>
            <w:vAlign w:val="bottom"/>
          </w:tcPr>
          <w:p>
            <w:pPr>
              <w:ind w:left="20"/>
              <w:spacing w:after="0" w:line="191" w:lineRule="exact"/>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(4)</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March 31, 2022</w:t>
            </w:r>
          </w:p>
        </w:tc>
        <w:tc>
          <w:tcPr>
            <w:tcW w:w="320" w:type="dxa"/>
            <w:vAlign w:val="bottom"/>
          </w:tcPr>
          <w:p>
            <w:pPr>
              <w:spacing w:after="0"/>
              <w:rPr>
                <w:sz w:val="16"/>
                <w:szCs w:val="16"/>
                <w:color w:val="auto"/>
              </w:rPr>
            </w:pPr>
          </w:p>
        </w:tc>
      </w:tr>
      <w:tr>
        <w:trPr>
          <w:trHeight w:val="182"/>
        </w:trPr>
        <w:tc>
          <w:tcPr>
            <w:tcW w:w="7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5"/>
          </w:tcPr>
          <w:p>
            <w:pPr>
              <w:jc w:val="right"/>
              <w:ind w:right="434"/>
              <w:spacing w:after="0"/>
              <w:rPr>
                <w:sz w:val="20"/>
                <w:szCs w:val="20"/>
                <w:color w:val="auto"/>
              </w:rPr>
            </w:pPr>
            <w:r>
              <w:rPr>
                <w:rFonts w:ascii="Arial" w:cs="Arial" w:eastAsia="Arial" w:hAnsi="Arial"/>
                <w:sz w:val="14"/>
                <w:szCs w:val="14"/>
                <w:i w:val="1"/>
                <w:iCs w:val="1"/>
                <w:color w:val="auto"/>
                <w:w w:val="99"/>
              </w:rPr>
              <w:t>($ In Thousands, except for per share data)</w:t>
            </w:r>
          </w:p>
        </w:tc>
        <w:tc>
          <w:tcPr>
            <w:tcW w:w="320" w:type="dxa"/>
            <w:vAlign w:val="bottom"/>
          </w:tcPr>
          <w:p>
            <w:pPr>
              <w:spacing w:after="0"/>
              <w:rPr>
                <w:sz w:val="15"/>
                <w:szCs w:val="15"/>
                <w:color w:val="auto"/>
              </w:rPr>
            </w:pPr>
          </w:p>
        </w:tc>
      </w:tr>
      <w:tr>
        <w:trPr>
          <w:trHeight w:val="233"/>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income before tax</w:t>
            </w:r>
          </w:p>
        </w:tc>
        <w:tc>
          <w:tcPr>
            <w:tcW w:w="22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96,206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320" w:type="dxa"/>
            <w:vAlign w:val="bottom"/>
          </w:tcPr>
          <w:p>
            <w:pPr>
              <w:spacing w:after="0"/>
              <w:rPr>
                <w:sz w:val="20"/>
                <w:szCs w:val="20"/>
                <w:color w:val="auto"/>
              </w:rPr>
            </w:pPr>
          </w:p>
        </w:tc>
      </w:tr>
      <w:tr>
        <w:trPr>
          <w:trHeight w:val="224"/>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Adjusted net income</w:t>
            </w:r>
          </w:p>
        </w:tc>
        <w:tc>
          <w:tcPr>
            <w:tcW w:w="2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74,484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67,470</w:t>
            </w:r>
          </w:p>
        </w:tc>
        <w:tc>
          <w:tcPr>
            <w:tcW w:w="320" w:type="dxa"/>
            <w:vAlign w:val="bottom"/>
          </w:tcPr>
          <w:p>
            <w:pPr>
              <w:spacing w:after="0"/>
              <w:rPr>
                <w:sz w:val="19"/>
                <w:szCs w:val="19"/>
                <w:color w:val="auto"/>
              </w:rPr>
            </w:pPr>
          </w:p>
        </w:tc>
      </w:tr>
      <w:tr>
        <w:trPr>
          <w:trHeight w:val="225"/>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320" w:type="dxa"/>
            <w:vAlign w:val="bottom"/>
          </w:tcPr>
          <w:p>
            <w:pPr>
              <w:spacing w:after="0"/>
              <w:rPr>
                <w:sz w:val="19"/>
                <w:szCs w:val="19"/>
                <w:color w:val="auto"/>
              </w:rPr>
            </w:pPr>
          </w:p>
        </w:tc>
      </w:tr>
    </w:tbl>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Loss ratio is calculated by dividing insurance claims and claim expenses (benefits) by net premiums earned.</w:t>
      </w:r>
    </w:p>
    <w:p>
      <w:pPr>
        <w:spacing w:after="0" w:line="1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2"/>
          <w:szCs w:val="12"/>
          <w:color w:val="auto"/>
        </w:rPr>
        <w:t>Expense ratio is calculated by dividing underwriting and operating expenses by net premiums earned.</w:t>
      </w:r>
    </w:p>
    <w:p>
      <w:pPr>
        <w:spacing w:after="0" w:line="1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w:t>
        <w:tab/>
        <w:t>Combined ratio may not foot due to rounding.</w:t>
      </w:r>
    </w:p>
    <w:p>
      <w:pPr>
        <w:spacing w:after="0" w:line="1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2"/>
          <w:szCs w:val="12"/>
          <w:color w:val="auto"/>
        </w:rPr>
        <w:t>See "</w:t>
      </w:r>
      <w:r>
        <w:rPr>
          <w:rFonts w:ascii="Arial" w:cs="Arial" w:eastAsia="Arial" w:hAnsi="Arial"/>
          <w:sz w:val="12"/>
          <w:szCs w:val="12"/>
          <w:i w:val="1"/>
          <w:iCs w:val="1"/>
          <w:color w:val="auto"/>
        </w:rPr>
        <w:t>Explanation and Reconciliation of Our Use of Non-GAAP Financial Measures,</w:t>
      </w:r>
      <w:r>
        <w:rPr>
          <w:rFonts w:ascii="Arial" w:cs="Arial" w:eastAsia="Arial" w:hAnsi="Arial"/>
          <w:sz w:val="12"/>
          <w:szCs w:val="12"/>
          <w:color w:val="auto"/>
        </w:rPr>
        <w:t>"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Net premiums earned were $121.8 million for the three months ended March 31, 2023, compared to $116.5 million for the three months ended March 31, 2022. The increase in net premiums earned was primarily driven by our NIW production and the growth of our IIF, partially offset by an increase in total premiums ceded under our reinsurance transactions, the run-off of a portion of our prior period monthly policy production and associated premium receipts. and a decline in the contribution from single premium policy cancellations.</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Net investment income was $14.9 million for the three months ended March 31, 2023, compared to $10.2 million for the three months ended March 31, 2022. The increase in net investment income was primarily driven by an increase in the book yield of the investment portfolio tied to the deployment of new cash flows and reinvestment of rolling maturities at incrementally higher rates, as well as the growth in the size of our total invested asset base.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2" w:name="page43"/>
    <w:bookmarkEnd w:id="42"/>
    <w:p>
      <w:pPr>
        <w:jc w:val="both"/>
        <w:ind w:firstLine="633"/>
        <w:spacing w:after="0" w:line="292" w:lineRule="auto"/>
        <w:rPr>
          <w:sz w:val="20"/>
          <w:szCs w:val="20"/>
          <w:color w:val="auto"/>
        </w:rPr>
      </w:pPr>
      <w:r>
        <w:rPr>
          <w:rFonts w:ascii="Arial" w:cs="Arial" w:eastAsia="Arial" w:hAnsi="Arial"/>
          <w:sz w:val="16"/>
          <w:szCs w:val="16"/>
          <w:color w:val="auto"/>
        </w:rPr>
        <w:t>Other revenues were $0.2 million for the three months ended March 31, 2023, compared to $0.3 million for the three months ended March 31, 2022. Other revenues represent underwriting fee revenue generated by our subsidiary, NMIS, which provides outsourced loan review services to mortgage loan originators. The decrease in other revenues reflects a decline in NMIS' outsourced loan review volume. Amounts recognized in other revenues generally correspond with amounts incurred as service expenses for outsourced loan review activities in the same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6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0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Insurance claims and claim expenses were $6.7 million for the three months ended March 31, 2023, compared to insurance claims and claim benefits of $0.6 million for the three months ended March 31, 2022. The increase in insurance claims and claim expenses was primarily driven by the establishment of initial reserves on newly defaulted loans during the three months ended March 31, 2023, as well as an increase in the average case reserve held against previously defaulted loans that have aged in their delinquency status, and was partially offset by the release of a portion of the reserves we established for anticipated claims payments in prior periods in connection with cure activity and ongoing analysis of recent loss development trends.</w:t>
      </w:r>
    </w:p>
    <w:p>
      <w:pPr>
        <w:spacing w:after="0" w:line="113"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Underwriting and operating expenses were $25.8 million for the three months ended March 31, 2023, compared to $32.9 million for the three months ended March 31, 2022. The decrease in underwriting and operating expenses reflects an increase in ceding commissions received upon the introduction of the 2022 Seasoned QSR Transaction effective July 1, 2022, a step-down in technology costs related to our agreement with Tata Consultancy Services (TCS) and a decrease in employee compensation costs, partially offset by an increase in travel and entertainment expenses tied to the easing of COVID-19 related restrictions. Underwriting and operating expenses for the year ended March 31, 2023 further reflect a benefit related to the recognition of our deferred policy acquisition costs, which slowed in connection with the increased persistency of our IIF.</w:t>
      </w:r>
    </w:p>
    <w:p>
      <w:pPr>
        <w:spacing w:after="0" w:line="11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Service expenses were $0.1 million for the three months ended March 31, 2023, compared to $0.4 million for the three months ended March 31, 2022. Service expenses represent third-party costs incurred by NMIS in connection with the services it provides. The decline in service expenses was driven by a decrease in NMIS' outsourced loan review volume and a negotiated decrease in the cost of services procured from third-party providers. Amounts incurred as service expenses generally correspond with amounts recognized in other revenues in the same periods.</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Interest expense was $8.0 million for each of the three months ended March 31, 2023 and 2022. Interest expense primarily reflects the carrying costs of the Notes. See Item 1, "</w:t>
      </w:r>
      <w:r>
        <w:rPr>
          <w:rFonts w:ascii="Arial" w:cs="Arial" w:eastAsia="Arial" w:hAnsi="Arial"/>
          <w:sz w:val="18"/>
          <w:szCs w:val="18"/>
          <w:i w:val="1"/>
          <w:iCs w:val="1"/>
          <w:color w:val="auto"/>
        </w:rPr>
        <w:t>Financial Statements - Notes to Condensed Consolidated Financial Statements - Note 4, Debt.</w:t>
      </w:r>
      <w:r>
        <w:rPr>
          <w:rFonts w:ascii="Arial" w:cs="Arial" w:eastAsia="Arial" w:hAnsi="Arial"/>
          <w:sz w:val="18"/>
          <w:szCs w:val="18"/>
          <w:color w:val="auto"/>
        </w:rPr>
        <w:t>"</w:t>
      </w:r>
    </w:p>
    <w:p>
      <w:pPr>
        <w:spacing w:after="0" w:line="128"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 xml:space="preserve">Income tax expense was $21.7 million for the three months ended March 31, 2023, compared to $19.1 million for the three months ended March 31, 2022. The increase in income tax expense was primarily driven by growth in our pre-tax income. Our effective tax rate on pre-tax income was 22.6% for the three months ended March 31, 2023 compared to 22.0% for the three months ended March 31, 2022.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months ended March 31, 2023 and 2022 reflect the discrete tax effects of the vesting of RSUs and exercise of options. See Item 1, </w:t>
      </w:r>
      <w:r>
        <w:rPr>
          <w:rFonts w:ascii="Arial" w:cs="Arial" w:eastAsia="Arial" w:hAnsi="Arial"/>
          <w:sz w:val="16"/>
          <w:szCs w:val="16"/>
          <w:i w:val="1"/>
          <w:iCs w:val="1"/>
          <w:color w:val="auto"/>
        </w:rPr>
        <w:t>"Financial Statements - Notes to Condensed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 Note 8, Income Taxes.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Net income was $74.5 million for the three months ended March 31, 2023, compared to $67.7 million for the three months ended March 31, 2022 and adjusted net income was $74.5 million for the three months ended March 31, 2023, compared to $67.5 million for the three months ended March 31, 2022. The increases in net income and adjusted net income were primarily driven by growth in our total revenues, as well as a decline in our underwriting and operating expenses, partially offset by increases in our insurance claims and claim expenses and income tax expense.</w:t>
      </w:r>
    </w:p>
    <w:p>
      <w:pPr>
        <w:spacing w:after="0" w:line="10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Diluted EPS and adjusted diluted EPS were $0.88 for the three months ended March 31, 2023, compared to diluted EPS and adjusted diluted EPS of $0.77 for the three months ended March 31, 2022. Diluted and adjusted diluted EPS increased primarily due to growth in our net income and adjusted net income, as well as a decline in the number of weighted average diluted shares outstanding tied to share repurchase activity.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p>
      <w:pPr>
        <w:ind w:firstLine="633"/>
        <w:spacing w:after="0" w:line="262" w:lineRule="auto"/>
        <w:rPr>
          <w:sz w:val="20"/>
          <w:szCs w:val="20"/>
          <w:color w:val="auto"/>
        </w:rPr>
      </w:pPr>
      <w:r>
        <w:rPr>
          <w:rFonts w:ascii="Arial" w:cs="Arial" w:eastAsia="Arial" w:hAnsi="Arial"/>
          <w:sz w:val="18"/>
          <w:szCs w:val="18"/>
          <w:color w:val="auto"/>
        </w:rPr>
        <w:t>The non-GAAP financial measures adjusted income before tax, adjusted net income and adjusted diluted EPS are presented to enhance the comparability of financial results between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 Reconciliations</w:t>
            </w:r>
          </w:p>
        </w:tc>
        <w:tc>
          <w:tcPr>
            <w:tcW w:w="3540" w:type="dxa"/>
            <w:vAlign w:val="bottom"/>
            <w:tcBorders>
              <w:bottom w:val="single" w:sz="8" w:color="auto"/>
            </w:tcBorders>
            <w:gridSpan w:val="5"/>
          </w:tcPr>
          <w:p>
            <w:pPr>
              <w:jc w:val="right"/>
              <w:ind w:right="53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8"/>
        </w:trPr>
        <w:tc>
          <w:tcPr>
            <w:tcW w:w="75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211"/>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As reported</w:t>
            </w: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2860" w:type="dxa"/>
            <w:vAlign w:val="bottom"/>
            <w:gridSpan w:val="4"/>
          </w:tcPr>
          <w:p>
            <w:pPr>
              <w:jc w:val="right"/>
              <w:ind w:right="474"/>
              <w:spacing w:after="0"/>
              <w:rPr>
                <w:sz w:val="20"/>
                <w:szCs w:val="20"/>
                <w:color w:val="auto"/>
              </w:rPr>
            </w:pPr>
            <w:r>
              <w:rPr>
                <w:rFonts w:ascii="Arial" w:cs="Arial" w:eastAsia="Arial" w:hAnsi="Arial"/>
                <w:sz w:val="14"/>
                <w:szCs w:val="14"/>
                <w:i w:val="1"/>
                <w:iCs w:val="1"/>
                <w:color w:val="auto"/>
                <w:w w:val="90"/>
              </w:rPr>
              <w:t>In Thousands, except for per share data)</w:t>
            </w:r>
          </w:p>
        </w:tc>
      </w:tr>
      <w:tr>
        <w:trPr>
          <w:trHeight w:val="22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68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86,747</w:t>
            </w:r>
          </w:p>
        </w:tc>
      </w:tr>
      <w:tr>
        <w:trPr>
          <w:trHeight w:val="224"/>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19,067</w:t>
            </w:r>
          </w:p>
        </w:tc>
      </w:tr>
      <w:tr>
        <w:trPr>
          <w:trHeight w:val="218"/>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67,680</w:t>
            </w:r>
          </w:p>
        </w:tc>
      </w:tr>
      <w:tr>
        <w:trPr>
          <w:trHeight w:val="264"/>
        </w:trPr>
        <w:tc>
          <w:tcPr>
            <w:tcW w:w="7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4"/>
        </w:trPr>
        <w:tc>
          <w:tcPr>
            <w:tcW w:w="7520" w:type="dxa"/>
            <w:vAlign w:val="bottom"/>
          </w:tcPr>
          <w:p>
            <w:pPr>
              <w:ind w:left="20"/>
              <w:spacing w:after="0"/>
              <w:rPr>
                <w:sz w:val="20"/>
                <w:szCs w:val="20"/>
                <w:color w:val="auto"/>
              </w:rPr>
            </w:pPr>
            <w:r>
              <w:rPr>
                <w:rFonts w:ascii="Arial" w:cs="Arial" w:eastAsia="Arial" w:hAnsi="Arial"/>
                <w:sz w:val="18"/>
                <w:szCs w:val="18"/>
                <w:color w:val="auto"/>
              </w:rPr>
              <w:t>Net realized investment losses (gains)</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change in fair value warrant liability</w:t>
            </w:r>
          </w:p>
        </w:tc>
        <w:tc>
          <w:tcPr>
            <w:tcW w:w="6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4"/>
        </w:trPr>
        <w:tc>
          <w:tcPr>
            <w:tcW w:w="7520" w:type="dxa"/>
            <w:vAlign w:val="bottom"/>
          </w:tcPr>
          <w:p>
            <w:pPr>
              <w:ind w:left="20"/>
              <w:spacing w:after="0"/>
              <w:rPr>
                <w:sz w:val="20"/>
                <w:szCs w:val="20"/>
                <w:color w:val="auto"/>
              </w:rPr>
            </w:pPr>
            <w:r>
              <w:rPr>
                <w:rFonts w:ascii="Arial" w:cs="Arial" w:eastAsia="Arial" w:hAnsi="Arial"/>
                <w:sz w:val="18"/>
                <w:szCs w:val="18"/>
                <w:color w:val="auto"/>
              </w:rPr>
              <w:t>Capital market transaction costs</w:t>
            </w:r>
          </w:p>
        </w:tc>
        <w:tc>
          <w:tcPr>
            <w:tcW w:w="6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8"/>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6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86,506</w:t>
            </w:r>
          </w:p>
        </w:tc>
      </w:tr>
      <w:tr>
        <w:trPr>
          <w:trHeight w:val="198"/>
        </w:trPr>
        <w:tc>
          <w:tcPr>
            <w:tcW w:w="7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4"/>
        </w:trPr>
        <w:tc>
          <w:tcPr>
            <w:tcW w:w="75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Income tax expense (benefit) on adjustments </w:t>
            </w:r>
            <w:r>
              <w:rPr>
                <w:rFonts w:ascii="Arial" w:cs="Arial" w:eastAsia="Arial" w:hAnsi="Arial"/>
                <w:sz w:val="22"/>
                <w:szCs w:val="22"/>
                <w:color w:val="auto"/>
                <w:vertAlign w:val="superscript"/>
              </w:rPr>
              <w:t>(1)</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680" w:type="dxa"/>
            <w:vAlign w:val="bottom"/>
          </w:tcPr>
          <w:p>
            <w:pPr>
              <w:jc w:val="right"/>
              <w:ind w:right="498"/>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74,484</w:t>
            </w:r>
          </w:p>
        </w:tc>
        <w:tc>
          <w:tcPr>
            <w:tcW w:w="10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67,470</w:t>
            </w:r>
          </w:p>
        </w:tc>
      </w:tr>
      <w:tr>
        <w:trPr>
          <w:trHeight w:val="211"/>
        </w:trPr>
        <w:tc>
          <w:tcPr>
            <w:tcW w:w="7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4"/>
        </w:trPr>
        <w:tc>
          <w:tcPr>
            <w:tcW w:w="752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87,310</w:t>
            </w:r>
          </w:p>
        </w:tc>
      </w:tr>
      <w:tr>
        <w:trPr>
          <w:trHeight w:val="22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68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r>
    </w:tbl>
    <w:p>
      <w:pPr>
        <w:spacing w:after="0" w:line="127" w:lineRule="exact"/>
        <w:rPr>
          <w:sz w:val="20"/>
          <w:szCs w:val="20"/>
          <w:color w:val="auto"/>
        </w:rPr>
      </w:pPr>
    </w:p>
    <w:p>
      <w:pPr>
        <w:ind w:right="2660" w:firstLine="6"/>
        <w:spacing w:after="0" w:line="263" w:lineRule="auto"/>
        <w:tabs>
          <w:tab w:leader="none" w:pos="3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6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5" w:lineRule="exact"/>
        <w:rPr>
          <w:sz w:val="20"/>
          <w:szCs w:val="20"/>
          <w:color w:val="auto"/>
        </w:rPr>
      </w:pPr>
    </w:p>
    <w:p>
      <w:pPr>
        <w:jc w:val="both"/>
        <w:ind w:firstLine="633"/>
        <w:spacing w:after="0" w:line="257"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other infrequent, unusual or non-operating items in the periods in which such items are incurred.</w:t>
      </w:r>
    </w:p>
    <w:p>
      <w:pPr>
        <w:spacing w:after="0" w:line="126"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130" w:lineRule="exact"/>
        <w:rPr>
          <w:sz w:val="20"/>
          <w:szCs w:val="20"/>
          <w:color w:val="auto"/>
        </w:rPr>
      </w:pPr>
    </w:p>
    <w:p>
      <w:pPr>
        <w:jc w:val="both"/>
        <w:ind w:firstLine="633"/>
        <w:spacing w:after="0" w:line="294" w:lineRule="auto"/>
        <w:rPr>
          <w:sz w:val="20"/>
          <w:szCs w:val="20"/>
          <w:color w:val="auto"/>
        </w:rPr>
      </w:pPr>
      <w:r>
        <w:rPr>
          <w:rFonts w:ascii="Arial" w:cs="Arial" w:eastAsia="Arial" w:hAnsi="Arial"/>
          <w:sz w:val="16"/>
          <w:szCs w:val="16"/>
          <w:b w:val="1"/>
          <w:bCs w:val="1"/>
          <w:color w:val="auto"/>
        </w:rPr>
        <w:t xml:space="preserve">Adjusted diluted EPS </w:t>
      </w:r>
      <w:r>
        <w:rPr>
          <w:rFonts w:ascii="Arial" w:cs="Arial" w:eastAsia="Arial" w:hAnsi="Arial"/>
          <w:sz w:val="16"/>
          <w:szCs w:val="16"/>
          <w:color w:val="auto"/>
        </w:rPr>
        <w:t>is defined as adjusted net income divided by adjusted weighted average diluted shares outstanding. Adjusted weighted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4" w:name="page45"/>
    <w:bookmarkEnd w:id="44"/>
    <w:p>
      <w:pPr>
        <w:spacing w:after="0" w:line="262" w:lineRule="auto"/>
        <w:rPr>
          <w:sz w:val="20"/>
          <w:szCs w:val="20"/>
          <w:color w:val="auto"/>
        </w:rPr>
      </w:pPr>
      <w:r>
        <w:rPr>
          <w:rFonts w:ascii="Arial" w:cs="Arial" w:eastAsia="Arial" w:hAnsi="Arial"/>
          <w:sz w:val="18"/>
          <w:szCs w:val="18"/>
          <w:color w:val="auto"/>
        </w:rPr>
        <w:t>performance of our primary activities; or (2) are impacted by market, economic or regulatory factors and are not necessarily indicative of operating trends, or both. These adjustments, and the reasons for their treatment, are described below.</w:t>
      </w:r>
    </w:p>
    <w:p>
      <w:pPr>
        <w:spacing w:after="0" w:line="128" w:lineRule="exact"/>
        <w:rPr>
          <w:sz w:val="20"/>
          <w:szCs w:val="20"/>
          <w:color w:val="auto"/>
        </w:rPr>
      </w:pPr>
    </w:p>
    <w:p>
      <w:pPr>
        <w:jc w:val="both"/>
        <w:ind w:left="640" w:hanging="318"/>
        <w:spacing w:after="0" w:line="248"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will be recognized in future reporting periods thereafter. We believe trends in our operating performance can be more clearly identified by excluding fluctuations related to the change in fair value of our warrant liability.</w:t>
      </w:r>
    </w:p>
    <w:p>
      <w:pPr>
        <w:spacing w:after="0" w:line="141"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36"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36" w:lineRule="exact"/>
        <w:rPr>
          <w:rFonts w:ascii="Arial" w:cs="Arial" w:eastAsia="Arial" w:hAnsi="Arial"/>
          <w:sz w:val="18"/>
          <w:szCs w:val="18"/>
          <w:color w:val="auto"/>
        </w:rPr>
      </w:pPr>
    </w:p>
    <w:p>
      <w:pPr>
        <w:jc w:val="both"/>
        <w:ind w:left="640" w:hanging="318"/>
        <w:spacing w:after="0" w:line="283"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Other infrequent, unusual or non-operating items</w:t>
      </w:r>
      <w:r>
        <w:rPr>
          <w:rFonts w:ascii="Arial" w:cs="Arial" w:eastAsia="Arial" w:hAnsi="Arial"/>
          <w:sz w:val="16"/>
          <w:szCs w:val="16"/>
          <w:color w:val="auto"/>
        </w:rPr>
        <w:t>. Items that are the result of unforeseen or uncommon events, and are not expected to recur with</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2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5"/>
                <w:szCs w:val="15"/>
                <w:color w:val="auto"/>
              </w:rPr>
            </w:pP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4"/>
          </w:tcPr>
          <w:p>
            <w:pPr>
              <w:jc w:val="right"/>
              <w:ind w:right="119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69,680</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58,564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Reinsurance recoverable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21,587</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federal income tax</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20" w:type="dxa"/>
            <w:vAlign w:val="bottom"/>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396,426</w:t>
            </w:r>
          </w:p>
        </w:tc>
        <w:tc>
          <w:tcPr>
            <w:tcW w:w="1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396,051</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123,035</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74,576</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1,706,711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jc w:val="both"/>
        <w:ind w:left="80" w:firstLine="475"/>
        <w:spacing w:after="0" w:line="250" w:lineRule="auto"/>
        <w:rPr>
          <w:sz w:val="20"/>
          <w:szCs w:val="20"/>
          <w:color w:val="auto"/>
        </w:rPr>
      </w:pPr>
      <w:r>
        <w:rPr>
          <w:rFonts w:ascii="Arial" w:cs="Arial" w:eastAsia="Arial" w:hAnsi="Arial"/>
          <w:sz w:val="18"/>
          <w:szCs w:val="18"/>
          <w:color w:val="auto"/>
        </w:rPr>
        <w:t>Total cash and investments were $2.3 billion as of March 31, 2023, compared to $2.1 billion as of December 31, 2022. Cash and investments at March 31, 2023 included $65.7 million held by NMIH. The increase in total cash and investments reflects the addition of incremental cash provided by operating activities, as well as a decrease in the unrealized loss position of our fixed income portfolio partially offset by share repurchase activity during the three months ended March 31, 2023.</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Premiums receivable was $70.2 million as of March 31, 2023, compared to $69.7 million as of December 31, 2022. The increase was primarily driven by growth in our monthly premium policies in force, where premiums are generally paid one month in arrears.</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Net deferred policy acquisition costs were $59.9 million as of March 31, 2023, compared to $58.6 million as of December 31, 2022. The increase was primarily driven by the deferral of certain costs associated with the origination of new policies between the respective balance sheet dates, partially offset by the recognition of previously deferred policy acquisition costs.</w:t>
      </w:r>
    </w:p>
    <w:p>
      <w:pPr>
        <w:spacing w:after="0" w:line="13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Reinsurance recoverable was $23.5 million as of March 31, 2023, compared to $21.6 million as of December 31, 2022. The increase was driven by an increase in ceded losses recoverable under our QSR Transactions.</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Prepaid federal income tax was $154.4 million as of both March 31, 2023 and December 31, 2022. Prepaid federal income tax represents tax and loss bonds purchased in connection with our claimed tax deduction for our statutory contingency reserve position.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8, Income Taxes.</w:t>
      </w:r>
      <w:r>
        <w:rPr>
          <w:rFonts w:ascii="Arial" w:cs="Arial" w:eastAsia="Arial" w:hAnsi="Arial"/>
          <w:sz w:val="18"/>
          <w:szCs w:val="18"/>
          <w:color w:val="auto"/>
        </w:rPr>
        <w:t>"</w:t>
      </w:r>
    </w:p>
    <w:p>
      <w:pPr>
        <w:spacing w:after="0" w:line="13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Other assets were $39.1 million as of March 31, 2023, compared to $36.0 million as of December 31, 2022. The increase was primarily driven by increases in our accrued investment income and prepaid expenses.</w:t>
      </w:r>
    </w:p>
    <w:p>
      <w:pPr>
        <w:spacing w:after="0" w:line="128"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Unearned premiums were $114.1 million as of March 31, 2023, compared to $123.0 million as of December 31, 2022.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three months ended March 31, 2023.</w:t>
      </w:r>
    </w:p>
    <w:p>
      <w:pPr>
        <w:spacing w:after="0" w:line="10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Accounts payable and accrued expenses were $70.3 million as of March 31, 2023, compared to $74.6 million as of December 31, 2022. The decrease was primarily driven by the settlement of previously accrued payroll, bonuses and certain contractual payables during the three months ended March 31, 2023, partially offset by an increase in accrued and unpaid interest on the Notes which is payable semi-annually in June and December, as well as an increase in reinsurance premiums payable.</w:t>
      </w:r>
    </w:p>
    <w:p>
      <w:pPr>
        <w:spacing w:after="0" w:line="140"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Reserve for insurance claims and claim expenses was $108.2 million as of March 31, 2023, compared to $99.8 million as of December 31, 2022. The increase was primarily driven by the establishment of initial reserves on newly defaulted loans during the three months ended March 31, 2023, as well as an increase in the average case reserve held against previously defaulted loans that have aged in their delinquency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See "</w:t>
      </w:r>
      <w:r>
        <w:rPr>
          <w:rFonts w:ascii="Arial" w:cs="Arial" w:eastAsia="Arial" w:hAnsi="Arial"/>
          <w:sz w:val="18"/>
          <w:szCs w:val="18"/>
          <w:i w:val="1"/>
          <w:iCs w:val="1"/>
          <w:color w:val="auto"/>
        </w:rPr>
        <w:t>Insurance Claims and Claim Expenses</w:t>
      </w:r>
      <w:r>
        <w:rPr>
          <w:rFonts w:ascii="Arial" w:cs="Arial" w:eastAsia="Arial" w:hAnsi="Arial"/>
          <w:sz w:val="18"/>
          <w:szCs w:val="18"/>
          <w:color w:val="auto"/>
        </w:rPr>
        <w:t>," above for further details.</w:t>
      </w:r>
    </w:p>
    <w:p>
      <w:pPr>
        <w:spacing w:after="0" w:line="14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Reinsurance funds withheld, which represents our ceded reinsurance premiums written, less our profit and ceding commission receivables related to the 2016 QSR Transaction was $2.3 million as of March 31, 2023, compared to $2.7 million as of December 31, 2022.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Net deferred tax liability was $223.4 million as of March 31, 2023, compared to $193.9 million as of December 31, 2022. The increase was primarily due to an increase in the claimed deductibility of our statutory contingency reserve and the decrease in unrealized losses recorded in other comprehensive income. For further information regarding income taxes and their impact on our results of operations and financial position, see Item 1, "</w:t>
      </w:r>
      <w:r>
        <w:rPr>
          <w:rFonts w:ascii="Arial" w:cs="Arial" w:eastAsia="Arial" w:hAnsi="Arial"/>
          <w:sz w:val="18"/>
          <w:szCs w:val="18"/>
          <w:i w:val="1"/>
          <w:iCs w:val="1"/>
          <w:color w:val="auto"/>
        </w:rPr>
        <w:t>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Condensed Consolidated Financial Statements - Note 8, Income Taxes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6" w:name="page47"/>
    <w:bookmarkEnd w:id="46"/>
    <w:p>
      <w:pPr>
        <w:ind w:left="6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Pr>
          <w:p>
            <w:pPr>
              <w:spacing w:after="0"/>
              <w:rPr>
                <w:sz w:val="15"/>
                <w:szCs w:val="15"/>
                <w:color w:val="auto"/>
              </w:rPr>
            </w:pPr>
          </w:p>
        </w:tc>
        <w:tc>
          <w:tcPr>
            <w:tcW w:w="32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4"/>
        </w:trPr>
        <w:tc>
          <w:tcPr>
            <w:tcW w:w="7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211"/>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18"/>
                <w:szCs w:val="18"/>
                <w:color w:val="auto"/>
              </w:rPr>
            </w:pPr>
          </w:p>
        </w:tc>
        <w:tc>
          <w:tcPr>
            <w:tcW w:w="202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8"/>
                <w:szCs w:val="18"/>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660"/>
              <w:spacing w:after="0"/>
              <w:rPr>
                <w:sz w:val="20"/>
                <w:szCs w:val="20"/>
                <w:color w:val="auto"/>
              </w:rPr>
            </w:pPr>
            <w:r>
              <w:rPr>
                <w:rFonts w:ascii="Arial" w:cs="Arial" w:eastAsia="Arial" w:hAnsi="Arial"/>
                <w:sz w:val="18"/>
                <w:szCs w:val="18"/>
                <w:color w:val="auto"/>
                <w:w w:val="87"/>
              </w:rPr>
              <w:t>89,835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80,310</w:t>
            </w:r>
          </w:p>
        </w:tc>
      </w:tr>
      <w:tr>
        <w:trPr>
          <w:trHeight w:val="224"/>
        </w:trPr>
        <w:tc>
          <w:tcPr>
            <w:tcW w:w="748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380" w:type="dxa"/>
            <w:vAlign w:val="bottom"/>
          </w:tcPr>
          <w:p>
            <w:pPr>
              <w:jc w:val="center"/>
              <w:ind w:left="620"/>
              <w:spacing w:after="0"/>
              <w:rPr>
                <w:sz w:val="20"/>
                <w:szCs w:val="20"/>
                <w:color w:val="auto"/>
              </w:rPr>
            </w:pPr>
            <w:r>
              <w:rPr>
                <w:rFonts w:ascii="Arial" w:cs="Arial" w:eastAsia="Arial" w:hAnsi="Arial"/>
                <w:sz w:val="18"/>
                <w:szCs w:val="18"/>
                <w:color w:val="auto"/>
                <w:w w:val="89"/>
              </w:rPr>
              <w:t>(33,751)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(21,370)</w:t>
            </w:r>
          </w:p>
        </w:tc>
      </w:tr>
      <w:tr>
        <w:trPr>
          <w:trHeight w:val="224"/>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620"/>
              <w:spacing w:after="0"/>
              <w:rPr>
                <w:sz w:val="20"/>
                <w:szCs w:val="20"/>
                <w:color w:val="auto"/>
              </w:rPr>
            </w:pPr>
            <w:r>
              <w:rPr>
                <w:rFonts w:ascii="Arial" w:cs="Arial" w:eastAsia="Arial" w:hAnsi="Arial"/>
                <w:sz w:val="18"/>
                <w:szCs w:val="18"/>
                <w:color w:val="auto"/>
                <w:w w:val="89"/>
              </w:rPr>
              <w:t>(17,406)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r>
      <w:tr>
        <w:trPr>
          <w:trHeight w:val="218"/>
        </w:trPr>
        <w:tc>
          <w:tcPr>
            <w:tcW w:w="74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center"/>
              <w:ind w:left="660"/>
              <w:spacing w:after="0"/>
              <w:rPr>
                <w:sz w:val="20"/>
                <w:szCs w:val="20"/>
                <w:color w:val="auto"/>
              </w:rPr>
            </w:pPr>
            <w:r>
              <w:rPr>
                <w:rFonts w:ascii="Arial" w:cs="Arial" w:eastAsia="Arial" w:hAnsi="Arial"/>
                <w:sz w:val="18"/>
                <w:szCs w:val="18"/>
                <w:color w:val="auto"/>
                <w:w w:val="87"/>
              </w:rPr>
              <w:t>38,678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54,260</w:t>
            </w:r>
          </w:p>
        </w:tc>
      </w:tr>
      <w:tr>
        <w:trPr>
          <w:trHeight w:val="20"/>
        </w:trPr>
        <w:tc>
          <w:tcPr>
            <w:tcW w:w="7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Net cash provided by operating activities was $89.8 million for the three months ended March 31, 2023, compared to $80.3 million for the three months ended March 31, 2022. Cash provided by operating activities increased during the three months ended March 31, 2023, primarily due to a decline in short-term employee incentive payments and a reduction in technology service costs paid under our long-term IT services agreement with TCS, partially offset by a decline in net premiums written tied to a decrease in single premium policy production and an increase in ceded premiums written under our reinsurance agreements.</w:t>
      </w:r>
    </w:p>
    <w:p>
      <w:pPr>
        <w:spacing w:after="0" w:line="140"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Cash used in investing activities for the three months ended March 31, 2023 and 2022 reflects the purchase of fixed and short-term maturities with cash provided by operating activities, and the reinvestment of coupon payments, maturities and sale proceeds within our investment portfolio.</w:t>
      </w:r>
    </w:p>
    <w:p>
      <w:pPr>
        <w:spacing w:after="0" w:line="8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Cash used in financing activities was $17.4 million for the three months ended March 31, 2023, compared to $4.7 million for the three months ended March 31, 2022. Cash used in financing activities primarily relates to the repurchase of common stock.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14"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As of March 31, 2023, NMIH had $65.7 million of cash and investments. NMIH's principal sources of net cash are dividends from its subsidiaries and investment income. NMIC has the capacity to pay aggregate ordinary dividends of $98.0 million to NMIH during the twelve-month period ending December 31, 2023. NMIH also has access to $250 million of undrawn revolving credit capacity under the 2021 Revolving Credit Facility. See Item 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Notes to Condensed Consolidated Financial Statements - Note 4, Debt."</w:t>
      </w:r>
    </w:p>
    <w:p>
      <w:pPr>
        <w:spacing w:after="0" w:line="140"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On February 10, 2022, our Board of Directors approved a $125 million share repurchase program (excluding associated costs and applicable taxes) through December 31, 2023, that enables the company to repurchase its common stock. The authorization provides NMIH the flexibility to repurchase stock from time to time in the open market or in privately negotiated transactions, based on market and business conditions, stock price and other factors. During the three months ended March 31, 2023, NMIH repurchased 0.7 million shares of common stock pursuant to a trading plan under Rule 10b-18 of the Exchange Act, at a total cost of $14.9 million, including associated costs and applicable taxes. As of March 31, 2023, $53.7 million of repurchase authority remained available under the program.</w:t>
      </w:r>
    </w:p>
    <w:p>
      <w:pPr>
        <w:spacing w:after="0" w:line="14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7" w:name="page48"/>
    <w:bookmarkEnd w:id="47"/>
    <w:p>
      <w:pPr>
        <w:jc w:val="both"/>
        <w:spacing w:after="0" w:line="325" w:lineRule="auto"/>
        <w:rPr>
          <w:sz w:val="20"/>
          <w:szCs w:val="20"/>
          <w:color w:val="auto"/>
        </w:rPr>
      </w:pPr>
      <w:r>
        <w:rPr>
          <w:rFonts w:ascii="Arial" w:cs="Arial" w:eastAsia="Arial" w:hAnsi="Arial"/>
          <w:sz w:val="16"/>
          <w:szCs w:val="16"/>
          <w:color w:val="auto"/>
        </w:rPr>
        <w:t>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8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Under the 2021 Revolving Credit Facility, NMIH is required to pay a quarterly commitment fee on the average daily undrawn amount of 0.175% to 0.525%, based on the applicable corporate credit rating at the time. As of March 31, 2023, the applicable commitment fee was 0.30%.</w:t>
      </w:r>
    </w:p>
    <w:p>
      <w:pPr>
        <w:spacing w:after="0" w:line="8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are subject to certain covenants under the 2021 Revolving Credit Facility, including: a maximum debt-to-total capitalization ratio of 35%, a requirement to maintain compliance with the PMIERs financial requirements (subject to any GSE approved waivers), and minimum consolidated net worth and statutory capital requirements (respectively, as defined therein). We were in compliance with all covenants at March 31, 2023.</w:t>
      </w:r>
    </w:p>
    <w:p>
      <w:pPr>
        <w:spacing w:after="0" w:line="101"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xml:space="preserv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NMIC has the capacity to pay aggregate ordinary dividends of $98.0 million to NMIH during the twelve-month period ending December 31, 2023.</w:t>
      </w:r>
    </w:p>
    <w:p>
      <w:pPr>
        <w:spacing w:after="0" w:line="11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37" w:lineRule="exact"/>
        <w:rPr>
          <w:sz w:val="20"/>
          <w:szCs w:val="20"/>
          <w:color w:val="auto"/>
        </w:rPr>
      </w:pPr>
    </w:p>
    <w:p>
      <w:pPr>
        <w:jc w:val="both"/>
        <w:ind w:firstLine="633"/>
        <w:spacing w:after="0" w:line="291" w:lineRule="auto"/>
        <w:rPr>
          <w:sz w:val="20"/>
          <w:szCs w:val="20"/>
          <w:color w:val="auto"/>
        </w:rPr>
      </w:pPr>
      <w:r>
        <w:rPr>
          <w:rFonts w:ascii="Arial" w:cs="Arial" w:eastAsia="Arial" w:hAnsi="Arial"/>
          <w:sz w:val="16"/>
          <w:szCs w:val="16"/>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6"/>
          <w:szCs w:val="16"/>
          <w:i w:val="1"/>
          <w:iCs w:val="1"/>
          <w:color w:val="auto"/>
        </w:rPr>
        <w:t xml:space="preserve">minimum required asset </w:t>
      </w:r>
      <w:r>
        <w:rPr>
          <w:rFonts w:ascii="Arial" w:cs="Arial" w:eastAsia="Arial" w:hAnsi="Arial"/>
          <w:sz w:val="16"/>
          <w:szCs w:val="16"/>
          <w:color w:val="auto"/>
        </w:rPr>
        <w:t>thresholds under the PMIERs and minimum state capital requirements (respectively, as defined therein).</w:t>
      </w:r>
    </w:p>
    <w:p>
      <w:pPr>
        <w:spacing w:after="0" w:line="96"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March 31, 2023, NMIC reported $2,481 million available assets against $1,232 million risk-based required assets for a $1,249 million "excess" funding position.</w:t>
      </w:r>
    </w:p>
    <w:p>
      <w:pPr>
        <w:spacing w:after="0" w:line="107"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1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and XOL Transactions, it generally receives credit for the PMIERs risk-based required asset amount on ceded RIF to the extent such requirement is within the subordinated coverage (excess of loss detachment threshold) afforded by the transaction.</w:t>
      </w:r>
    </w:p>
    <w:p>
      <w:pPr>
        <w:spacing w:after="0" w:line="113"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ind w:left="640"/>
        <w:spacing w:after="0"/>
        <w:rPr>
          <w:sz w:val="20"/>
          <w:szCs w:val="20"/>
          <w:color w:val="auto"/>
        </w:rPr>
      </w:pPr>
      <w:r>
        <w:rPr>
          <w:rFonts w:ascii="Arial" w:cs="Arial" w:eastAsia="Arial" w:hAnsi="Arial"/>
          <w:sz w:val="16"/>
          <w:szCs w:val="16"/>
          <w:color w:val="auto"/>
        </w:rPr>
        <w:t>As of March 31, 2023, NMIC's performing primary RIF, net of reinsurance, was approximately $25.2 billion. NMIC ceded 100% of its pool RIF</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2016 QSR Transaction. Based on NMIC's total statutory capital of $2.3 billion (including contingency reserves) as of March 31, 2023, NMIC's RTC ratio was 10.8:1. Re One has no risk in force remaining and no longer reports a RTC ratio.</w:t>
      </w:r>
    </w:p>
    <w:p>
      <w:pPr>
        <w:spacing w:after="0" w:line="128" w:lineRule="exact"/>
        <w:rPr>
          <w:sz w:val="20"/>
          <w:szCs w:val="20"/>
          <w:color w:val="auto"/>
        </w:rPr>
      </w:pPr>
    </w:p>
    <w:p>
      <w:pPr>
        <w:jc w:val="both"/>
        <w:ind w:firstLine="633"/>
        <w:spacing w:after="0" w:line="279"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2023, NMIC had $2.2 billion of cash and investments, including $58.3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March 31, 2023, NMIC generated $295 million of cash flow from operations and received an additional $266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remain available, and the general duration of the default to foreclosure to claim cycle, we do not expect NMIC to use a meaningful amount of cash to settle claims in the near-term.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Financial Strength Ratings</w:t>
      </w:r>
    </w:p>
    <w:p>
      <w:pPr>
        <w:spacing w:after="0" w:line="16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NMIC's financial strength is rated "Baa1" by Moody's and "BBB" by S&amp;P. NMIH’s Notes are rated “Ba1” by Moody’s and its long-term counter-party credit profile is rated “BB” by S&amp;P. The outlook for all ratings provided by Moody's and S&amp;P’s is stable.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40"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investment portfolio is comprised entirely of fixed maturity instruments. As of March 31, 2023, the fair value of our investment portfolio was $2.2 billion and we held an additional $83.1 million of cash and cash equivalents. Pre-tax book yield on the investment portfolio for the three months ended March 31, 2023 was 2.5%.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a breakdown of our investment portfolio and cash and cash equivalents by investment type and credit rating: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9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 2023</w:t>
            </w:r>
          </w:p>
        </w:tc>
        <w:tc>
          <w:tcPr>
            <w:tcW w:w="18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4"/>
        </w:trPr>
        <w:tc>
          <w:tcPr>
            <w:tcW w:w="746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23</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w:t>
            </w:r>
          </w:p>
        </w:tc>
      </w:tr>
      <w:tr>
        <w:trPr>
          <w:trHeight w:val="224"/>
        </w:trPr>
        <w:tc>
          <w:tcPr>
            <w:tcW w:w="7460" w:type="dxa"/>
            <w:vAlign w:val="bottom"/>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4</w:t>
            </w:r>
          </w:p>
        </w:tc>
      </w:tr>
      <w:tr>
        <w:trPr>
          <w:trHeight w:val="22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r>
      <w:tr>
        <w:trPr>
          <w:trHeight w:val="218"/>
        </w:trPr>
        <w:tc>
          <w:tcPr>
            <w:tcW w:w="746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0"/>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18"/>
                <w:szCs w:val="18"/>
                <w:b w:val="1"/>
                <w:bCs w:val="1"/>
                <w:color w:val="auto"/>
                <w:vertAlign w:val="superscript"/>
              </w:rPr>
              <w:t>(1)</w:t>
            </w:r>
          </w:p>
        </w:tc>
        <w:tc>
          <w:tcPr>
            <w:tcW w:w="19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 2023</w:t>
            </w:r>
          </w:p>
        </w:tc>
        <w:tc>
          <w:tcPr>
            <w:tcW w:w="18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 2022</w:t>
            </w:r>
          </w:p>
        </w:tc>
      </w:tr>
      <w:tr>
        <w:trPr>
          <w:trHeight w:val="217"/>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4"/>
        </w:trPr>
        <w:tc>
          <w:tcPr>
            <w:tcW w:w="7460" w:type="dxa"/>
            <w:vAlign w:val="bottom"/>
          </w:tcPr>
          <w:p>
            <w:pPr>
              <w:ind w:left="20"/>
              <w:spacing w:after="0" w:line="224" w:lineRule="exact"/>
              <w:rPr>
                <w:sz w:val="20"/>
                <w:szCs w:val="20"/>
                <w:color w:val="auto"/>
              </w:rPr>
            </w:pPr>
            <w:r>
              <w:rPr>
                <w:rFonts w:ascii="Arial" w:cs="Arial" w:eastAsia="Arial" w:hAnsi="Arial"/>
                <w:sz w:val="25"/>
                <w:szCs w:val="25"/>
                <w:color w:val="auto"/>
                <w:vertAlign w:val="subscript"/>
              </w:rPr>
              <w:t>AA</w:t>
            </w:r>
            <w:r>
              <w:rPr>
                <w:rFonts w:ascii="Arial" w:cs="Arial" w:eastAsia="Arial" w:hAnsi="Arial"/>
                <w:sz w:val="10"/>
                <w:szCs w:val="10"/>
                <w:color w:val="auto"/>
              </w:rPr>
              <w:t>(2)</w:t>
            </w: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25</w:t>
            </w: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A</w:t>
            </w:r>
            <w:r>
              <w:rPr>
                <w:rFonts w:ascii="Arial" w:cs="Arial" w:eastAsia="Arial" w:hAnsi="Arial"/>
                <w:sz w:val="10"/>
                <w:szCs w:val="10"/>
                <w:color w:val="auto"/>
              </w:rPr>
              <w:t>(2)</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w:t>
            </w:r>
          </w:p>
        </w:tc>
      </w:tr>
      <w:tr>
        <w:trPr>
          <w:trHeight w:val="224"/>
        </w:trPr>
        <w:tc>
          <w:tcPr>
            <w:tcW w:w="7460" w:type="dxa"/>
            <w:vAlign w:val="bottom"/>
          </w:tcPr>
          <w:p>
            <w:pPr>
              <w:ind w:left="20"/>
              <w:spacing w:after="0" w:line="224" w:lineRule="exact"/>
              <w:rPr>
                <w:sz w:val="20"/>
                <w:szCs w:val="20"/>
                <w:color w:val="auto"/>
              </w:rPr>
            </w:pPr>
            <w:r>
              <w:rPr>
                <w:rFonts w:ascii="Arial" w:cs="Arial" w:eastAsia="Arial" w:hAnsi="Arial"/>
                <w:sz w:val="25"/>
                <w:szCs w:val="25"/>
                <w:color w:val="auto"/>
                <w:vertAlign w:val="subscript"/>
              </w:rPr>
              <w:t>BBB</w:t>
            </w:r>
            <w:r>
              <w:rPr>
                <w:rFonts w:ascii="Arial" w:cs="Arial" w:eastAsia="Arial" w:hAnsi="Arial"/>
                <w:sz w:val="10"/>
                <w:szCs w:val="10"/>
                <w:color w:val="auto"/>
              </w:rPr>
              <w:t>(2)</w:t>
            </w: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15</w:t>
            </w: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BB</w:t>
            </w:r>
            <w:r>
              <w:rPr>
                <w:rFonts w:ascii="Arial" w:cs="Arial" w:eastAsia="Arial" w:hAnsi="Arial"/>
                <w:sz w:val="10"/>
                <w:szCs w:val="10"/>
                <w:color w:val="auto"/>
              </w:rPr>
              <w:t xml:space="preserve"> (3)</w:t>
            </w: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17"/>
        </w:trPr>
        <w:tc>
          <w:tcPr>
            <w:tcW w:w="746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Excluding certain operating cash accounts.</w:t>
      </w:r>
    </w:p>
    <w:p>
      <w:pPr>
        <w:spacing w:after="0" w:line="9" w:lineRule="exact"/>
        <w:rPr>
          <w:rFonts w:ascii="Arial" w:cs="Arial" w:eastAsia="Arial" w:hAnsi="Arial"/>
          <w:sz w:val="14"/>
          <w:szCs w:val="14"/>
          <w:color w:val="auto"/>
        </w:rPr>
      </w:pPr>
    </w:p>
    <w:p>
      <w:pPr>
        <w:ind w:left="320" w:hanging="314"/>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 ratings.</w:t>
      </w:r>
    </w:p>
    <w:p>
      <w:pPr>
        <w:spacing w:after="0" w:line="6" w:lineRule="exact"/>
        <w:rPr>
          <w:rFonts w:ascii="Arial" w:cs="Arial" w:eastAsia="Arial" w:hAnsi="Arial"/>
          <w:sz w:val="14"/>
          <w:szCs w:val="14"/>
          <w:color w:val="auto"/>
        </w:rPr>
      </w:pPr>
    </w:p>
    <w:p>
      <w:pPr>
        <w:ind w:left="300" w:hanging="294"/>
        <w:spacing w:after="0"/>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held one security with a BB+ rating at March 31, 2023 and December 31, 2022, which is not identifiable in the table due to rounding.</w:t>
      </w:r>
    </w:p>
    <w:p>
      <w:pPr>
        <w:spacing w:after="0" w:line="246"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We did not recognize an allowance for credit loss for any security in the investment portfolio as of March 31, 2023 or December 31, 2022, and we did not record any provision for credit loss for investment securities during the three months ended March 31, 2023 or 2022.</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As of March 31, 2023, the investment portfolio had gross unrealized losses of $215.8 million, of which $209.2 million had been in an unrealized loss position for a period of twelve months or longer. As of December 31, 2022, the investment portfolio had gross unrealized losses of $254.7 million, of which $218.5 million had been in an unrealized loss position for a period of twelve months or longer.</w:t>
      </w:r>
    </w:p>
    <w:p>
      <w:pPr>
        <w:spacing w:after="0" w:line="13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The decrease in the aggregate size of the unrealized loss position as of March 31, 2023, was primarily driven by fluctuations in interest rates and, to a lesser extent, movements in credit spreads since December 31, 2022. We evaluated the securities in an unrealized loss position as of March 31, 2023, assessing their credit ratings as well as any adverse conditions specifically related to the security. Based upon our estimate of the amount and timing of cash flows to be collected over the remaining life of each instrument, we believe the unrealized losses as of March 31, 2023 are not indicative of the ultimate collectability of the current amortized cost of the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2022 10-K.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8" w:lineRule="exact"/>
        <w:rPr>
          <w:sz w:val="20"/>
          <w:szCs w:val="20"/>
          <w:color w:val="auto"/>
        </w:rPr>
      </w:pPr>
    </w:p>
    <w:p>
      <w:pPr>
        <w:ind w:firstLine="633"/>
        <w:spacing w:after="0" w:line="325" w:lineRule="auto"/>
        <w:rPr>
          <w:sz w:val="20"/>
          <w:szCs w:val="20"/>
          <w:color w:val="auto"/>
        </w:rPr>
      </w:pPr>
      <w:r>
        <w:rPr>
          <w:rFonts w:ascii="Arial" w:cs="Arial" w:eastAsia="Arial" w:hAnsi="Arial"/>
          <w:sz w:val="16"/>
          <w:szCs w:val="16"/>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Board's Risk Committee.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1" w:lineRule="exact"/>
        <w:rPr>
          <w:sz w:val="20"/>
          <w:szCs w:val="20"/>
          <w:color w:val="auto"/>
        </w:rPr>
      </w:pPr>
    </w:p>
    <w:p>
      <w:pPr>
        <w:jc w:val="both"/>
        <w:ind w:left="960" w:hanging="321"/>
        <w:spacing w:after="0" w:line="248"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41"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28" w:lineRule="exact"/>
        <w:rPr>
          <w:rFonts w:ascii="Arial" w:cs="Arial" w:eastAsia="Arial" w:hAnsi="Arial"/>
          <w:sz w:val="18"/>
          <w:szCs w:val="18"/>
          <w:i w:val="1"/>
          <w:iCs w:val="1"/>
          <w:color w:val="auto"/>
        </w:rPr>
      </w:pPr>
    </w:p>
    <w:p>
      <w:pPr>
        <w:ind w:left="960" w:hanging="321"/>
        <w:spacing w:after="0" w:line="325" w:lineRule="auto"/>
        <w:tabs>
          <w:tab w:leader="none" w:pos="95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82" w:lineRule="exact"/>
        <w:rPr>
          <w:rFonts w:ascii="Arial" w:cs="Arial" w:eastAsia="Arial" w:hAnsi="Arial"/>
          <w:sz w:val="16"/>
          <w:szCs w:val="16"/>
          <w:color w:val="auto"/>
        </w:rPr>
      </w:pPr>
    </w:p>
    <w:p>
      <w:pPr>
        <w:ind w:left="960" w:hanging="321"/>
        <w:spacing w:after="0" w:line="325" w:lineRule="auto"/>
        <w:tabs>
          <w:tab w:leader="none" w:pos="95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82" w:lineRule="exact"/>
        <w:rPr>
          <w:rFonts w:ascii="Arial" w:cs="Arial" w:eastAsia="Arial" w:hAnsi="Arial"/>
          <w:sz w:val="16"/>
          <w:szCs w:val="16"/>
          <w:color w:val="auto"/>
        </w:rPr>
      </w:pPr>
    </w:p>
    <w:p>
      <w:pPr>
        <w:ind w:left="960" w:hanging="321"/>
        <w:spacing w:after="0" w:line="262"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2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carrying value of our investment portfolio as of March 31, 2023 and December 31, 2022 was $2.2 billion and $2.1 billion, respectively, all of which were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of March 31, 2023, the duration of our fixed income portfolio, including cash and cash equivalents, was 3.90 years, which means that an instantaneous parallel shift (movement up or down) in the yield curve of 100 basis points would result in a change of 3.90% in fair value of our fixed income portfolio. Excluding cash, our fixed income portfolio duration was 4.00 years, which means that an instantaneous parallel shift (movement up or down) in the yield curve of 100 basis points would result in a change of 4.00% in fair value of our fixed income portfolio.</w:t>
      </w:r>
    </w:p>
    <w:p>
      <w:pPr>
        <w:spacing w:after="0" w:line="10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are also subject to market risk related to the 2021 Revolving Credit Facility and the ILN Transactions. As discussed in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4, Debt</w:t>
      </w:r>
      <w:r>
        <w:rPr>
          <w:rFonts w:ascii="Arial" w:cs="Arial" w:eastAsia="Arial" w:hAnsi="Arial"/>
          <w:sz w:val="16"/>
          <w:szCs w:val="16"/>
          <w:color w:val="auto"/>
        </w:rPr>
        <w:t>" the 2021 Revolving Credit Facility bears interest at a variable rate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increases in market interest rates would generally result in increased interest expense on any outstanding drawn balances.</w:t>
      </w:r>
    </w:p>
    <w:p>
      <w:pPr>
        <w:spacing w:after="0" w:line="10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The risk premium amounts under the ILN Transactions are calculated by multiplying the outstanding reinsurance coverage amount at the beginning of any payment period by a coupon rate, which is the sum of one-month LIBOR or SOFR, as applicable, and a risk margin, and then subtracting actual investment income earned on the trust balance during that payment period. An increase in one-month LIBOR or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40"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March 31, 2023,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41"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Based upon that evaluation, our Chief Executive Officer and Chief Financial Officer concluded that, as of March 31, 2023,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4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3"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We have been named as a defendant in one litigation case that involves refunds of mortgage insurance premiums under the Homeowners Protection Act. We currently are unable to assess the outcome of this litigation nor whether this litigation may become material over time.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5" w:lineRule="exact"/>
        <w:rPr>
          <w:sz w:val="20"/>
          <w:szCs w:val="20"/>
          <w:color w:val="auto"/>
        </w:rPr>
      </w:pPr>
    </w:p>
    <w:p>
      <w:pPr>
        <w:jc w:val="both"/>
        <w:ind w:firstLine="633"/>
        <w:spacing w:after="0" w:line="234"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2022 10-K. As of the date of this report, other than as included below, we are not aware of any material changes in our risk factors from the risk factors disclosed in our 2022 10-K. You should carefully consider the risks and uncertainties described herein and in our 2022 10-K, which have the potential to affect our business, financial condition, results of operations, cash flows or prospects in a material and adverse manner. The risks described herein and in our 2022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SEC proposal on conflicted transactions could materially adversely affect our business, results of operations and financial condition.</w:t>
      </w:r>
    </w:p>
    <w:p>
      <w:pPr>
        <w:spacing w:after="0" w:line="264"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The SEC issued a proposed rule in January 2023 that, among other things, prohibits certain participants in an asset-backed security, including a synthetic asset-backed security (synthetic ABS), from engaging in transactions that would involve or result in any material conflict of interest with respect to any investor in a transaction arising out of such activity (conflicted transaction). The definition of conflicted transactions is broadly defined and synthetic ABS could be broadly interpreted to include ILN Transactions. If this SEC proposal is adopted as proposed, it could affect or prohibit our ability to enter into credit risk transfer transactions using ILN Transactions. We are still assessing the potential impact of the rule on our credit risk transfer transactions if the rule is adopted as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about purchases of NMI Holdings, Inc. common stock by us during the three months ended March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 Number of Shares</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Purchased as Part of Publicly</w:t>
            </w:r>
          </w:p>
        </w:tc>
        <w:tc>
          <w:tcPr>
            <w:tcW w:w="240" w:type="dxa"/>
            <w:vAlign w:val="bottom"/>
          </w:tcPr>
          <w:p>
            <w:pPr>
              <w:spacing w:after="0"/>
              <w:rPr>
                <w:sz w:val="12"/>
                <w:szCs w:val="12"/>
                <w:color w:val="auto"/>
              </w:rPr>
            </w:pPr>
          </w:p>
        </w:tc>
        <w:tc>
          <w:tcPr>
            <w:tcW w:w="1720" w:type="dxa"/>
            <w:vAlign w:val="bottom"/>
          </w:tcPr>
          <w:p>
            <w:pPr>
              <w:jc w:val="center"/>
              <w:ind w:right="59"/>
              <w:spacing w:after="0" w:line="141"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Average Price Paid per Share</w:t>
            </w: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Announced Plans or</w:t>
            </w:r>
          </w:p>
        </w:tc>
        <w:tc>
          <w:tcPr>
            <w:tcW w:w="1960" w:type="dxa"/>
            <w:vAlign w:val="bottom"/>
            <w:gridSpan w:val="2"/>
          </w:tcPr>
          <w:p>
            <w:pPr>
              <w:jc w:val="center"/>
              <w:ind w:left="4"/>
              <w:spacing w:after="0" w:line="145" w:lineRule="exact"/>
              <w:rPr>
                <w:sz w:val="20"/>
                <w:szCs w:val="20"/>
                <w:color w:val="auto"/>
              </w:rPr>
            </w:pPr>
            <w:r>
              <w:rPr>
                <w:rFonts w:ascii="Arial" w:cs="Arial" w:eastAsia="Arial" w:hAnsi="Arial"/>
                <w:sz w:val="14"/>
                <w:szCs w:val="14"/>
                <w:b w:val="1"/>
                <w:bCs w:val="1"/>
                <w:color w:val="auto"/>
                <w:w w:val="90"/>
              </w:rPr>
              <w:t>Purchased Under the Plans or</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 except for per share data)</w:t>
            </w:r>
          </w:p>
        </w:tc>
        <w:tc>
          <w:tcPr>
            <w:tcW w:w="1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6"/>
              </w:rPr>
              <w:t>Purchased</w:t>
            </w:r>
          </w:p>
        </w:tc>
        <w:tc>
          <w:tcPr>
            <w:tcW w:w="1940" w:type="dxa"/>
            <w:vAlign w:val="bottom"/>
            <w:tcBorders>
              <w:bottom w:val="single" w:sz="8" w:color="auto"/>
            </w:tcBorders>
            <w:gridSpan w:val="3"/>
            <w:vMerge w:val="continue"/>
          </w:tcPr>
          <w:p>
            <w:pPr>
              <w:spacing w:after="0"/>
              <w:rPr>
                <w:sz w:val="17"/>
                <w:szCs w:val="17"/>
                <w:color w:val="auto"/>
              </w:rPr>
            </w:pPr>
          </w:p>
        </w:tc>
        <w:tc>
          <w:tcPr>
            <w:tcW w:w="18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5"/>
              </w:rPr>
              <w:t xml:space="preserve">Programs </w:t>
            </w:r>
            <w:r>
              <w:rPr>
                <w:rFonts w:ascii="Arial" w:cs="Arial" w:eastAsia="Arial" w:hAnsi="Arial"/>
                <w:sz w:val="18"/>
                <w:szCs w:val="18"/>
                <w:b w:val="1"/>
                <w:bCs w:val="1"/>
                <w:color w:val="auto"/>
                <w:w w:val="85"/>
                <w:vertAlign w:val="superscript"/>
              </w:rPr>
              <w:t>(1)</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79"/>
              <w:spacing w:after="0" w:line="198" w:lineRule="exact"/>
              <w:rPr>
                <w:sz w:val="20"/>
                <w:szCs w:val="20"/>
                <w:color w:val="auto"/>
              </w:rPr>
            </w:pPr>
            <w:r>
              <w:rPr>
                <w:rFonts w:ascii="Arial" w:cs="Arial" w:eastAsia="Arial" w:hAnsi="Arial"/>
                <w:sz w:val="14"/>
                <w:szCs w:val="14"/>
                <w:b w:val="1"/>
                <w:bCs w:val="1"/>
                <w:color w:val="auto"/>
                <w:w w:val="89"/>
              </w:rPr>
              <w:t xml:space="preserve">Program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1/1/2023 to 1/31/2023</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8"/>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2/1/2023 to 2/28/2023</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24"/>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3/1/2023 to 3/31/2023</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666,420</w:t>
            </w: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53,697</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666,420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666,420</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right="60" w:hanging="314"/>
        <w:spacing w:after="0" w:line="259" w:lineRule="auto"/>
        <w:tabs>
          <w:tab w:leader="none" w:pos="308"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February 10, 2022, our Board of Directors approved a $125 million share repurchase program effective through December 31, 2023, excluding associated costs and applicable taxes. As of March 31, 2023, $53.7 million of repurchase authority remained available under the program. See Part I, Item 1, "</w:t>
      </w:r>
      <w:r>
        <w:rPr>
          <w:rFonts w:ascii="Arial" w:cs="Arial" w:eastAsia="Arial" w:hAnsi="Arial"/>
          <w:sz w:val="14"/>
          <w:szCs w:val="14"/>
          <w:i w:val="1"/>
          <w:iCs w:val="1"/>
          <w:color w:val="auto"/>
        </w:rPr>
        <w:t>Financial Statements - Notes to Condensed Consolidated Financial Statements</w:t>
      </w:r>
      <w:r>
        <w:rPr>
          <w:rFonts w:ascii="Arial" w:cs="Arial" w:eastAsia="Arial" w:hAnsi="Arial"/>
          <w:sz w:val="14"/>
          <w:szCs w:val="14"/>
          <w:color w:val="auto"/>
        </w:rPr>
        <w:t xml:space="preserve"> </w:t>
      </w:r>
      <w:r>
        <w:rPr>
          <w:rFonts w:ascii="Arial" w:cs="Arial" w:eastAsia="Arial" w:hAnsi="Arial"/>
          <w:sz w:val="14"/>
          <w:szCs w:val="14"/>
          <w:i w:val="1"/>
          <w:iCs w:val="1"/>
          <w:color w:val="auto"/>
        </w:rPr>
        <w:t>- Note 9, Shareholder's Equity,</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0960"/>
          </w:cols>
          <w:pgMar w:left="320" w:top="992" w:right="619" w:bottom="1440" w:gutter="0" w:footer="0" w:header="0"/>
        </w:sectPr>
      </w:pPr>
    </w:p>
    <w:p>
      <w:pPr>
        <w:spacing w:after="0" w:line="6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636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48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69850</wp:posOffset>
            </wp:positionV>
            <wp:extent cx="62642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900" w:space="720"/>
            <w:col w:w="5340"/>
          </w:cols>
          <w:pgMar w:left="320" w:top="992" w:right="619" w:bottom="1440" w:gutter="0" w:footer="0" w:header="0"/>
          <w:type w:val="continuous"/>
        </w:sectPr>
      </w:pPr>
    </w:p>
    <w:p>
      <w:pPr>
        <w:spacing w:after="0" w:line="37" w:lineRule="exact"/>
        <w:rPr>
          <w:sz w:val="20"/>
          <w:szCs w:val="20"/>
          <w:color w:val="auto"/>
        </w:rPr>
      </w:pPr>
    </w:p>
    <w:p>
      <w:pPr>
        <w:ind w:left="1140" w:hanging="733"/>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68">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16"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69">
        <w:r>
          <w:rPr>
            <w:rFonts w:ascii="Arial" w:cs="Arial" w:eastAsia="Arial" w:hAnsi="Arial"/>
            <w:sz w:val="16"/>
            <w:szCs w:val="16"/>
            <w:u w:val="single" w:color="auto"/>
            <w:color w:val="0000FF"/>
          </w:rPr>
          <w:t xml:space="preserve">Fourth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3.2 to our Form 8-K, filed on November 10, 2022)</w:t>
      </w:r>
    </w:p>
    <w:p>
      <w:pPr>
        <w:spacing w:after="0" w:line="17" w:lineRule="exact"/>
        <w:rPr>
          <w:sz w:val="20"/>
          <w:szCs w:val="20"/>
          <w:color w:val="auto"/>
        </w:rPr>
      </w:pPr>
    </w:p>
    <w:p>
      <w:pPr>
        <w:jc w:val="right"/>
        <w:ind w:left="400"/>
        <w:spacing w:after="0" w:line="241" w:lineRule="auto"/>
        <w:rPr>
          <w:rFonts w:ascii="Arial" w:cs="Arial" w:eastAsia="Arial" w:hAnsi="Arial"/>
          <w:sz w:val="16"/>
          <w:szCs w:val="16"/>
          <w:color w:val="0000FF"/>
        </w:rPr>
      </w:pPr>
      <w:r>
        <w:rPr>
          <w:rFonts w:ascii="Arial" w:cs="Arial" w:eastAsia="Arial" w:hAnsi="Arial"/>
          <w:sz w:val="16"/>
          <w:szCs w:val="16"/>
          <w:color w:val="auto"/>
        </w:rPr>
        <w:t xml:space="preserve">4.1      </w:t>
      </w:r>
      <w:hyperlink r:id="rId70">
        <w:r>
          <w:rPr>
            <w:rFonts w:ascii="Arial" w:cs="Arial" w:eastAsia="Arial" w:hAnsi="Arial"/>
            <w:sz w:val="16"/>
            <w:szCs w:val="16"/>
            <w:u w:val="single" w:color="auto"/>
            <w:color w:val="0000FF"/>
          </w:rPr>
          <w:t>Indenture, dated as of June 19, 2020, among NMI Holdings, Inc., NMI Services, Inc. as the Initial Guarantor, and the Bank of New York</w:t>
        </w:r>
      </w:hyperlink>
      <w:r>
        <w:rPr>
          <w:rFonts w:ascii="Arial" w:cs="Arial" w:eastAsia="Arial" w:hAnsi="Arial"/>
          <w:sz w:val="16"/>
          <w:szCs w:val="16"/>
          <w:color w:val="auto"/>
        </w:rPr>
        <w:t xml:space="preserve"> </w:t>
      </w:r>
      <w:hyperlink r:id="rId70">
        <w:r>
          <w:rPr>
            <w:rFonts w:ascii="Arial" w:cs="Arial" w:eastAsia="Arial" w:hAnsi="Arial"/>
            <w:sz w:val="16"/>
            <w:szCs w:val="16"/>
            <w:u w:val="single" w:color="auto"/>
            <w:color w:val="0000FF"/>
          </w:rPr>
          <w:t>Mellon Trust Company, N.A. as Trustee and Notes Collateral Agent</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4.1 to our Form 8-K, filed</w:t>
        </w:r>
      </w:hyperlink>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 June 19, 2020)</w:t>
      </w:r>
    </w:p>
    <w:p>
      <w:pPr>
        <w:spacing w:after="0" w:line="3"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71">
        <w:r>
          <w:rPr>
            <w:rFonts w:ascii="Arial" w:cs="Arial" w:eastAsia="Arial" w:hAnsi="Arial"/>
            <w:sz w:val="16"/>
            <w:szCs w:val="16"/>
            <w:u w:val="single" w:color="auto"/>
            <w:color w:val="0000FF"/>
          </w:rPr>
          <w:t xml:space="preserve">Description of Securities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by reference to Exhibit 4.8 to our Form 10-8, filed on February 16, 2022)</w:t>
      </w:r>
    </w:p>
    <w:p>
      <w:pPr>
        <w:spacing w:after="0" w:line="17" w:lineRule="exact"/>
        <w:rPr>
          <w:sz w:val="20"/>
          <w:szCs w:val="20"/>
          <w:color w:val="auto"/>
        </w:rPr>
      </w:pPr>
    </w:p>
    <w:p>
      <w:pPr>
        <w:ind w:left="114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72">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16" w:lineRule="exact"/>
        <w:rPr>
          <w:sz w:val="20"/>
          <w:szCs w:val="20"/>
          <w:color w:val="auto"/>
        </w:rPr>
      </w:pPr>
    </w:p>
    <w:p>
      <w:pPr>
        <w:ind w:left="1140" w:right="140" w:hanging="846"/>
        <w:spacing w:after="0" w:line="241"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 ~</w:t>
      </w:r>
      <w:r>
        <w:rPr>
          <w:sz w:val="20"/>
          <w:szCs w:val="20"/>
          <w:color w:val="auto"/>
        </w:rPr>
        <w:tab/>
      </w:r>
      <w:hyperlink r:id="rId73">
        <w:r>
          <w:rPr>
            <w:rFonts w:ascii="Arial" w:cs="Arial" w:eastAsia="Arial" w:hAnsi="Arial"/>
            <w:sz w:val="16"/>
            <w:szCs w:val="16"/>
            <w:u w:val="single" w:color="auto"/>
            <w:color w:val="0000FF"/>
          </w:rPr>
          <w:t xml:space="preserve">Form of NMI Holdings, Inc. 2012 Stock Incentive Plan Restricted Stock Unit Award Agreement (For Management) </w:t>
        </w:r>
      </w:hyperlink>
      <w:r>
        <w:rPr>
          <w:rFonts w:ascii="Arial" w:cs="Arial" w:eastAsia="Arial" w:hAnsi="Arial"/>
          <w:sz w:val="16"/>
          <w:szCs w:val="16"/>
          <w:color w:val="000000"/>
        </w:rPr>
        <w:t>(Other</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than CEO and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CFO) (incorporated herein by reference to Exhibit 10.3 to our Form S-1 Registration Statement (Registration No. 333-191635), filed on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October 9, 2013)</w:t>
      </w:r>
    </w:p>
    <w:p>
      <w:pPr>
        <w:spacing w:after="0" w:line="3" w:lineRule="exact"/>
        <w:rPr>
          <w:sz w:val="20"/>
          <w:szCs w:val="20"/>
          <w:color w:val="auto"/>
        </w:rPr>
      </w:pPr>
    </w:p>
    <w:p>
      <w:pPr>
        <w:ind w:left="1140" w:right="180" w:hanging="846"/>
        <w:spacing w:after="0" w:line="266"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10.3 ~</w:t>
      </w:r>
      <w:r>
        <w:rPr>
          <w:sz w:val="20"/>
          <w:szCs w:val="20"/>
          <w:color w:val="auto"/>
        </w:rPr>
        <w:tab/>
      </w:r>
      <w:hyperlink r:id="rId74">
        <w:r>
          <w:rPr>
            <w:rFonts w:ascii="Arial" w:cs="Arial" w:eastAsia="Arial" w:hAnsi="Arial"/>
            <w:sz w:val="16"/>
            <w:szCs w:val="16"/>
            <w:u w:val="single" w:color="auto"/>
            <w:color w:val="0000FF"/>
          </w:rPr>
          <w:t xml:space="preserve">Form of NMI Holdings, Inc. 2012 Stock Incentive Plan Nonqualified Stock Option Award Agreement (For CEO and CFO)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10.5 to our Form S-1 Registration Statement (Registration No. 333-191635), filed on October 9, 2013)</w:t>
      </w:r>
    </w:p>
    <w:p>
      <w:pPr>
        <w:spacing w:after="0" w:line="1" w:lineRule="exact"/>
        <w:rPr>
          <w:sz w:val="20"/>
          <w:szCs w:val="20"/>
          <w:color w:val="auto"/>
        </w:rPr>
      </w:pPr>
    </w:p>
    <w:p>
      <w:pPr>
        <w:ind w:left="1140" w:right="300" w:hanging="846"/>
        <w:spacing w:after="0" w:line="266"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10.4 ~</w:t>
      </w:r>
      <w:r>
        <w:rPr>
          <w:sz w:val="20"/>
          <w:szCs w:val="20"/>
          <w:color w:val="auto"/>
        </w:rPr>
        <w:tab/>
      </w:r>
      <w:hyperlink r:id="rId75">
        <w:r>
          <w:rPr>
            <w:rFonts w:ascii="Arial" w:cs="Arial" w:eastAsia="Arial" w:hAnsi="Arial"/>
            <w:sz w:val="16"/>
            <w:szCs w:val="16"/>
            <w:u w:val="single" w:color="auto"/>
            <w:color w:val="0000FF"/>
          </w:rPr>
          <w:t xml:space="preserve">Form of NMI Holdings, Inc. 2012 Stock Incentive Plan Nonqualified Stock Option Award Agreement (For Management)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1140" w:right="100" w:hanging="846"/>
        <w:spacing w:after="0" w:line="241"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76">
        <w:r>
          <w:rPr>
            <w:rFonts w:ascii="Arial" w:cs="Arial" w:eastAsia="Arial" w:hAnsi="Arial"/>
            <w:sz w:val="16"/>
            <w:szCs w:val="16"/>
            <w:u w:val="single" w:color="auto"/>
            <w:color w:val="0000FF"/>
          </w:rPr>
          <w:t>Form of NMI Holdings, Inc. 2012 Stock Incentive Plan Nonqualified Stock Option Award Agreement (For Non-Employee Directors)</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(incorporated herein by reference to Exhibit 10.7 to our Form S-1 Registration Statement (Registration No. 333-191635), filed on October</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9, 2013)</w:t>
      </w:r>
    </w:p>
    <w:p>
      <w:pPr>
        <w:spacing w:after="0" w:line="3" w:lineRule="exact"/>
        <w:rPr>
          <w:sz w:val="20"/>
          <w:szCs w:val="20"/>
          <w:color w:val="auto"/>
        </w:rPr>
      </w:pPr>
    </w:p>
    <w:p>
      <w:pPr>
        <w:ind w:left="1140" w:right="48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10.6 ~</w:t>
      </w:r>
      <w:r>
        <w:rPr>
          <w:sz w:val="20"/>
          <w:szCs w:val="20"/>
          <w:color w:val="auto"/>
        </w:rPr>
        <w:tab/>
      </w:r>
      <w:hyperlink r:id="rId77">
        <w:r>
          <w:rPr>
            <w:rFonts w:ascii="Arial" w:cs="Arial" w:eastAsia="Arial" w:hAnsi="Arial"/>
            <w:sz w:val="18"/>
            <w:szCs w:val="18"/>
            <w:u w:val="single" w:color="auto"/>
            <w:color w:val="0000FF"/>
          </w:rPr>
          <w:t xml:space="preserve">Form of NMI Holdings, Inc. 2012 Stock Incentive Plan Nonqualified Stock Option Award Agreement (For CEO/CFO)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10.8 to our Form 10-K, filed on February 17, 2017)</w:t>
      </w:r>
    </w:p>
    <w:p>
      <w:pPr>
        <w:spacing w:after="0" w:line="16" w:lineRule="exact"/>
        <w:rPr>
          <w:sz w:val="20"/>
          <w:szCs w:val="20"/>
          <w:color w:val="auto"/>
        </w:rPr>
      </w:pPr>
    </w:p>
    <w:p>
      <w:pPr>
        <w:ind w:left="1140" w:right="44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78">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spacing w:after="0" w:line="16" w:lineRule="exact"/>
        <w:rPr>
          <w:sz w:val="20"/>
          <w:szCs w:val="20"/>
          <w:color w:val="auto"/>
        </w:rPr>
      </w:pPr>
    </w:p>
    <w:p>
      <w:pPr>
        <w:ind w:left="1140" w:right="4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10.8 ~</w:t>
      </w:r>
      <w:r>
        <w:rPr>
          <w:sz w:val="20"/>
          <w:szCs w:val="20"/>
          <w:color w:val="auto"/>
        </w:rPr>
        <w:tab/>
      </w:r>
      <w:hyperlink r:id="rId79">
        <w:r>
          <w:rPr>
            <w:rFonts w:ascii="Arial" w:cs="Arial" w:eastAsia="Arial" w:hAnsi="Arial"/>
            <w:sz w:val="18"/>
            <w:szCs w:val="18"/>
            <w:u w:val="single" w:color="auto"/>
            <w:color w:val="0000FF"/>
          </w:rPr>
          <w:t xml:space="preserve">Form of NMI Holdings, Inc. 2012 Stock Incentive Plan Restricted Stock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 to our Form 10-Q, filed on May 2, 2019)</w:t>
      </w:r>
    </w:p>
    <w:p>
      <w:pPr>
        <w:spacing w:after="0" w:line="16" w:lineRule="exact"/>
        <w:rPr>
          <w:sz w:val="20"/>
          <w:szCs w:val="20"/>
          <w:color w:val="auto"/>
        </w:rPr>
      </w:pPr>
    </w:p>
    <w:p>
      <w:pPr>
        <w:ind w:left="1140" w:right="120" w:hanging="846"/>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80">
        <w:r>
          <w:rPr>
            <w:rFonts w:ascii="Arial" w:cs="Arial" w:eastAsia="Arial" w:hAnsi="Arial"/>
            <w:sz w:val="18"/>
            <w:szCs w:val="18"/>
            <w:u w:val="single" w:color="auto"/>
            <w:color w:val="0000FF"/>
          </w:rPr>
          <w:t xml:space="preserve">Form of NMI Holdings, Inc. 2012 Stock Incentive Plan Restricted Stock Unit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10.31 to our Form 10-Q, filed on May 2, 2019)</w:t>
      </w:r>
    </w:p>
    <w:p>
      <w:pPr>
        <w:spacing w:after="0" w:line="16" w:lineRule="exact"/>
        <w:rPr>
          <w:sz w:val="20"/>
          <w:szCs w:val="20"/>
          <w:color w:val="auto"/>
        </w:rPr>
      </w:pPr>
    </w:p>
    <w:p>
      <w:pPr>
        <w:ind w:left="1140" w:right="240" w:hanging="890"/>
        <w:spacing w:after="0" w:line="22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10.10 ~</w:t>
      </w:r>
      <w:r>
        <w:rPr>
          <w:sz w:val="20"/>
          <w:szCs w:val="20"/>
          <w:color w:val="auto"/>
        </w:rPr>
        <w:tab/>
      </w:r>
      <w:hyperlink r:id="rId81">
        <w:r>
          <w:rPr>
            <w:rFonts w:ascii="Arial" w:cs="Arial" w:eastAsia="Arial" w:hAnsi="Arial"/>
            <w:sz w:val="18"/>
            <w:szCs w:val="18"/>
            <w:u w:val="single" w:color="auto"/>
            <w:color w:val="0000FF"/>
          </w:rPr>
          <w:t xml:space="preserve">Form of NMI Holdings, Inc. 2012 Stock Incentive Plan Nonqualified Stock Option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10.32 to our Form 10-Q, filed on May 2, 2019)</w:t>
      </w:r>
    </w:p>
    <w:p>
      <w:pPr>
        <w:spacing w:after="0" w:line="16" w:lineRule="exact"/>
        <w:rPr>
          <w:sz w:val="20"/>
          <w:szCs w:val="20"/>
          <w:color w:val="auto"/>
        </w:rPr>
      </w:pPr>
    </w:p>
    <w:p>
      <w:pPr>
        <w:ind w:left="1140" w:hanging="887"/>
        <w:spacing w:after="0" w:line="228" w:lineRule="auto"/>
        <w:tabs>
          <w:tab w:leader="none" w:pos="1120" w:val="left"/>
        </w:tabs>
        <w:rPr>
          <w:sz w:val="20"/>
          <w:szCs w:val="20"/>
          <w:color w:val="auto"/>
        </w:rPr>
      </w:pPr>
      <w:r>
        <w:rPr>
          <w:rFonts w:ascii="Arial" w:cs="Arial" w:eastAsia="Arial" w:hAnsi="Arial"/>
          <w:sz w:val="18"/>
          <w:szCs w:val="18"/>
          <w:color w:val="auto"/>
        </w:rPr>
        <w:t>10.11 ~</w:t>
      </w:r>
      <w:r>
        <w:rPr>
          <w:sz w:val="20"/>
          <w:szCs w:val="20"/>
          <w:color w:val="auto"/>
        </w:rPr>
        <w:tab/>
      </w:r>
      <w:r>
        <w:rPr>
          <w:rFonts w:ascii="Arial" w:cs="Arial" w:eastAsia="Arial" w:hAnsi="Arial"/>
          <w:sz w:val="18"/>
          <w:szCs w:val="18"/>
          <w:u w:val="single" w:color="auto"/>
          <w:color w:val="0000FF"/>
        </w:rPr>
        <w:t xml:space="preserve">NMI Holdings, Inc. Amended and Restated 2014 Omnibus Incentive Plan </w:t>
      </w:r>
      <w:r>
        <w:rPr>
          <w:rFonts w:ascii="Arial" w:cs="Arial" w:eastAsia="Arial" w:hAnsi="Arial"/>
          <w:sz w:val="18"/>
          <w:szCs w:val="18"/>
          <w:color w:val="000000"/>
        </w:rPr>
        <w:t>(incorporated herein by reference to Appendix A to our 2022</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29, 2022)</w:t>
      </w:r>
    </w:p>
    <w:p>
      <w:pPr>
        <w:ind w:left="24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10.12 ~</w:t>
      </w:r>
      <w:r>
        <w:rPr>
          <w:sz w:val="20"/>
          <w:szCs w:val="20"/>
          <w:color w:val="auto"/>
        </w:rPr>
        <w:tab/>
      </w:r>
      <w:hyperlink r:id="rId82">
        <w:r>
          <w:rPr>
            <w:rFonts w:ascii="Arial" w:cs="Arial" w:eastAsia="Arial" w:hAnsi="Arial"/>
            <w:sz w:val="16"/>
            <w:szCs w:val="16"/>
            <w:u w:val="single" w:color="auto"/>
            <w:color w:val="0000FF"/>
          </w:rPr>
          <w:t>Form of NMI Holdings, Inc. Amended and Restated 2014 Omnibus Incentive Plan Restricted Stock Unit Award Agreement (For CEO)</w:t>
        </w:r>
      </w:hyperlink>
    </w:p>
    <w:p>
      <w:pPr>
        <w:ind w:left="1140"/>
        <w:spacing w:after="0"/>
        <w:rPr>
          <w:sz w:val="20"/>
          <w:szCs w:val="20"/>
          <w:color w:val="auto"/>
        </w:rPr>
      </w:pPr>
      <w:r>
        <w:rPr>
          <w:rFonts w:ascii="Arial" w:cs="Arial" w:eastAsia="Arial" w:hAnsi="Arial"/>
          <w:sz w:val="18"/>
          <w:szCs w:val="18"/>
          <w:color w:val="auto"/>
        </w:rPr>
        <w:t>(incorporated herein by reference to Exhibit 10.19 to our Form 10-Q filed on August 1, 2017)</w:t>
      </w:r>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10.13 ~</w:t>
      </w:r>
      <w:r>
        <w:rPr>
          <w:sz w:val="20"/>
          <w:szCs w:val="20"/>
          <w:color w:val="auto"/>
        </w:rPr>
        <w:tab/>
      </w:r>
      <w:hyperlink r:id="rId83">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Officers</w:t>
        </w:r>
        <w:r>
          <w:rPr>
            <w:rFonts w:ascii="Arial" w:cs="Arial" w:eastAsia="Arial" w:hAnsi="Arial"/>
            <w:sz w:val="18"/>
            <w:szCs w:val="18"/>
            <w:color w:val="000000"/>
          </w:rPr>
          <w:t>) (incorporated herein by reference to Exhibit 10.20 to our Form 10-Q filed on August 1, 2017)</w:t>
        </w:r>
      </w:hyperlink>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10.14 ~</w:t>
      </w:r>
      <w:r>
        <w:rPr>
          <w:sz w:val="20"/>
          <w:szCs w:val="20"/>
          <w:color w:val="auto"/>
        </w:rPr>
        <w:tab/>
      </w:r>
      <w:hyperlink r:id="rId8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Employees</w:t>
        </w:r>
        <w:r>
          <w:rPr>
            <w:rFonts w:ascii="Arial" w:cs="Arial" w:eastAsia="Arial" w:hAnsi="Arial"/>
            <w:sz w:val="18"/>
            <w:szCs w:val="18"/>
            <w:color w:val="000000"/>
          </w:rPr>
          <w:t>) (incorporated herein by reference to Exhibit 10.21 to our Form 10-Q filed on August 1, 2017)</w:t>
        </w:r>
      </w:hyperlink>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10.15 ~</w:t>
      </w:r>
      <w:r>
        <w:rPr>
          <w:sz w:val="20"/>
          <w:szCs w:val="20"/>
          <w:color w:val="auto"/>
        </w:rPr>
        <w:tab/>
      </w:r>
      <w:hyperlink r:id="rId85">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Independent Directors</w:t>
        </w:r>
        <w:r>
          <w:rPr>
            <w:rFonts w:ascii="Arial" w:cs="Arial" w:eastAsia="Arial" w:hAnsi="Arial"/>
            <w:sz w:val="18"/>
            <w:szCs w:val="18"/>
            <w:color w:val="000000"/>
          </w:rPr>
          <w:t>) (incorporated herein by reference to Exhibit 10.22 to our Form 10-Q filed on August 1, 2017)</w:t>
        </w:r>
      </w:hyperlink>
    </w:p>
    <w:p>
      <w:pPr>
        <w:spacing w:after="0" w:line="16" w:lineRule="exact"/>
        <w:rPr>
          <w:sz w:val="20"/>
          <w:szCs w:val="20"/>
          <w:color w:val="auto"/>
        </w:rPr>
      </w:pPr>
    </w:p>
    <w:p>
      <w:pPr>
        <w:ind w:left="1140" w:hanging="890"/>
        <w:spacing w:after="0" w:line="228"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10.16 ~</w:t>
      </w:r>
      <w:r>
        <w:rPr>
          <w:sz w:val="20"/>
          <w:szCs w:val="20"/>
          <w:color w:val="auto"/>
        </w:rPr>
        <w:tab/>
      </w:r>
      <w:hyperlink r:id="rId86">
        <w:r>
          <w:rPr>
            <w:rFonts w:ascii="Arial" w:cs="Arial" w:eastAsia="Arial" w:hAnsi="Arial"/>
            <w:sz w:val="18"/>
            <w:szCs w:val="18"/>
            <w:u w:val="single" w:color="auto"/>
            <w:color w:val="0000FF"/>
          </w:rPr>
          <w:t>Form of NMI Holdings, Inc. Amended and Restated 2014 Omnibus Incentive Plan Nonqualified Stock Option Award Agreement (For</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CEO)</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10.23 to our Form 10-Q filed on August 1,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992" w:right="619" w:bottom="1440" w:gutter="0" w:footer="0" w:header="0"/>
          <w:type w:val="continuous"/>
        </w:sectPr>
      </w:pPr>
    </w:p>
    <w:bookmarkStart w:id="55" w:name="page56"/>
    <w:bookmarkEnd w:id="55"/>
    <w:p>
      <w:pPr>
        <w:ind w:left="900" w:hanging="890"/>
        <w:spacing w:after="0" w:line="266" w:lineRule="auto"/>
        <w:tabs>
          <w:tab w:leader="none" w:pos="880" w:val="left"/>
        </w:tabs>
        <w:rPr>
          <w:rFonts w:ascii="Arial" w:cs="Arial" w:eastAsia="Arial" w:hAnsi="Arial"/>
          <w:sz w:val="16"/>
          <w:szCs w:val="16"/>
          <w:color w:val="0000FF"/>
        </w:rPr>
      </w:pPr>
      <w:r>
        <w:rPr>
          <w:rFonts w:ascii="Arial" w:cs="Arial" w:eastAsia="Arial" w:hAnsi="Arial"/>
          <w:sz w:val="18"/>
          <w:szCs w:val="18"/>
          <w:color w:val="auto"/>
        </w:rPr>
        <w:t>10.17 ~</w:t>
      </w:r>
      <w:r>
        <w:rPr>
          <w:sz w:val="20"/>
          <w:szCs w:val="20"/>
          <w:color w:val="auto"/>
        </w:rPr>
        <w:tab/>
      </w:r>
      <w:hyperlink r:id="rId88">
        <w:r>
          <w:rPr>
            <w:rFonts w:ascii="Arial" w:cs="Arial" w:eastAsia="Arial" w:hAnsi="Arial"/>
            <w:sz w:val="16"/>
            <w:szCs w:val="16"/>
            <w:u w:val="single" w:color="auto"/>
            <w:color w:val="0000FF"/>
          </w:rPr>
          <w:t>Form of NMI Holdings, Inc. Amended and Restated 2014 Omnibus Incentive Plan Nonqualified Stock Option Award Agreement (For</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Executive Officers and Employees</w:t>
        </w:r>
        <w:r>
          <w:rPr>
            <w:rFonts w:ascii="Arial" w:cs="Arial" w:eastAsia="Arial" w:hAnsi="Arial"/>
            <w:sz w:val="16"/>
            <w:szCs w:val="16"/>
            <w:color w:val="000000"/>
          </w:rPr>
          <w:t>) (incorporated herein by reference to Exhibit 10.24 to our Form 10-Q filed on August 1, 2017)</w:t>
        </w:r>
      </w:hyperlink>
    </w:p>
    <w:p>
      <w:pPr>
        <w:spacing w:after="0" w:line="1"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10.18 ~</w:t>
      </w:r>
      <w:r>
        <w:rPr>
          <w:sz w:val="20"/>
          <w:szCs w:val="20"/>
          <w:color w:val="auto"/>
        </w:rPr>
        <w:tab/>
      </w:r>
      <w:hyperlink r:id="rId89">
        <w:r>
          <w:rPr>
            <w:rFonts w:ascii="Arial" w:cs="Arial" w:eastAsia="Arial" w:hAnsi="Arial"/>
            <w:sz w:val="18"/>
            <w:szCs w:val="18"/>
            <w:u w:val="single" w:color="auto"/>
            <w:color w:val="0000FF"/>
          </w:rPr>
          <w:t>Form of NMI Holdings, Inc. Amended and Restated 2014 Omnibus Incentive Plan Restricted Stock Unit Award Agreement (Performance</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Based)</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10.38 to our Form 10-Q, filed on May 7, 2020)</w:t>
        </w:r>
      </w:hyperlink>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10.19 ~</w:t>
      </w:r>
      <w:r>
        <w:rPr>
          <w:sz w:val="20"/>
          <w:szCs w:val="20"/>
          <w:color w:val="auto"/>
        </w:rPr>
        <w:tab/>
      </w:r>
      <w:hyperlink r:id="rId90">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Independent Directors</w:t>
        </w:r>
        <w:r>
          <w:rPr>
            <w:rFonts w:ascii="Arial" w:cs="Arial" w:eastAsia="Arial" w:hAnsi="Arial"/>
            <w:sz w:val="18"/>
            <w:szCs w:val="18"/>
            <w:color w:val="000000"/>
          </w:rPr>
          <w:t>) (incorporated herein by reference to Exhibit 10.33 to our Form 10-Q, filed on May 2, 2019)</w:t>
        </w:r>
      </w:hyperlink>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91">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Employees</w:t>
        </w:r>
        <w:r>
          <w:rPr>
            <w:rFonts w:ascii="Arial" w:cs="Arial" w:eastAsia="Arial" w:hAnsi="Arial"/>
            <w:sz w:val="18"/>
            <w:szCs w:val="18"/>
            <w:color w:val="000000"/>
          </w:rPr>
          <w:t>) (incorporated herein by reference to Exhibit 10.34 to our Form 10-Q, filed on May 2, 2019)</w:t>
        </w:r>
      </w:hyperlink>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10.21 ~</w:t>
      </w:r>
      <w:r>
        <w:rPr>
          <w:sz w:val="20"/>
          <w:szCs w:val="20"/>
          <w:color w:val="auto"/>
        </w:rPr>
        <w:tab/>
      </w:r>
      <w:hyperlink r:id="rId92">
        <w:r>
          <w:rPr>
            <w:rFonts w:ascii="Arial" w:cs="Arial" w:eastAsia="Arial" w:hAnsi="Arial"/>
            <w:sz w:val="16"/>
            <w:szCs w:val="16"/>
            <w:u w:val="single" w:color="auto"/>
            <w:color w:val="0000FF"/>
          </w:rPr>
          <w:t>Form of NMI Holdings, Inc. Amended and Restated 2014 Omnibus Incentive Plan Nonqualified Stock Option Agreement (For Employees</w:t>
        </w:r>
      </w:hyperlink>
      <w:r>
        <w:rPr>
          <w:rFonts w:ascii="Arial" w:cs="Arial" w:eastAsia="Arial" w:hAnsi="Arial"/>
          <w:sz w:val="16"/>
          <w:szCs w:val="16"/>
          <w:color w:val="000000"/>
        </w:rPr>
        <w:t>)</w:t>
      </w:r>
    </w:p>
    <w:p>
      <w:pPr>
        <w:ind w:left="900"/>
        <w:spacing w:after="0"/>
        <w:rPr>
          <w:sz w:val="20"/>
          <w:szCs w:val="20"/>
          <w:color w:val="auto"/>
        </w:rPr>
      </w:pPr>
      <w:r>
        <w:rPr>
          <w:rFonts w:ascii="Arial" w:cs="Arial" w:eastAsia="Arial" w:hAnsi="Arial"/>
          <w:sz w:val="18"/>
          <w:szCs w:val="18"/>
          <w:color w:val="auto"/>
        </w:rPr>
        <w:t>(incorporated herein by reference to Exhibit 10.35 to our Form 10-Q, filed on May 2, 2019)</w:t>
      </w:r>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10.22 ~</w:t>
      </w:r>
      <w:r>
        <w:rPr>
          <w:sz w:val="20"/>
          <w:szCs w:val="20"/>
          <w:color w:val="auto"/>
        </w:rPr>
        <w:tab/>
      </w:r>
      <w:hyperlink r:id="rId93">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16"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10.23 ~</w:t>
      </w:r>
      <w:r>
        <w:rPr>
          <w:sz w:val="20"/>
          <w:szCs w:val="20"/>
          <w:color w:val="auto"/>
        </w:rPr>
        <w:tab/>
      </w:r>
      <w:hyperlink r:id="rId94">
        <w:r>
          <w:rPr>
            <w:rFonts w:ascii="Arial" w:cs="Arial" w:eastAsia="Arial" w:hAnsi="Arial"/>
            <w:sz w:val="16"/>
            <w:szCs w:val="16"/>
            <w:u w:val="single" w:color="auto"/>
            <w:color w:val="0000FF"/>
          </w:rPr>
          <w:t xml:space="preserve">NMI Holdings, Inc. Severance Benefit Plan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10.1 to our Form 8-K, filed on February 17, 2016)</w:t>
      </w:r>
    </w:p>
    <w:p>
      <w:pPr>
        <w:spacing w:after="0" w:line="17" w:lineRule="exact"/>
        <w:rPr>
          <w:sz w:val="20"/>
          <w:szCs w:val="20"/>
          <w:color w:val="auto"/>
        </w:rPr>
      </w:pPr>
    </w:p>
    <w:p>
      <w:pPr>
        <w:ind w:left="900" w:right="2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10.24 ~</w:t>
      </w:r>
      <w:r>
        <w:rPr>
          <w:sz w:val="20"/>
          <w:szCs w:val="20"/>
          <w:color w:val="auto"/>
        </w:rPr>
        <w:tab/>
      </w:r>
      <w:hyperlink r:id="rId95">
        <w:r>
          <w:rPr>
            <w:rFonts w:ascii="Arial" w:cs="Arial" w:eastAsia="Arial" w:hAnsi="Arial"/>
            <w:sz w:val="18"/>
            <w:szCs w:val="18"/>
            <w:u w:val="single" w:color="auto"/>
            <w:color w:val="0000FF"/>
          </w:rPr>
          <w:t xml:space="preserve">NMI Holdings, Inc. Amended and Restated Change in Control Severance Benefit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to our Form 10-Q, filed on October 30, 2018)</w:t>
      </w:r>
    </w:p>
    <w:p>
      <w:pPr>
        <w:spacing w:after="0" w:line="16"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10.25 ~</w:t>
      </w:r>
      <w:r>
        <w:rPr>
          <w:sz w:val="20"/>
          <w:szCs w:val="20"/>
          <w:color w:val="auto"/>
        </w:rPr>
        <w:tab/>
      </w:r>
      <w:hyperlink r:id="rId96">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17"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97">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16" w:lineRule="exact"/>
        <w:rPr>
          <w:sz w:val="20"/>
          <w:szCs w:val="20"/>
          <w:color w:val="auto"/>
        </w:rPr>
      </w:pPr>
    </w:p>
    <w:p>
      <w:pPr>
        <w:ind w:left="900" w:hanging="890"/>
        <w:spacing w:after="0" w:line="228"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98">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December 28, 2018)</w:t>
      </w: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10.28 ~</w:t>
      </w:r>
      <w:r>
        <w:rPr>
          <w:sz w:val="20"/>
          <w:szCs w:val="20"/>
          <w:color w:val="auto"/>
        </w:rPr>
        <w:tab/>
      </w:r>
      <w:hyperlink r:id="rId99">
        <w:r>
          <w:rPr>
            <w:rFonts w:ascii="Arial" w:cs="Arial" w:eastAsia="Arial" w:hAnsi="Arial"/>
            <w:sz w:val="16"/>
            <w:szCs w:val="16"/>
            <w:u w:val="single" w:color="auto"/>
            <w:color w:val="0000FF"/>
          </w:rPr>
          <w:t xml:space="preserve">Offer Letter by and between NMI Holdings, Inc. and Adam Pollitzer, dated September 9, 2021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900"/>
        <w:spacing w:after="0"/>
        <w:rPr>
          <w:sz w:val="20"/>
          <w:szCs w:val="20"/>
          <w:color w:val="auto"/>
        </w:rPr>
      </w:pPr>
      <w:r>
        <w:rPr>
          <w:rFonts w:ascii="Arial" w:cs="Arial" w:eastAsia="Arial" w:hAnsi="Arial"/>
          <w:sz w:val="18"/>
          <w:szCs w:val="18"/>
          <w:color w:val="auto"/>
        </w:rPr>
        <w:t>10.1 to our Form 8-K, filed on September 9, 2021)</w:t>
      </w: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10.29 ~</w:t>
      </w:r>
      <w:r>
        <w:rPr>
          <w:sz w:val="20"/>
          <w:szCs w:val="20"/>
          <w:color w:val="auto"/>
        </w:rPr>
        <w:tab/>
      </w:r>
      <w:hyperlink r:id="rId100">
        <w:r>
          <w:rPr>
            <w:rFonts w:ascii="Arial" w:cs="Arial" w:eastAsia="Arial" w:hAnsi="Arial"/>
            <w:sz w:val="16"/>
            <w:szCs w:val="16"/>
            <w:u w:val="single" w:color="auto"/>
            <w:color w:val="0000FF"/>
          </w:rPr>
          <w:t xml:space="preserve">Offer letter by and between NMI Holdings, Inc. and Ravi Mallela, dated December 20, 2021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900"/>
        <w:spacing w:after="0"/>
        <w:rPr>
          <w:sz w:val="20"/>
          <w:szCs w:val="20"/>
          <w:color w:val="auto"/>
        </w:rPr>
      </w:pPr>
      <w:r>
        <w:rPr>
          <w:rFonts w:ascii="Arial" w:cs="Arial" w:eastAsia="Arial" w:hAnsi="Arial"/>
          <w:sz w:val="18"/>
          <w:szCs w:val="18"/>
          <w:color w:val="auto"/>
        </w:rPr>
        <w:t>10.1 to our Form 8-K, filed on December 21, 2021)</w:t>
      </w:r>
    </w:p>
    <w:p>
      <w:pPr>
        <w:spacing w:after="0" w:line="16" w:lineRule="exact"/>
        <w:rPr>
          <w:sz w:val="20"/>
          <w:szCs w:val="20"/>
          <w:color w:val="auto"/>
        </w:rPr>
      </w:pPr>
    </w:p>
    <w:p>
      <w:pPr>
        <w:jc w:val="right"/>
        <w:spacing w:after="0" w:line="24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10.30 +    </w:t>
      </w:r>
      <w:hyperlink r:id="rId101">
        <w:r>
          <w:rPr>
            <w:rFonts w:ascii="Arial" w:cs="Arial" w:eastAsia="Arial" w:hAnsi="Arial"/>
            <w:sz w:val="16"/>
            <w:szCs w:val="16"/>
            <w:u w:val="single" w:color="auto"/>
            <w:color w:val="0000FF"/>
          </w:rPr>
          <w:t>Commitment Letter dated July 12, 2013 for Bulk Fannie Mae-Paid Loss-on-Sale Mortgage Insurance on the Portfolio of approximately</w:t>
        </w:r>
      </w:hyperlink>
      <w:r>
        <w:rPr>
          <w:rFonts w:ascii="Arial" w:cs="Arial" w:eastAsia="Arial" w:hAnsi="Arial"/>
          <w:sz w:val="16"/>
          <w:szCs w:val="16"/>
          <w:color w:val="auto"/>
        </w:rPr>
        <w:t xml:space="preserve"> </w:t>
      </w:r>
      <w:hyperlink r:id="rId101">
        <w:r>
          <w:rPr>
            <w:rFonts w:ascii="Arial" w:cs="Arial" w:eastAsia="Arial" w:hAnsi="Arial"/>
            <w:sz w:val="16"/>
            <w:szCs w:val="16"/>
            <w:u w:val="single" w:color="auto"/>
            <w:color w:val="0000FF"/>
          </w:rPr>
          <w:t>$5.46 billion Purchased by Fannie Mae and Identified by Fannie Mae as Deal No. 2013 MIRT 01 and by the Company as Policy No. P-</w:t>
        </w:r>
      </w:hyperlink>
    </w:p>
    <w:p>
      <w:pPr>
        <w:spacing w:after="0" w:line="1" w:lineRule="exact"/>
        <w:rPr>
          <w:sz w:val="20"/>
          <w:szCs w:val="20"/>
          <w:color w:val="auto"/>
        </w:rPr>
      </w:pPr>
    </w:p>
    <w:p>
      <w:pPr>
        <w:ind w:left="900"/>
        <w:spacing w:after="0" w:line="220" w:lineRule="auto"/>
        <w:rPr>
          <w:rFonts w:ascii="Arial" w:cs="Arial" w:eastAsia="Arial" w:hAnsi="Arial"/>
          <w:sz w:val="18"/>
          <w:szCs w:val="18"/>
          <w:color w:val="0000FF"/>
        </w:rPr>
      </w:pPr>
      <w:hyperlink r:id="rId101">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 on</w:t>
        </w:r>
      </w:hyperlink>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 w:lineRule="exact"/>
        <w:rPr>
          <w:sz w:val="20"/>
          <w:szCs w:val="20"/>
          <w:color w:val="auto"/>
        </w:rPr>
      </w:pPr>
    </w:p>
    <w:p>
      <w:pPr>
        <w:jc w:val="right"/>
        <w:ind w:left="60"/>
        <w:spacing w:after="0" w:line="241" w:lineRule="auto"/>
        <w:rPr>
          <w:rFonts w:ascii="Arial" w:cs="Arial" w:eastAsia="Arial" w:hAnsi="Arial"/>
          <w:sz w:val="16"/>
          <w:szCs w:val="16"/>
          <w:color w:val="0000FF"/>
        </w:rPr>
      </w:pPr>
      <w:r>
        <w:rPr>
          <w:rFonts w:ascii="Arial" w:cs="Arial" w:eastAsia="Arial" w:hAnsi="Arial"/>
          <w:sz w:val="16"/>
          <w:szCs w:val="16"/>
          <w:color w:val="auto"/>
        </w:rPr>
        <w:t xml:space="preserve">10.31     </w:t>
      </w:r>
      <w:hyperlink r:id="rId102">
        <w:r>
          <w:rPr>
            <w:rFonts w:ascii="Arial" w:cs="Arial" w:eastAsia="Arial" w:hAnsi="Arial"/>
            <w:sz w:val="16"/>
            <w:szCs w:val="16"/>
            <w:u w:val="single" w:color="auto"/>
            <w:color w:val="0000FF"/>
          </w:rPr>
          <w:t>Amended and Restated Credit Agreement, dated as of November 29, 2021, by and among the Company, the lender parties thereto and</w:t>
        </w:r>
      </w:hyperlink>
      <w:r>
        <w:rPr>
          <w:rFonts w:ascii="Arial" w:cs="Arial" w:eastAsia="Arial" w:hAnsi="Arial"/>
          <w:sz w:val="16"/>
          <w:szCs w:val="16"/>
          <w:color w:val="auto"/>
        </w:rPr>
        <w:t xml:space="preserve"> </w:t>
      </w:r>
      <w:hyperlink r:id="rId102">
        <w:r>
          <w:rPr>
            <w:rFonts w:ascii="Arial" w:cs="Arial" w:eastAsia="Arial" w:hAnsi="Arial"/>
            <w:sz w:val="16"/>
            <w:szCs w:val="16"/>
            <w:u w:val="single" w:color="auto"/>
            <w:color w:val="0000FF"/>
          </w:rPr>
          <w:t>JPMorgan Chase Bank, N.A., as administrative agent</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10.1 to our Form 8-K filed on November</w:t>
        </w:r>
      </w:hyperlink>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30, 2021)</w:t>
      </w:r>
    </w:p>
    <w:p>
      <w:pPr>
        <w:spacing w:after="0" w:line="3"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103">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ind w:left="120"/>
        <w:spacing w:after="0"/>
        <w:tabs>
          <w:tab w:leader="none" w:pos="8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0000FF"/>
        </w:rPr>
        <w:t xml:space="preserve">Guaranteed Securities by Subsidiary Guarantor </w:t>
      </w:r>
      <w:r>
        <w:rPr>
          <w:rFonts w:ascii="Arial" w:cs="Arial" w:eastAsia="Arial" w:hAnsi="Arial"/>
          <w:sz w:val="16"/>
          <w:szCs w:val="16"/>
          <w:color w:val="000000"/>
        </w:rPr>
        <w:t>(incorporated herein by reference to Exhibit 22.1 to our Form 10-K, filed on February 16,</w:t>
      </w:r>
    </w:p>
    <w:p>
      <w:pPr>
        <w:ind w:left="900"/>
        <w:spacing w:after="0"/>
        <w:rPr>
          <w:sz w:val="20"/>
          <w:szCs w:val="20"/>
          <w:color w:val="auto"/>
        </w:rPr>
      </w:pPr>
      <w:r>
        <w:rPr>
          <w:rFonts w:ascii="Arial" w:cs="Arial" w:eastAsia="Arial" w:hAnsi="Arial"/>
          <w:sz w:val="18"/>
          <w:szCs w:val="18"/>
          <w:color w:val="auto"/>
        </w:rPr>
        <w:t>2022)</w:t>
      </w:r>
    </w:p>
    <w:p>
      <w:pPr>
        <w:spacing w:after="0" w:line="16"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Principal Executive Officer's Certification Pursuant to Section 302 of the Sarbanes-Oxley Act of 2002</w:t>
      </w:r>
    </w:p>
    <w:p>
      <w:pPr>
        <w:spacing w:after="0" w:line="1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Principal Financial Officer's Certification Pursuant to Section 302 of the Sarbanes-Oxley Act of 2002</w:t>
      </w:r>
    </w:p>
    <w:p>
      <w:pPr>
        <w:ind w:left="40"/>
        <w:spacing w:after="0"/>
        <w:tabs>
          <w:tab w:leader="none" w:pos="880"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u w:val="single" w:color="auto"/>
          <w:color w:val="0000FF"/>
        </w:rPr>
        <w:t>Certifications of CEO and CFO Pursuant to 18 U.S.C. Section 1350, as Adopted Pursuant to Section 906 of the Sarbanes-Oxley Act of</w:t>
      </w:r>
    </w:p>
    <w:p>
      <w:pPr>
        <w:ind w:left="900"/>
        <w:spacing w:after="0"/>
        <w:rPr>
          <w:sz w:val="20"/>
          <w:szCs w:val="20"/>
          <w:color w:val="auto"/>
        </w:rPr>
      </w:pPr>
      <w:r>
        <w:rPr>
          <w:rFonts w:ascii="Arial" w:cs="Arial" w:eastAsia="Arial" w:hAnsi="Arial"/>
          <w:sz w:val="18"/>
          <w:szCs w:val="18"/>
          <w:u w:val="single" w:color="auto"/>
          <w:color w:val="0000FF"/>
        </w:rPr>
        <w:t>2002</w:t>
      </w:r>
    </w:p>
    <w:p>
      <w:pPr>
        <w:spacing w:after="0" w:line="16" w:lineRule="exact"/>
        <w:rPr>
          <w:sz w:val="20"/>
          <w:szCs w:val="20"/>
          <w:color w:val="auto"/>
        </w:rPr>
      </w:pPr>
    </w:p>
    <w:p>
      <w:pPr>
        <w:ind w:left="900" w:right="420" w:hanging="765"/>
        <w:spacing w:after="0" w:line="22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March 31, 2023 (Unaudited) formatted in XBRL (eXtensible Business Reporting Language):</w:t>
      </w:r>
    </w:p>
    <w:p>
      <w:pPr>
        <w:spacing w:after="0" w:line="15" w:lineRule="exact"/>
        <w:rPr>
          <w:rFonts w:ascii="Arial" w:cs="Arial" w:eastAsia="Arial" w:hAnsi="Arial"/>
          <w:sz w:val="18"/>
          <w:szCs w:val="18"/>
          <w:color w:val="auto"/>
        </w:rPr>
      </w:pPr>
    </w:p>
    <w:p>
      <w:pPr>
        <w:ind w:left="1100" w:hanging="209"/>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Condensed Consolidated Balance Sheets as of March 31, 2023 (Unaudited) and December 31, 2022;</w:t>
      </w:r>
    </w:p>
    <w:p>
      <w:pPr>
        <w:spacing w:after="0" w:line="17" w:lineRule="exact"/>
        <w:rPr>
          <w:rFonts w:ascii="Arial" w:cs="Arial" w:eastAsia="Arial" w:hAnsi="Arial"/>
          <w:sz w:val="18"/>
          <w:szCs w:val="18"/>
          <w:color w:val="auto"/>
        </w:rPr>
      </w:pPr>
    </w:p>
    <w:p>
      <w:pPr>
        <w:ind w:left="900" w:right="140" w:hanging="9"/>
        <w:spacing w:after="0" w:line="228" w:lineRule="auto"/>
        <w:tabs>
          <w:tab w:leader="none" w:pos="11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nine months ended March 31, 2023 and 2022 (Unaudited);</w:t>
      </w:r>
    </w:p>
    <w:p>
      <w:pPr>
        <w:spacing w:after="0" w:line="15" w:lineRule="exact"/>
        <w:rPr>
          <w:rFonts w:ascii="Arial" w:cs="Arial" w:eastAsia="Arial" w:hAnsi="Arial"/>
          <w:sz w:val="18"/>
          <w:szCs w:val="18"/>
          <w:color w:val="auto"/>
        </w:rPr>
      </w:pPr>
    </w:p>
    <w:p>
      <w:pPr>
        <w:ind w:left="900" w:right="640" w:hanging="9"/>
        <w:spacing w:after="0" w:line="228" w:lineRule="auto"/>
        <w:tabs>
          <w:tab w:leader="none" w:pos="12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Condensed Consolidated Statements of Changes in Shareholders' Equity for the three months ended March 31, 2023 and 2022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60" w:top="1037" w:right="619" w:bottom="1440" w:gutter="0" w:footer="0" w:header="0"/>
        </w:sectPr>
      </w:pPr>
    </w:p>
    <w:bookmarkStart w:id="56" w:name="page57"/>
    <w:bookmarkEnd w:id="56"/>
    <w:p>
      <w:pPr>
        <w:ind w:left="1285" w:hanging="289"/>
        <w:spacing w:after="0"/>
        <w:tabs>
          <w:tab w:leader="none" w:pos="12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Condensed Consolidated Statements of Cash Flows for the nine months ended March 31, 2023 and 2022 (Unaudited); and</w:t>
      </w:r>
    </w:p>
    <w:p>
      <w:pPr>
        <w:spacing w:after="0" w:line="40" w:lineRule="exact"/>
        <w:rPr>
          <w:rFonts w:ascii="Arial" w:cs="Arial" w:eastAsia="Arial" w:hAnsi="Arial"/>
          <w:sz w:val="16"/>
          <w:szCs w:val="16"/>
          <w:color w:val="auto"/>
        </w:rPr>
      </w:pPr>
    </w:p>
    <w:p>
      <w:pPr>
        <w:ind w:left="1005" w:right="180" w:hanging="9"/>
        <w:spacing w:after="0" w:line="228" w:lineRule="auto"/>
        <w:tabs>
          <w:tab w:leader="none" w:pos="12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The instance document does not appear in the Interactive Data File because XBRL tags are embedded within the Inline XBRL document.</w:t>
      </w:r>
    </w:p>
    <w:p>
      <w:pPr>
        <w:spacing w:after="0" w:line="16" w:lineRule="exact"/>
        <w:rPr>
          <w:sz w:val="20"/>
          <w:szCs w:val="20"/>
          <w:color w:val="auto"/>
        </w:rPr>
      </w:pPr>
    </w:p>
    <w:p>
      <w:pPr>
        <w:ind w:left="1005" w:right="340" w:hanging="765"/>
        <w:spacing w:after="0" w:line="228" w:lineRule="auto"/>
        <w:tabs>
          <w:tab w:leader="none" w:pos="10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cover page from NMI Holdings, Inc.'s Quarterly Report on Form 10-Q for the quarter ended March 31, 2023 (formatted as Inline XBRL and contained in Exhibit 101).</w:t>
      </w:r>
    </w:p>
    <w:p>
      <w:pPr>
        <w:spacing w:after="0" w:line="294" w:lineRule="exact"/>
        <w:rPr>
          <w:rFonts w:ascii="Arial" w:cs="Arial" w:eastAsia="Arial" w:hAnsi="Arial"/>
          <w:sz w:val="18"/>
          <w:szCs w:val="18"/>
          <w:color w:val="auto"/>
        </w:rPr>
      </w:pPr>
    </w:p>
    <w:p>
      <w:pPr>
        <w:ind w:left="265" w:hanging="265"/>
        <w:spacing w:after="0"/>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27" w:lineRule="exact"/>
        <w:rPr>
          <w:sz w:val="20"/>
          <w:szCs w:val="20"/>
          <w:color w:val="auto"/>
        </w:rPr>
      </w:pPr>
    </w:p>
    <w:p>
      <w:pPr>
        <w:ind w:left="265" w:hanging="265"/>
        <w:spacing w:after="0"/>
        <w:tabs>
          <w:tab w:leader="none" w:pos="2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27" w:lineRule="exact"/>
        <w:rPr>
          <w:sz w:val="20"/>
          <w:szCs w:val="20"/>
          <w:color w:val="auto"/>
        </w:rPr>
      </w:pPr>
    </w:p>
    <w:p>
      <w:pPr>
        <w:ind w:left="265" w:hanging="265"/>
        <w:spacing w:after="0"/>
        <w:tabs>
          <w:tab w:leader="none" w:pos="265"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4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5"/>
          </w:cols>
          <w:pgMar w:left="455" w:top="1037" w:right="7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NMI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 2023</w:t>
      </w:r>
    </w:p>
    <w:p>
      <w:pPr>
        <w:spacing w:after="0" w:line="26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-13970</wp:posOffset>
            </wp:positionV>
            <wp:extent cx="12153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Ravi Mallela</w:t>
      </w:r>
    </w:p>
    <w:p>
      <w:pPr>
        <w:spacing w:after="0" w:line="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04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 AMENDED AND RESTATED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INCENTIVE PLAN</w:t>
      </w:r>
    </w:p>
    <w:p>
      <w:pPr>
        <w:spacing w:after="0" w:line="200" w:lineRule="exact"/>
        <w:rPr>
          <w:sz w:val="20"/>
          <w:szCs w:val="20"/>
          <w:color w:val="auto"/>
        </w:rPr>
      </w:pP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 Definitions</w:t>
      </w:r>
    </w:p>
    <w:p>
      <w:pPr>
        <w:spacing w:after="0" w:line="274" w:lineRule="exact"/>
        <w:rPr>
          <w:sz w:val="20"/>
          <w:szCs w:val="20"/>
          <w:color w:val="auto"/>
        </w:rPr>
      </w:pPr>
    </w:p>
    <w:p>
      <w:pPr>
        <w:jc w:val="both"/>
        <w:ind w:firstLine="1266"/>
        <w:spacing w:after="0" w:line="317" w:lineRule="auto"/>
        <w:rPr>
          <w:sz w:val="20"/>
          <w:szCs w:val="20"/>
          <w:color w:val="auto"/>
        </w:rPr>
      </w:pPr>
      <w:r>
        <w:rPr>
          <w:rFonts w:ascii="Arial" w:cs="Arial" w:eastAsia="Arial" w:hAnsi="Arial"/>
          <w:sz w:val="16"/>
          <w:szCs w:val="16"/>
          <w:color w:val="auto"/>
        </w:rPr>
        <w:t>The purpose of this Plan is to give the Company a competitive advantage in attracting, retaining and motivating officers, employees, directors and/or consultants and to provide the Company and its Subsidiaries and Affiliates with a compensation plan providing incentives for future performance of services directly linked to the profitability of the Company’s businesses and increases in Company shareholder value.</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this Plan, the following terms are defined as set forth below:</w:t>
      </w:r>
    </w:p>
    <w:p>
      <w:pPr>
        <w:spacing w:after="0" w:line="255" w:lineRule="exact"/>
        <w:rPr>
          <w:sz w:val="20"/>
          <w:szCs w:val="20"/>
          <w:color w:val="auto"/>
        </w:rPr>
      </w:pPr>
    </w:p>
    <w:p>
      <w:pPr>
        <w:ind w:left="1060" w:hanging="421"/>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corporation or other entity controlled by, controlling or under common control with the Company.</w:t>
      </w:r>
    </w:p>
    <w:p>
      <w:pPr>
        <w:spacing w:after="0" w:line="254" w:lineRule="exact"/>
        <w:rPr>
          <w:rFonts w:ascii="Arial" w:cs="Arial" w:eastAsia="Arial" w:hAnsi="Arial"/>
          <w:sz w:val="18"/>
          <w:szCs w:val="18"/>
          <w:color w:val="auto"/>
        </w:rPr>
      </w:pPr>
    </w:p>
    <w:p>
      <w:pPr>
        <w:ind w:firstLine="639"/>
        <w:spacing w:after="0" w:line="293" w:lineRule="auto"/>
        <w:tabs>
          <w:tab w:leader="none" w:pos="10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Exchange</w:t>
      </w:r>
      <w:r>
        <w:rPr>
          <w:rFonts w:ascii="Arial" w:cs="Arial" w:eastAsia="Arial" w:hAnsi="Arial"/>
          <w:sz w:val="18"/>
          <w:szCs w:val="18"/>
          <w:color w:val="auto"/>
        </w:rPr>
        <w:t>” means the NASDAQ or such other securities exchange as may at the applicable time be the principal market for the Common Stock.</w:t>
      </w:r>
    </w:p>
    <w:p>
      <w:pPr>
        <w:spacing w:after="0" w:line="193" w:lineRule="exact"/>
        <w:rPr>
          <w:rFonts w:ascii="Arial" w:cs="Arial" w:eastAsia="Arial" w:hAnsi="Arial"/>
          <w:sz w:val="18"/>
          <w:szCs w:val="18"/>
          <w:color w:val="auto"/>
        </w:rPr>
      </w:pPr>
    </w:p>
    <w:p>
      <w:pPr>
        <w:ind w:firstLine="639"/>
        <w:spacing w:after="0" w:line="278" w:lineRule="auto"/>
        <w:tabs>
          <w:tab w:leader="none" w:pos="10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Stock Option, Stock Appreciation Right, Restricted Stock, Restricted Stock Unit, Performance Unit, Other Stock-Based Award or Cash-Based Award granted pursuant to the terms of this Plan.</w:t>
      </w:r>
    </w:p>
    <w:p>
      <w:pPr>
        <w:spacing w:after="0" w:line="219" w:lineRule="exact"/>
        <w:rPr>
          <w:rFonts w:ascii="Arial" w:cs="Arial" w:eastAsia="Arial" w:hAnsi="Arial"/>
          <w:sz w:val="18"/>
          <w:szCs w:val="18"/>
          <w:color w:val="auto"/>
        </w:rPr>
      </w:pPr>
    </w:p>
    <w:p>
      <w:pPr>
        <w:ind w:left="1060" w:hanging="421"/>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 written or electronic document or agreement setting forth the terms and conditions of a specific Award.</w:t>
      </w:r>
    </w:p>
    <w:p>
      <w:pPr>
        <w:spacing w:after="0" w:line="277" w:lineRule="exact"/>
        <w:rPr>
          <w:rFonts w:ascii="Arial" w:cs="Arial" w:eastAsia="Arial" w:hAnsi="Arial"/>
          <w:sz w:val="16"/>
          <w:szCs w:val="16"/>
          <w:color w:val="auto"/>
        </w:rPr>
      </w:pPr>
    </w:p>
    <w:p>
      <w:pPr>
        <w:ind w:left="1000" w:hanging="36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w:t>
      </w:r>
      <w:r>
        <w:rPr>
          <w:rFonts w:ascii="Arial" w:cs="Arial" w:eastAsia="Arial" w:hAnsi="Arial"/>
          <w:sz w:val="18"/>
          <w:szCs w:val="18"/>
          <w:color w:val="auto"/>
        </w:rPr>
        <w:t>” shall have the meaning given in Rule 13d3 promulgated under the Exchange Act.</w:t>
      </w:r>
    </w:p>
    <w:p>
      <w:pPr>
        <w:spacing w:after="0" w:line="254" w:lineRule="exact"/>
        <w:rPr>
          <w:rFonts w:ascii="Arial" w:cs="Arial" w:eastAsia="Arial" w:hAnsi="Arial"/>
          <w:sz w:val="18"/>
          <w:szCs w:val="18"/>
          <w:color w:val="auto"/>
        </w:rPr>
      </w:pPr>
    </w:p>
    <w:p>
      <w:pPr>
        <w:ind w:left="1000" w:hanging="36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set forth in Section 11(e)(iii).</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Cash-Based Award</w:t>
      </w:r>
      <w:r>
        <w:rPr>
          <w:rFonts w:ascii="Arial" w:cs="Arial" w:eastAsia="Arial" w:hAnsi="Arial"/>
          <w:sz w:val="18"/>
          <w:szCs w:val="18"/>
          <w:color w:val="auto"/>
        </w:rPr>
        <w:t>” means an Award denominated in a dollar amount.</w:t>
      </w:r>
    </w:p>
    <w:p>
      <w:pPr>
        <w:spacing w:after="0" w:line="254" w:lineRule="exact"/>
        <w:rPr>
          <w:rFonts w:ascii="Arial" w:cs="Arial" w:eastAsia="Arial" w:hAnsi="Arial"/>
          <w:sz w:val="18"/>
          <w:szCs w:val="18"/>
          <w:color w:val="auto"/>
        </w:rPr>
      </w:pPr>
    </w:p>
    <w:p>
      <w:pPr>
        <w:ind w:left="980" w:hanging="341"/>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unless otherwise provided in an Award Agreement, (1) “Cause” as defined in any Individual</w:t>
      </w:r>
    </w:p>
    <w:p>
      <w:pPr>
        <w:spacing w:after="0" w:line="30" w:lineRule="exact"/>
        <w:rPr>
          <w:sz w:val="20"/>
          <w:szCs w:val="20"/>
          <w:color w:val="auto"/>
        </w:rPr>
      </w:pPr>
    </w:p>
    <w:p>
      <w:pPr>
        <w:jc w:val="both"/>
        <w:ind w:firstLine="633"/>
        <w:spacing w:after="0" w:line="306" w:lineRule="auto"/>
        <w:rPr>
          <w:sz w:val="20"/>
          <w:szCs w:val="20"/>
          <w:color w:val="auto"/>
        </w:rPr>
      </w:pPr>
      <w:r>
        <w:rPr>
          <w:rFonts w:ascii="Arial" w:cs="Arial" w:eastAsia="Arial" w:hAnsi="Arial"/>
          <w:sz w:val="16"/>
          <w:szCs w:val="16"/>
          <w:color w:val="auto"/>
        </w:rPr>
        <w:t xml:space="preserve">Agreement to which the Participant is a party as of the Grant Date, or (2) if there is no such Individual Agreement or if it does not define Cause: (A)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the Participant for committing a felony under federal law or the law of the state in which such action occurred, (B) willful and deliberate failure on the part of the Participant to perform his or her employment duties in any material respect, (C) dishonesty in the course of fulfilling the Participant’s employment duties, (D) a material violation of the Company’s ethics and compliance program or (E) prior to a Change in Control, such other events as shall be determined by the Committee. Notwithstanding the general rule of Section 2(c), following a Change in Control, any determination by the Committee as to whether “Cause” exists shall be subject to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w:t>
      </w:r>
    </w:p>
    <w:p>
      <w:pPr>
        <w:spacing w:after="0" w:line="202" w:lineRule="exact"/>
        <w:rPr>
          <w:sz w:val="20"/>
          <w:szCs w:val="20"/>
          <w:color w:val="auto"/>
        </w:rPr>
      </w:pPr>
    </w:p>
    <w:p>
      <w:pPr>
        <w:ind w:left="980" w:hanging="341"/>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11(e).</w:t>
      </w:r>
    </w:p>
    <w:p>
      <w:pPr>
        <w:spacing w:after="0" w:line="254" w:lineRule="exact"/>
        <w:rPr>
          <w:rFonts w:ascii="Arial" w:cs="Arial" w:eastAsia="Arial" w:hAnsi="Arial"/>
          <w:sz w:val="18"/>
          <w:szCs w:val="18"/>
          <w:color w:val="auto"/>
        </w:rPr>
      </w:pPr>
    </w:p>
    <w:p>
      <w:pPr>
        <w:jc w:val="both"/>
        <w:ind w:firstLine="639"/>
        <w:spacing w:after="0" w:line="326" w:lineRule="auto"/>
        <w:tabs>
          <w:tab w:leader="none" w:pos="11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3" w:lineRule="exact"/>
        <w:rPr>
          <w:rFonts w:ascii="Arial" w:cs="Arial" w:eastAsia="Arial" w:hAnsi="Arial"/>
          <w:sz w:val="16"/>
          <w:szCs w:val="16"/>
          <w:color w:val="auto"/>
        </w:rPr>
      </w:pPr>
    </w:p>
    <w:p>
      <w:pPr>
        <w:ind w:left="980" w:hanging="341"/>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 or any successor agency.</w:t>
      </w:r>
    </w:p>
    <w:p>
      <w:pPr>
        <w:sectPr>
          <w:pgSz w:w="11900" w:h="16838" w:orient="portrait"/>
          <w:cols w:equalWidth="0" w:num="1">
            <w:col w:w="11240"/>
          </w:cols>
          <w:pgMar w:left="320" w:top="345" w:right="339" w:bottom="1440" w:gutter="0" w:footer="0" w:header="0"/>
        </w:sectPr>
      </w:pPr>
    </w:p>
    <w:bookmarkStart w:id="59" w:name="page60"/>
    <w:bookmarkEnd w:id="59"/>
    <w:p>
      <w:pPr>
        <w:ind w:left="1060" w:hanging="42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referred to in Section 2.</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common stock, no par value per share, of the Company.</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NMI Holdings, Inc., a Delaware corporation, or its successor.</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has the meaning set forth in Section 3(d).</w:t>
      </w:r>
    </w:p>
    <w:p>
      <w:pPr>
        <w:spacing w:after="0" w:line="254" w:lineRule="exact"/>
        <w:rPr>
          <w:rFonts w:ascii="Arial" w:cs="Arial" w:eastAsia="Arial" w:hAnsi="Arial"/>
          <w:sz w:val="18"/>
          <w:szCs w:val="18"/>
          <w:color w:val="auto"/>
        </w:rPr>
      </w:pPr>
    </w:p>
    <w:p>
      <w:pPr>
        <w:jc w:val="both"/>
        <w:ind w:firstLine="639"/>
        <w:spacing w:after="0" w:line="305" w:lineRule="auto"/>
        <w:tabs>
          <w:tab w:leader="none" w:pos="10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unless otherwise provided in an Award Agreement, the Company or an Affiliate having cause to terminate a Participant’s employment or service on account of “disability,” as defined in any existing Individual Agreement, or, in the absence of such an Individual Agreement or if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or, as determined by the Committee, based upon medical evidence acceptable to it. Notwithstanding the above,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(ii) the Participant’s “separation from service” within the meaning of Section 409A of the Code and (iii) the date such Award would otherwise be settled pursuant to the terms of the Award Agreement.</w:t>
      </w:r>
    </w:p>
    <w:p>
      <w:pPr>
        <w:spacing w:after="0" w:line="190" w:lineRule="exact"/>
        <w:rPr>
          <w:rFonts w:ascii="Arial" w:cs="Arial" w:eastAsia="Arial" w:hAnsi="Arial"/>
          <w:sz w:val="16"/>
          <w:szCs w:val="16"/>
          <w:color w:val="auto"/>
        </w:rPr>
      </w:pPr>
    </w:p>
    <w:p>
      <w:pPr>
        <w:ind w:firstLine="639"/>
        <w:spacing w:after="0" w:line="342" w:lineRule="auto"/>
        <w:tabs>
          <w:tab w:leader="none" w:pos="9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Disaffiliation</w:t>
      </w:r>
      <w:r>
        <w:rPr>
          <w:rFonts w:ascii="Arial" w:cs="Arial" w:eastAsia="Arial" w:hAnsi="Arial"/>
          <w:sz w:val="16"/>
          <w:szCs w:val="16"/>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74"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13(a).</w:t>
      </w:r>
    </w:p>
    <w:p>
      <w:pPr>
        <w:spacing w:after="0" w:line="254" w:lineRule="exact"/>
        <w:rPr>
          <w:rFonts w:ascii="Arial" w:cs="Arial" w:eastAsia="Arial" w:hAnsi="Arial"/>
          <w:sz w:val="18"/>
          <w:szCs w:val="18"/>
          <w:color w:val="auto"/>
        </w:rPr>
      </w:pPr>
    </w:p>
    <w:p>
      <w:pPr>
        <w:jc w:val="both"/>
        <w:ind w:firstLine="639"/>
        <w:spacing w:after="0" w:line="32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Individuals</w:t>
      </w:r>
      <w:r>
        <w:rPr>
          <w:rFonts w:ascii="Arial" w:cs="Arial" w:eastAsia="Arial" w:hAnsi="Arial"/>
          <w:sz w:val="16"/>
          <w:szCs w:val="16"/>
          <w:color w:val="auto"/>
        </w:rPr>
        <w:t>” means any director, officer, employee or consultant of the Company or any of its Subsidiaries or Affiliates, or any prospective employee and consultant who has accepted an offer of employment or consultancy from the Company or its Subsidiaries or Affiliates, who are or will be responsible for, or contribute to, the management, growth or profitability of the business of the Company or its Subsidiaries or Affiliates.</w:t>
      </w:r>
    </w:p>
    <w:p>
      <w:pPr>
        <w:spacing w:after="0" w:line="173" w:lineRule="exact"/>
        <w:rPr>
          <w:rFonts w:ascii="Arial" w:cs="Arial" w:eastAsia="Arial" w:hAnsi="Arial"/>
          <w:sz w:val="16"/>
          <w:szCs w:val="16"/>
          <w:color w:val="auto"/>
        </w:rPr>
      </w:pPr>
    </w:p>
    <w:p>
      <w:pPr>
        <w:ind w:left="1020" w:hanging="381"/>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successor thereto.</w:t>
      </w:r>
    </w:p>
    <w:p>
      <w:pPr>
        <w:spacing w:after="0" w:line="268" w:lineRule="exact"/>
        <w:rPr>
          <w:sz w:val="20"/>
          <w:szCs w:val="20"/>
          <w:color w:val="auto"/>
        </w:rPr>
      </w:pPr>
    </w:p>
    <w:p>
      <w:pPr>
        <w:jc w:val="both"/>
        <w:ind w:firstLine="639"/>
        <w:spacing w:after="0" w:line="309" w:lineRule="auto"/>
        <w:tabs>
          <w:tab w:leader="none" w:pos="1027"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187" w:lineRule="exact"/>
        <w:rPr>
          <w:rFonts w:ascii="Arial" w:cs="Arial" w:eastAsia="Arial" w:hAnsi="Arial"/>
          <w:sz w:val="16"/>
          <w:szCs w:val="16"/>
          <w:color w:val="auto"/>
        </w:rPr>
      </w:pPr>
    </w:p>
    <w:p>
      <w:pPr>
        <w:ind w:left="1060" w:hanging="42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Free-Standing SAR</w:t>
      </w:r>
      <w:r>
        <w:rPr>
          <w:rFonts w:ascii="Arial" w:cs="Arial" w:eastAsia="Arial" w:hAnsi="Arial"/>
          <w:sz w:val="18"/>
          <w:szCs w:val="18"/>
          <w:color w:val="auto"/>
        </w:rPr>
        <w:t>” has the meaning set forth in Section 5(b).</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Full-Value Award</w:t>
      </w:r>
      <w:r>
        <w:rPr>
          <w:rFonts w:ascii="Arial" w:cs="Arial" w:eastAsia="Arial" w:hAnsi="Arial"/>
          <w:sz w:val="18"/>
          <w:szCs w:val="18"/>
          <w:color w:val="auto"/>
        </w:rPr>
        <w:t>” means any Award other than a Cash-Based Award, Stock Option or Stock Appreciation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55" w:lineRule="exact"/>
        <w:rPr>
          <w:sz w:val="20"/>
          <w:szCs w:val="20"/>
          <w:color w:val="auto"/>
        </w:rPr>
      </w:pPr>
    </w:p>
    <w:p>
      <w:pPr>
        <w:jc w:val="both"/>
        <w:ind w:firstLine="639"/>
        <w:spacing w:after="0" w:line="276" w:lineRule="auto"/>
        <w:tabs>
          <w:tab w:leader="none" w:pos="11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(i) the date on which the Committee by resolution selects an Eligible Individual to receive a grant of an Award and determines the number of Shares, or the formula for earning a number of Shares, to be subject to such Award or the cash amount subject to such Award, or (ii) such later date as the Committee shall provide in such resolution.</w:t>
      </w:r>
    </w:p>
    <w:p>
      <w:pPr>
        <w:sectPr>
          <w:pgSz w:w="11900" w:h="16838" w:orient="portrait"/>
          <w:cols w:equalWidth="0" w:num="1">
            <w:col w:w="11240"/>
          </w:cols>
          <w:pgMar w:left="320" w:top="140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39"/>
        <w:spacing w:after="0" w:line="278" w:lineRule="auto"/>
        <w:tabs>
          <w:tab w:leader="none" w:pos="10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Stock Option designated in the applicable Award Agreement as an “incentive stock option” within the meaning of Section 422 of the Code, and that in fact so qualifies.</w:t>
      </w:r>
    </w:p>
    <w:p>
      <w:pPr>
        <w:spacing w:after="0" w:line="206" w:lineRule="exact"/>
        <w:rPr>
          <w:sz w:val="20"/>
          <w:szCs w:val="20"/>
          <w:color w:val="auto"/>
        </w:rPr>
      </w:pPr>
    </w:p>
    <w:p>
      <w:pPr>
        <w:ind w:left="1080" w:hanging="441"/>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set forth in Section 11(e)(ii).</w:t>
      </w:r>
    </w:p>
    <w:p>
      <w:pPr>
        <w:spacing w:after="0" w:line="267" w:lineRule="exact"/>
        <w:rPr>
          <w:rFonts w:ascii="Arial" w:cs="Arial" w:eastAsia="Arial" w:hAnsi="Arial"/>
          <w:sz w:val="18"/>
          <w:szCs w:val="18"/>
          <w:color w:val="auto"/>
        </w:rPr>
      </w:pPr>
    </w:p>
    <w:p>
      <w:pPr>
        <w:ind w:left="1100" w:hanging="461"/>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Individual Agreement</w:t>
      </w:r>
      <w:r>
        <w:rPr>
          <w:rFonts w:ascii="Arial" w:cs="Arial" w:eastAsia="Arial" w:hAnsi="Arial"/>
          <w:sz w:val="18"/>
          <w:szCs w:val="18"/>
          <w:color w:val="auto"/>
        </w:rPr>
        <w:t>” means an employment, consulting or similar agreement between a Participant and the</w:t>
      </w:r>
    </w:p>
    <w:p>
      <w:pPr>
        <w:spacing w:after="0" w:line="17"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Company or one of its Subsidiaries or Affiliates, and, after a Change in Control, a change in control or salary continuation agreement between a Participant and the Company or one of its Subsidiaries or Affiliates. If a Participant is party to both an employment agreement and a change in control or salary continuation agreement, the employment agreement shall be the relevant “Individual Agreement” prior to a Change in Control, and the change in control or salary continuation agreement shall be the relevant “Individual Agreement” after a Change in Control.</w:t>
      </w:r>
    </w:p>
    <w:p>
      <w:pPr>
        <w:spacing w:after="0" w:line="182" w:lineRule="exact"/>
        <w:rPr>
          <w:sz w:val="20"/>
          <w:szCs w:val="20"/>
          <w:color w:val="auto"/>
        </w:rPr>
      </w:pPr>
    </w:p>
    <w:p>
      <w:pPr>
        <w:ind w:left="1080" w:hanging="441"/>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67" w:lineRule="exact"/>
        <w:rPr>
          <w:rFonts w:ascii="Arial" w:cs="Arial" w:eastAsia="Arial" w:hAnsi="Arial"/>
          <w:sz w:val="18"/>
          <w:szCs w:val="18"/>
          <w:color w:val="auto"/>
        </w:rPr>
      </w:pPr>
    </w:p>
    <w:p>
      <w:pPr>
        <w:ind w:firstLine="639"/>
        <w:spacing w:after="0" w:line="342" w:lineRule="auto"/>
        <w:tabs>
          <w:tab w:leader="none" w:pos="11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Stock-Based Award</w:t>
      </w:r>
      <w:r>
        <w:rPr>
          <w:rFonts w:ascii="Arial" w:cs="Arial" w:eastAsia="Arial" w:hAnsi="Arial"/>
          <w:sz w:val="16"/>
          <w:szCs w:val="16"/>
          <w:color w:val="auto"/>
        </w:rPr>
        <w:t>” means Awards of Common Stock and other Awards that are valued in whole or in part by reference to, or are otherwise based upon, Common Stock, including (without limitation) unrestricted stock, dividend equivalents, and convertible debentures.</w:t>
      </w:r>
    </w:p>
    <w:p>
      <w:pPr>
        <w:spacing w:after="0" w:line="161" w:lineRule="exact"/>
        <w:rPr>
          <w:rFonts w:ascii="Arial" w:cs="Arial" w:eastAsia="Arial" w:hAnsi="Arial"/>
          <w:sz w:val="16"/>
          <w:szCs w:val="16"/>
          <w:color w:val="auto"/>
        </w:rPr>
      </w:pPr>
    </w:p>
    <w:p>
      <w:pPr>
        <w:ind w:left="1080" w:hanging="441"/>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Common Stock</w:t>
      </w:r>
      <w:r>
        <w:rPr>
          <w:rFonts w:ascii="Arial" w:cs="Arial" w:eastAsia="Arial" w:hAnsi="Arial"/>
          <w:sz w:val="18"/>
          <w:szCs w:val="18"/>
          <w:color w:val="auto"/>
        </w:rPr>
        <w:t>” has the meaning set forth in Section 11(e)(i).</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set forth in Section 11(e)(i).</w:t>
      </w:r>
    </w:p>
    <w:p>
      <w:pPr>
        <w:spacing w:after="0" w:line="254" w:lineRule="exact"/>
        <w:rPr>
          <w:rFonts w:ascii="Arial" w:cs="Arial" w:eastAsia="Arial" w:hAnsi="Arial"/>
          <w:sz w:val="18"/>
          <w:szCs w:val="18"/>
          <w:i w:val="1"/>
          <w:iCs w:val="1"/>
          <w:color w:val="auto"/>
        </w:rPr>
      </w:pPr>
    </w:p>
    <w:p>
      <w:pPr>
        <w:ind w:left="1100" w:hanging="461"/>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Individual to whom an Award is or has been granted.</w:t>
      </w:r>
    </w:p>
    <w:p>
      <w:pPr>
        <w:spacing w:after="0" w:line="254" w:lineRule="exact"/>
        <w:rPr>
          <w:rFonts w:ascii="Arial" w:cs="Arial" w:eastAsia="Arial" w:hAnsi="Arial"/>
          <w:sz w:val="18"/>
          <w:szCs w:val="18"/>
          <w:color w:val="auto"/>
        </w:rPr>
      </w:pPr>
    </w:p>
    <w:p>
      <w:pPr>
        <w:jc w:val="both"/>
        <w:ind w:firstLine="639"/>
        <w:spacing w:after="0" w:line="303" w:lineRule="auto"/>
        <w:tabs>
          <w:tab w:leader="none" w:pos="1102"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Goals</w:t>
      </w:r>
      <w:r>
        <w:rPr>
          <w:rFonts w:ascii="Arial" w:cs="Arial" w:eastAsia="Arial" w:hAnsi="Arial"/>
          <w:sz w:val="16"/>
          <w:szCs w:val="16"/>
          <w:color w:val="auto"/>
        </w:rPr>
        <w:t>” means the performance goals established by the Committee in connection with the grant of an Award. Such goals shall be based on the attainment of specified levels of one or more of the following measures: new insurance written (“NIW”) volume, insurance in force levels (“IIF”), policies in force, market share, premiums written, premiums earned, investment income, total operating revenue (excluding net realized investment gains (losses) and gain (loss) from change in fair value of warrant liability), total underwriting expense, total incurred or paid losses, loss ratio, expense ratio, combined ratio, cost/expense management, net income (loss) (including earnings before tax, earnings before interest and tax and earnings before interest, tax, depreciation and amortization), operating earnings (loss) (excluding net realized investment gains (losses) and gain (loss) from change in fair value of warrant liability), return on equity or assets, book value, book value including net operating loss (“NOL”) carry forward, return on investment portfolio (absolute and relative to a benchmark), cash flow (excluding net realized investment gains (losses) and gain (loss) from change in fair value of warrant liability), capital management/liquidity, average premium (“BPS”) of portfolio, earned premium yield of portfolio, average FICO score of portfolio, average LTV of portfolio, delinquency rate of portfolio, objective customer service measures or indices, employee management, common stock share price, and total return to shareholders, in each case with respect to the Company or any one or more Subsidiaries, divisions, business units or business segments thereof, either in absolute terms or relative to the performance of one or more other companies (including an index covering multiple companies).</w:t>
      </w:r>
    </w:p>
    <w:p>
      <w:pPr>
        <w:spacing w:after="0" w:line="193" w:lineRule="exact"/>
        <w:rPr>
          <w:rFonts w:ascii="Arial" w:cs="Arial" w:eastAsia="Arial" w:hAnsi="Arial"/>
          <w:sz w:val="16"/>
          <w:szCs w:val="16"/>
          <w:color w:val="auto"/>
        </w:rPr>
      </w:pPr>
    </w:p>
    <w:p>
      <w:pPr>
        <w:ind w:firstLine="639"/>
        <w:spacing w:after="0" w:line="360" w:lineRule="auto"/>
        <w:tabs>
          <w:tab w:leader="none" w:pos="10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means that period established by the Committee at the time any Performance Unit or Cash-Based Award is granted or at any time thereafter during which any Performance Goals specified by the Committee with respect to such Award are to be measured.</w:t>
      </w:r>
    </w:p>
    <w:p>
      <w:pPr>
        <w:spacing w:after="0" w:line="147" w:lineRule="exact"/>
        <w:rPr>
          <w:rFonts w:ascii="Arial" w:cs="Arial" w:eastAsia="Arial" w:hAnsi="Arial"/>
          <w:sz w:val="16"/>
          <w:szCs w:val="16"/>
          <w:color w:val="auto"/>
        </w:rPr>
      </w:pPr>
    </w:p>
    <w:p>
      <w:pPr>
        <w:jc w:val="both"/>
        <w:ind w:firstLine="639"/>
        <w:spacing w:after="0" w:line="271" w:lineRule="auto"/>
        <w:tabs>
          <w:tab w:leader="none" w:pos="10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means any Award granted under Section 8 of a unit valued by reference to a designated amount of cash or other property other than Shares, which value may be paid to the Participant by delivery of such property as the Committee shall determine, including, without limitation, cash, Shares, or any combination thereof, upon achievement of such Performance Goals during the Performance Period as the Committee shall establish at the time of such grant or thereafter.</w:t>
      </w:r>
    </w:p>
    <w:p>
      <w:pPr>
        <w:spacing w:after="0" w:line="212" w:lineRule="exact"/>
        <w:rPr>
          <w:rFonts w:ascii="Arial" w:cs="Arial" w:eastAsia="Arial" w:hAnsi="Arial"/>
          <w:sz w:val="18"/>
          <w:szCs w:val="18"/>
          <w:color w:val="auto"/>
        </w:rPr>
      </w:pPr>
    </w:p>
    <w:p>
      <w:pPr>
        <w:ind w:left="1100" w:hanging="461"/>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Section 11(e)(i).</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NMI Holdings, Inc. Amended and Restated 2014 Omnibus Incentive Plan, as set forth</w:t>
      </w:r>
    </w:p>
    <w:p>
      <w:pPr>
        <w:sectPr>
          <w:pgSz w:w="11900" w:h="16838" w:orient="portrait"/>
          <w:cols w:equalWidth="0" w:num="1">
            <w:col w:w="11240"/>
          </w:cols>
          <w:pgMar w:left="320" w:top="34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herein and as hereinafter amended from time to time.</w:t>
      </w:r>
    </w:p>
    <w:p>
      <w:pPr>
        <w:spacing w:after="0" w:line="255" w:lineRule="exact"/>
        <w:rPr>
          <w:sz w:val="20"/>
          <w:szCs w:val="20"/>
          <w:color w:val="auto"/>
        </w:rPr>
      </w:pPr>
    </w:p>
    <w:p>
      <w:pPr>
        <w:ind w:left="1200" w:hanging="561"/>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Replaced Award</w:t>
      </w:r>
      <w:r>
        <w:rPr>
          <w:rFonts w:ascii="Arial" w:cs="Arial" w:eastAsia="Arial" w:hAnsi="Arial"/>
          <w:sz w:val="18"/>
          <w:szCs w:val="18"/>
          <w:color w:val="auto"/>
        </w:rPr>
        <w:t>” has the meaning set forth in Section 11(b)</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Award</w:t>
      </w:r>
      <w:r>
        <w:rPr>
          <w:rFonts w:ascii="Arial" w:cs="Arial" w:eastAsia="Arial" w:hAnsi="Arial"/>
          <w:sz w:val="18"/>
          <w:szCs w:val="18"/>
          <w:color w:val="auto"/>
        </w:rPr>
        <w:t>” has the meaning set forth in Section 11(b).</w:t>
      </w:r>
    </w:p>
    <w:p>
      <w:pPr>
        <w:spacing w:after="0" w:line="267" w:lineRule="exact"/>
        <w:rPr>
          <w:rFonts w:ascii="Arial" w:cs="Arial" w:eastAsia="Arial" w:hAnsi="Arial"/>
          <w:sz w:val="18"/>
          <w:szCs w:val="18"/>
          <w:color w:val="auto"/>
        </w:rPr>
      </w:pPr>
    </w:p>
    <w:p>
      <w:pPr>
        <w:ind w:left="1100" w:hanging="46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 has the meaning set forth in Section 13(a).</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granted under Section 6.</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has the meaning set forth in Section 7(a).</w:t>
      </w:r>
    </w:p>
    <w:p>
      <w:pPr>
        <w:spacing w:after="0" w:line="267" w:lineRule="exact"/>
        <w:rPr>
          <w:rFonts w:ascii="Arial" w:cs="Arial" w:eastAsia="Arial" w:hAnsi="Arial"/>
          <w:sz w:val="18"/>
          <w:szCs w:val="18"/>
          <w:color w:val="auto"/>
        </w:rPr>
      </w:pPr>
    </w:p>
    <w:p>
      <w:pPr>
        <w:ind w:left="1040" w:hanging="40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has the meaning set forth in Section 6(c)(ii).</w:t>
      </w:r>
    </w:p>
    <w:p>
      <w:pPr>
        <w:spacing w:after="0" w:line="254" w:lineRule="exact"/>
        <w:rPr>
          <w:rFonts w:ascii="Arial" w:cs="Arial" w:eastAsia="Arial" w:hAnsi="Arial"/>
          <w:sz w:val="18"/>
          <w:szCs w:val="18"/>
          <w:color w:val="auto"/>
        </w:rPr>
      </w:pPr>
    </w:p>
    <w:p>
      <w:pPr>
        <w:ind w:left="1060" w:hanging="42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16(b)</w:t>
      </w:r>
      <w:r>
        <w:rPr>
          <w:rFonts w:ascii="Arial" w:cs="Arial" w:eastAsia="Arial" w:hAnsi="Arial"/>
          <w:sz w:val="18"/>
          <w:szCs w:val="18"/>
          <w:color w:val="auto"/>
        </w:rPr>
        <w:t>” has the meaning set forth in Section 12(d).</w:t>
      </w:r>
    </w:p>
    <w:p>
      <w:pPr>
        <w:spacing w:after="0" w:line="254" w:lineRule="exact"/>
        <w:rPr>
          <w:rFonts w:ascii="Arial" w:cs="Arial" w:eastAsia="Arial" w:hAnsi="Arial"/>
          <w:sz w:val="18"/>
          <w:szCs w:val="18"/>
          <w:color w:val="auto"/>
        </w:rPr>
      </w:pPr>
    </w:p>
    <w:p>
      <w:pPr>
        <w:ind w:left="1020" w:hanging="381"/>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Common Stock.</w:t>
      </w:r>
    </w:p>
    <w:p>
      <w:pPr>
        <w:spacing w:after="0" w:line="267" w:lineRule="exact"/>
        <w:rPr>
          <w:rFonts w:ascii="Arial" w:cs="Arial" w:eastAsia="Arial" w:hAnsi="Arial"/>
          <w:sz w:val="18"/>
          <w:szCs w:val="18"/>
          <w:color w:val="auto"/>
        </w:rPr>
      </w:pPr>
    </w:p>
    <w:p>
      <w:pPr>
        <w:ind w:left="1100" w:hanging="46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an Award granted under Section 5(b) or 5(c).</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an Award granted under Section 5(a).</w:t>
      </w:r>
    </w:p>
    <w:p>
      <w:pPr>
        <w:spacing w:after="0" w:line="17" w:lineRule="exact"/>
        <w:rPr>
          <w:rFonts w:ascii="Arial" w:cs="Arial" w:eastAsia="Arial" w:hAnsi="Arial"/>
          <w:sz w:val="18"/>
          <w:szCs w:val="18"/>
          <w:color w:val="auto"/>
        </w:rPr>
      </w:pPr>
    </w:p>
    <w:p>
      <w:pPr>
        <w:ind w:left="1180" w:hanging="541"/>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partnership, joint venture, limited liability company or other entity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during any period in which at least a 50% voting or profits interest is owned, directly or indirectly, by the Company or any successor to the Company.</w:t>
      </w:r>
    </w:p>
    <w:p>
      <w:pPr>
        <w:spacing w:after="0" w:line="278" w:lineRule="exact"/>
        <w:rPr>
          <w:sz w:val="20"/>
          <w:szCs w:val="20"/>
          <w:color w:val="auto"/>
        </w:rPr>
      </w:pPr>
    </w:p>
    <w:p>
      <w:pPr>
        <w:ind w:left="1100" w:hanging="461"/>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Tandem SAR</w:t>
      </w:r>
      <w:r>
        <w:rPr>
          <w:rFonts w:ascii="Arial" w:cs="Arial" w:eastAsia="Arial" w:hAnsi="Arial"/>
          <w:sz w:val="18"/>
          <w:szCs w:val="18"/>
          <w:color w:val="auto"/>
        </w:rPr>
        <w:t>” has the meaning set forth in Section 5(b).</w:t>
      </w:r>
    </w:p>
    <w:p>
      <w:pPr>
        <w:spacing w:after="0" w:line="254" w:lineRule="exact"/>
        <w:rPr>
          <w:rFonts w:ascii="Arial" w:cs="Arial" w:eastAsia="Arial" w:hAnsi="Arial"/>
          <w:sz w:val="18"/>
          <w:szCs w:val="18"/>
          <w:color w:val="auto"/>
        </w:rPr>
      </w:pPr>
    </w:p>
    <w:p>
      <w:pPr>
        <w:ind w:left="1100" w:hanging="461"/>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means the maximum period during which a Stock Option or Stock Appreciation Right may remain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outstanding, subject to earlier termination upon Termination of Employment or otherwise, as specified in the applicable Award Agreement.</w:t>
      </w:r>
    </w:p>
    <w:p>
      <w:pPr>
        <w:spacing w:after="0" w:line="25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(zz)</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means the termination of the applicable Participant’s employment with, or</w:t>
      </w:r>
    </w:p>
    <w:p>
      <w:pPr>
        <w:spacing w:after="0" w:line="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performance of services for, the Company and any of its Subsidiaries or Affiliates. Unless otherwise determined by the Committee, (i) if a Participant’s employment with the Company and its Affiliates terminates but such Participant continues to provide services to the Company and its Affiliates in a non-employee capacity, such change in status shall not be deemed a Termination of Employment and (ii) a Participant employed by, or performing services for, a Subsidiary or an Affiliate or a division of the Company and its Affiliates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provisions of this definition, with respect to any Award that constitutes a “non-qualified deferred compensation plan” within the meaning of Section 409A of the Code, a Participant shall not be considered to have experienced a “Termination of Employment” unless the Participant has experienced a “separation from service” within the meaning of Section 409A of the Code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certain other terms used herein have definitions given to them in the first place in which they are used.</w:t>
      </w:r>
    </w:p>
    <w:p>
      <w:pPr>
        <w:spacing w:after="0" w:line="24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61" w:lineRule="exact"/>
        <w:rPr>
          <w:sz w:val="20"/>
          <w:szCs w:val="20"/>
          <w:color w:val="auto"/>
        </w:rPr>
      </w:pPr>
    </w:p>
    <w:p>
      <w:pPr>
        <w:ind w:firstLine="639"/>
        <w:spacing w:after="0" w:line="293" w:lineRule="auto"/>
        <w:tabs>
          <w:tab w:leader="none" w:pos="1132"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Board directly, or if the Board elects, by the Compensation Committee or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 as the Board may from time to time designate, which committee shall be</w:t>
      </w:r>
    </w:p>
    <w:p>
      <w:pPr>
        <w:sectPr>
          <w:pgSz w:w="11900" w:h="16838" w:orient="portrait"/>
          <w:cols w:equalWidth="0" w:num="1">
            <w:col w:w="11240"/>
          </w:cols>
          <w:pgMar w:left="320" w:top="116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Subject to the terms and conditions of this Plan, the Committee shall have absolute authority:</w:t>
      </w:r>
    </w:p>
    <w:p>
      <w:pPr>
        <w:spacing w:after="0" w:line="268" w:lineRule="exact"/>
        <w:rPr>
          <w:sz w:val="20"/>
          <w:szCs w:val="20"/>
          <w:color w:val="auto"/>
        </w:rPr>
      </w:pPr>
    </w:p>
    <w:p>
      <w:pPr>
        <w:ind w:left="1620" w:hanging="348"/>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select the Eligible Individuals to whom Awards may from time to time be granted;</w:t>
      </w:r>
    </w:p>
    <w:p>
      <w:pPr>
        <w:spacing w:after="0" w:line="254" w:lineRule="exact"/>
        <w:rPr>
          <w:rFonts w:ascii="Arial" w:cs="Arial" w:eastAsia="Arial" w:hAnsi="Arial"/>
          <w:sz w:val="18"/>
          <w:szCs w:val="18"/>
          <w:color w:val="auto"/>
        </w:rPr>
      </w:pPr>
    </w:p>
    <w:p>
      <w:pPr>
        <w:jc w:val="both"/>
        <w:ind w:left="1280" w:hanging="8"/>
        <w:spacing w:after="0" w:line="276" w:lineRule="auto"/>
        <w:tabs>
          <w:tab w:leader="none" w:pos="16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determine whether and to what extent Incentive Stock Options, Nonqualified Stock Options, Stock Appreciation Rights, Restricted Stock, Restricted Stock Units, Performance Units, Other Stock-Based Awards, Cash-Based Awards or any combination thereof are to be granted hereunder;</w:t>
      </w:r>
    </w:p>
    <w:p>
      <w:pPr>
        <w:spacing w:after="0" w:line="209" w:lineRule="exact"/>
        <w:rPr>
          <w:rFonts w:ascii="Arial" w:cs="Arial" w:eastAsia="Arial" w:hAnsi="Arial"/>
          <w:sz w:val="18"/>
          <w:szCs w:val="18"/>
          <w:color w:val="auto"/>
        </w:rPr>
      </w:pPr>
    </w:p>
    <w:p>
      <w:pPr>
        <w:ind w:left="1700" w:hanging="428"/>
        <w:spacing w:after="0"/>
        <w:tabs>
          <w:tab w:leader="none" w:pos="1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54" w:lineRule="exact"/>
        <w:rPr>
          <w:rFonts w:ascii="Arial" w:cs="Arial" w:eastAsia="Arial" w:hAnsi="Arial"/>
          <w:sz w:val="18"/>
          <w:szCs w:val="18"/>
          <w:color w:val="auto"/>
        </w:rPr>
      </w:pPr>
    </w:p>
    <w:p>
      <w:pPr>
        <w:jc w:val="both"/>
        <w:ind w:left="1280" w:hanging="8"/>
        <w:spacing w:after="0" w:line="315" w:lineRule="auto"/>
        <w:tabs>
          <w:tab w:leader="none" w:pos="1724"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any vesting acceleration or forfeiture waiver regarding any Award and the shares of Common Stock relating thereto, based on such factors as the Committee shall determine;</w:t>
      </w:r>
    </w:p>
    <w:p>
      <w:pPr>
        <w:spacing w:after="0" w:line="194" w:lineRule="exact"/>
        <w:rPr>
          <w:rFonts w:ascii="Arial" w:cs="Arial" w:eastAsia="Arial" w:hAnsi="Arial"/>
          <w:sz w:val="16"/>
          <w:szCs w:val="16"/>
          <w:color w:val="auto"/>
        </w:rPr>
      </w:pPr>
    </w:p>
    <w:p>
      <w:pPr>
        <w:ind w:left="1280" w:hanging="8"/>
        <w:spacing w:after="0" w:line="278" w:lineRule="auto"/>
        <w:tabs>
          <w:tab w:leader="none" w:pos="171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modify, amend or adjust the terms and conditions of any Award (subject to Sections 5(d) and 13(d)), at any time or from time to time, including, but not limited to, Performance Goals;</w:t>
      </w:r>
    </w:p>
    <w:p>
      <w:pPr>
        <w:spacing w:after="0" w:line="206" w:lineRule="exact"/>
        <w:rPr>
          <w:rFonts w:ascii="Arial" w:cs="Arial" w:eastAsia="Arial" w:hAnsi="Arial"/>
          <w:sz w:val="18"/>
          <w:szCs w:val="18"/>
          <w:color w:val="auto"/>
        </w:rPr>
      </w:pPr>
    </w:p>
    <w:p>
      <w:pPr>
        <w:ind w:left="1280" w:hanging="8"/>
        <w:spacing w:after="0" w:line="293" w:lineRule="auto"/>
        <w:tabs>
          <w:tab w:leader="none" w:pos="173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determine to what extent and under what circumstances Common Stock and other amounts payable with respect to an Award shall be deferred;</w:t>
      </w:r>
    </w:p>
    <w:p>
      <w:pPr>
        <w:spacing w:after="0" w:line="193" w:lineRule="exact"/>
        <w:rPr>
          <w:rFonts w:ascii="Arial" w:cs="Arial" w:eastAsia="Arial" w:hAnsi="Arial"/>
          <w:sz w:val="18"/>
          <w:szCs w:val="18"/>
          <w:color w:val="auto"/>
        </w:rPr>
      </w:pPr>
    </w:p>
    <w:p>
      <w:pPr>
        <w:ind w:left="1740" w:hanging="468"/>
        <w:spacing w:after="0"/>
        <w:tabs>
          <w:tab w:leader="none" w:pos="17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determine under what circumstances an Award may be settled in cash, Shares, other property or a combination of the foregoing;</w:t>
      </w:r>
    </w:p>
    <w:p>
      <w:pPr>
        <w:spacing w:after="0" w:line="277" w:lineRule="exact"/>
        <w:rPr>
          <w:rFonts w:ascii="Arial" w:cs="Arial" w:eastAsia="Arial" w:hAnsi="Arial"/>
          <w:sz w:val="16"/>
          <w:szCs w:val="16"/>
          <w:color w:val="auto"/>
        </w:rPr>
      </w:pPr>
    </w:p>
    <w:p>
      <w:pPr>
        <w:ind w:left="1280" w:right="20" w:hanging="8"/>
        <w:spacing w:after="0" w:line="360" w:lineRule="auto"/>
        <w:tabs>
          <w:tab w:leader="none" w:pos="182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47" w:lineRule="exact"/>
        <w:rPr>
          <w:rFonts w:ascii="Arial" w:cs="Arial" w:eastAsia="Arial" w:hAnsi="Arial"/>
          <w:sz w:val="16"/>
          <w:szCs w:val="16"/>
          <w:color w:val="auto"/>
        </w:rPr>
      </w:pPr>
    </w:p>
    <w:p>
      <w:pPr>
        <w:ind w:left="1280" w:hanging="8"/>
        <w:spacing w:after="0" w:line="278" w:lineRule="auto"/>
        <w:tabs>
          <w:tab w:leader="none" w:pos="176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adopt, alter and repeal such administrative rules, guidelines and practices governing this Plan as it shall from time to time deem advisable;</w:t>
      </w:r>
    </w:p>
    <w:p>
      <w:pPr>
        <w:spacing w:after="0" w:line="219" w:lineRule="exact"/>
        <w:rPr>
          <w:rFonts w:ascii="Arial" w:cs="Arial" w:eastAsia="Arial" w:hAnsi="Arial"/>
          <w:sz w:val="18"/>
          <w:szCs w:val="18"/>
          <w:color w:val="auto"/>
        </w:rPr>
      </w:pPr>
    </w:p>
    <w:p>
      <w:pPr>
        <w:jc w:val="both"/>
        <w:ind w:left="1280" w:hanging="8"/>
        <w:spacing w:after="0" w:line="269" w:lineRule="auto"/>
        <w:tabs>
          <w:tab w:leader="none" w:pos="170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establish any “blackout” period that the Committee in its sole discretion deems necessary or advisable, but in no event shall such blackout period conflict with or be more permissive than the blackout period determined under the Company’s Insider Trading Policy as may be in effect from time to time;</w:t>
      </w:r>
    </w:p>
    <w:p>
      <w:pPr>
        <w:spacing w:after="0" w:line="227" w:lineRule="exact"/>
        <w:rPr>
          <w:rFonts w:ascii="Arial" w:cs="Arial" w:eastAsia="Arial" w:hAnsi="Arial"/>
          <w:sz w:val="18"/>
          <w:szCs w:val="18"/>
          <w:color w:val="auto"/>
        </w:rPr>
      </w:pPr>
    </w:p>
    <w:p>
      <w:pPr>
        <w:ind w:left="1700" w:hanging="428"/>
        <w:spacing w:after="0"/>
        <w:tabs>
          <w:tab w:leader="none" w:pos="17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interpret the terms and provisions of this Plan and any Award issued under this Plan (and any Award Agreement relating thereto);</w:t>
      </w:r>
    </w:p>
    <w:p>
      <w:pPr>
        <w:spacing w:after="0" w:line="277" w:lineRule="exact"/>
        <w:rPr>
          <w:rFonts w:ascii="Arial" w:cs="Arial" w:eastAsia="Arial" w:hAnsi="Arial"/>
          <w:sz w:val="16"/>
          <w:szCs w:val="16"/>
          <w:color w:val="auto"/>
        </w:rPr>
      </w:pPr>
    </w:p>
    <w:p>
      <w:pPr>
        <w:ind w:left="1740" w:hanging="468"/>
        <w:spacing w:after="0"/>
        <w:tabs>
          <w:tab w:leader="none" w:pos="17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decide all other matters that must be determined in connection with an Award; and</w:t>
      </w:r>
    </w:p>
    <w:p>
      <w:pPr>
        <w:spacing w:after="0" w:line="254" w:lineRule="exact"/>
        <w:rPr>
          <w:rFonts w:ascii="Arial" w:cs="Arial" w:eastAsia="Arial" w:hAnsi="Arial"/>
          <w:sz w:val="18"/>
          <w:szCs w:val="18"/>
          <w:color w:val="auto"/>
        </w:rPr>
      </w:pPr>
    </w:p>
    <w:p>
      <w:pPr>
        <w:ind w:left="1800" w:hanging="528"/>
        <w:spacing w:after="0"/>
        <w:tabs>
          <w:tab w:leader="none" w:pos="1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otherwise administer this Plan.</w:t>
      </w:r>
    </w:p>
    <w:p>
      <w:pPr>
        <w:spacing w:after="0" w:line="267" w:lineRule="exact"/>
        <w:rPr>
          <w:rFonts w:ascii="Arial" w:cs="Arial" w:eastAsia="Arial" w:hAnsi="Arial"/>
          <w:sz w:val="18"/>
          <w:szCs w:val="18"/>
          <w:color w:val="auto"/>
        </w:rPr>
      </w:pPr>
    </w:p>
    <w:p>
      <w:pPr>
        <w:ind w:left="1020" w:hanging="381"/>
        <w:spacing w:after="0"/>
        <w:tabs>
          <w:tab w:leader="none" w:pos="102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Procedures</w:t>
      </w:r>
      <w:r>
        <w:rPr>
          <w:rFonts w:ascii="Arial" w:cs="Arial" w:eastAsia="Arial" w:hAnsi="Arial"/>
          <w:sz w:val="18"/>
          <w:szCs w:val="18"/>
          <w:color w:val="auto"/>
        </w:rPr>
        <w:t>.</w:t>
      </w:r>
    </w:p>
    <w:p>
      <w:pPr>
        <w:spacing w:after="0" w:line="254" w:lineRule="exact"/>
        <w:rPr>
          <w:rFonts w:ascii="Arial" w:cs="Arial" w:eastAsia="Arial" w:hAnsi="Arial"/>
          <w:sz w:val="18"/>
          <w:szCs w:val="18"/>
          <w:i w:val="1"/>
          <w:iCs w:val="1"/>
          <w:color w:val="auto"/>
        </w:rPr>
      </w:pPr>
    </w:p>
    <w:p>
      <w:pPr>
        <w:jc w:val="both"/>
        <w:ind w:left="1280" w:hanging="8"/>
        <w:spacing w:after="0" w:line="276" w:lineRule="auto"/>
        <w:tabs>
          <w:tab w:leader="none" w:pos="162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w:t>
      </w:r>
    </w:p>
    <w:p>
      <w:pPr>
        <w:sectPr>
          <w:pgSz w:w="11900" w:h="16838" w:orient="portrait"/>
          <w:cols w:equalWidth="0" w:num="1">
            <w:col w:w="11240"/>
          </w:cols>
          <w:pgMar w:left="320" w:top="345" w:right="339" w:bottom="1440" w:gutter="0" w:footer="0" w:header="0"/>
        </w:sectPr>
      </w:pPr>
    </w:p>
    <w:bookmarkStart w:id="63" w:name="page64"/>
    <w:bookmarkEnd w:id="63"/>
    <w:p>
      <w:pPr>
        <w:ind w:left="1280"/>
        <w:spacing w:after="0" w:line="278" w:lineRule="auto"/>
        <w:rPr>
          <w:sz w:val="20"/>
          <w:szCs w:val="20"/>
          <w:color w:val="auto"/>
        </w:rPr>
      </w:pPr>
      <w:r>
        <w:rPr>
          <w:rFonts w:ascii="Arial" w:cs="Arial" w:eastAsia="Arial" w:hAnsi="Arial"/>
          <w:sz w:val="18"/>
          <w:szCs w:val="18"/>
          <w:color w:val="auto"/>
        </w:rPr>
        <w:t>members and may (to the extent permitted by applicable law) delegate all or any part of its responsibilities and powers to any person or persons selected by it. Any such allocation or delegation may be revoked by the Committee at any time.</w:t>
      </w:r>
    </w:p>
    <w:p>
      <w:pPr>
        <w:spacing w:after="0" w:line="206" w:lineRule="exact"/>
        <w:rPr>
          <w:sz w:val="20"/>
          <w:szCs w:val="20"/>
          <w:color w:val="auto"/>
        </w:rPr>
      </w:pPr>
    </w:p>
    <w:p>
      <w:pPr>
        <w:ind w:left="1280" w:hanging="8"/>
        <w:spacing w:after="0" w:line="293" w:lineRule="auto"/>
        <w:tabs>
          <w:tab w:leader="none" w:pos="17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Subject to Section 12(c), any authority granted to the Committee may be exercised by the full Board. To the extent that any permitted action taken by the Board conflicts with action taken by the Committee, the Board action shall control.</w:t>
      </w:r>
    </w:p>
    <w:p>
      <w:pPr>
        <w:spacing w:after="0" w:line="193" w:lineRule="exact"/>
        <w:rPr>
          <w:rFonts w:ascii="Arial" w:cs="Arial" w:eastAsia="Arial" w:hAnsi="Arial"/>
          <w:sz w:val="18"/>
          <w:szCs w:val="18"/>
          <w:color w:val="auto"/>
        </w:rPr>
      </w:pPr>
    </w:p>
    <w:p>
      <w:pPr>
        <w:jc w:val="both"/>
        <w:ind w:firstLine="639"/>
        <w:spacing w:after="0" w:line="315" w:lineRule="auto"/>
        <w:tabs>
          <w:tab w:leader="none" w:pos="1109"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Discretion of Committee</w:t>
      </w:r>
      <w:r>
        <w:rPr>
          <w:rFonts w:ascii="Arial" w:cs="Arial" w:eastAsia="Arial" w:hAnsi="Arial"/>
          <w:sz w:val="16"/>
          <w:szCs w:val="16"/>
          <w:color w:val="auto"/>
        </w:rPr>
        <w:t>. Subject to Section 1(i), any determination made by the Committee or pursuant to delegated authority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181" w:lineRule="exact"/>
        <w:rPr>
          <w:rFonts w:ascii="Arial" w:cs="Arial" w:eastAsia="Arial" w:hAnsi="Arial"/>
          <w:sz w:val="16"/>
          <w:szCs w:val="16"/>
          <w:i w:val="1"/>
          <w:iCs w:val="1"/>
          <w:color w:val="auto"/>
        </w:rPr>
      </w:pPr>
    </w:p>
    <w:p>
      <w:pPr>
        <w:ind w:left="1020" w:hanging="381"/>
        <w:spacing w:after="0"/>
        <w:tabs>
          <w:tab w:leader="none" w:pos="102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or Suspension</w:t>
      </w:r>
      <w:r>
        <w:rPr>
          <w:rFonts w:ascii="Arial" w:cs="Arial" w:eastAsia="Arial" w:hAnsi="Arial"/>
          <w:sz w:val="18"/>
          <w:szCs w:val="18"/>
          <w:color w:val="auto"/>
        </w:rPr>
        <w:t>. Subject to Section 5(d), the Committee shall have full power and authority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determine whether, to what extent and under what circumstances any Award shall be canceled or suspended.</w:t>
      </w:r>
    </w:p>
    <w:p>
      <w:pPr>
        <w:spacing w:after="0" w:line="255" w:lineRule="exact"/>
        <w:rPr>
          <w:sz w:val="20"/>
          <w:szCs w:val="20"/>
          <w:color w:val="auto"/>
        </w:rPr>
      </w:pPr>
    </w:p>
    <w:p>
      <w:pPr>
        <w:jc w:val="both"/>
        <w:ind w:firstLine="639"/>
        <w:spacing w:after="0" w:line="309" w:lineRule="auto"/>
        <w:tabs>
          <w:tab w:leader="none" w:pos="1064"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Award Agreements</w:t>
      </w:r>
      <w:r>
        <w:rPr>
          <w:rFonts w:ascii="Arial" w:cs="Arial" w:eastAsia="Arial" w:hAnsi="Arial"/>
          <w:sz w:val="16"/>
          <w:szCs w:val="16"/>
          <w:color w:val="auto"/>
        </w:rPr>
        <w:t>. The terms and conditions of each Award, as determined by the Committee, shall be set forth in a written (or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Agreement, which shall be delivered to the Participant receiving such Award upon, or as promptly as is reasonably practicable following, the grant of such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terms of a Cash-Based Award may, but are not required to, be set forth in an Award Agreement. The effectiveness of an Award shall be subject to the Award Agreement being signed by the Company and the Participant receiving the Award unless otherwise provided in the Award Agreement. Award Agreements may be amended only in accordance with Section 13(d) hereof.</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Common Stock Subject to Plan</w:t>
      </w:r>
    </w:p>
    <w:p>
      <w:pPr>
        <w:spacing w:after="0" w:line="261" w:lineRule="exact"/>
        <w:rPr>
          <w:sz w:val="20"/>
          <w:szCs w:val="20"/>
          <w:color w:val="auto"/>
        </w:rPr>
      </w:pPr>
    </w:p>
    <w:p>
      <w:pPr>
        <w:jc w:val="both"/>
        <w:ind w:firstLine="639"/>
        <w:spacing w:after="0" w:line="271" w:lineRule="auto"/>
        <w:tabs>
          <w:tab w:leader="none" w:pos="1066"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Plan Maximums</w:t>
      </w:r>
      <w:r>
        <w:rPr>
          <w:rFonts w:ascii="Arial" w:cs="Arial" w:eastAsia="Arial" w:hAnsi="Arial"/>
          <w:sz w:val="18"/>
          <w:szCs w:val="18"/>
          <w:color w:val="auto"/>
        </w:rPr>
        <w:t>. The maximum number of Shares that may be granted pursuant to Awards under this Plan shall be 8,250,000 Shares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includes, for the avoidance of doubt the number of Shares subject to outstanding awards and otherwise available for issuance under the Prior Plan). The maximum number of Shares that may be granted pursuant to Stock Options intended to be Incentive Stock Options shall be 6,000,000 Shares. Shares subject to an Award under this Plan may be authorized and unissued Shares.</w:t>
      </w:r>
    </w:p>
    <w:p>
      <w:pPr>
        <w:spacing w:after="0" w:line="212" w:lineRule="exact"/>
        <w:rPr>
          <w:rFonts w:ascii="Arial" w:cs="Arial" w:eastAsia="Arial" w:hAnsi="Arial"/>
          <w:sz w:val="18"/>
          <w:szCs w:val="18"/>
          <w:i w:val="1"/>
          <w:iCs w:val="1"/>
          <w:color w:val="auto"/>
        </w:rPr>
      </w:pPr>
    </w:p>
    <w:p>
      <w:pPr>
        <w:ind w:left="1020" w:hanging="381"/>
        <w:spacing w:after="0"/>
        <w:tabs>
          <w:tab w:leader="none" w:pos="102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w:t>
      </w:r>
    </w:p>
    <w:p>
      <w:pPr>
        <w:spacing w:after="0" w:line="267" w:lineRule="exact"/>
        <w:rPr>
          <w:rFonts w:ascii="Arial" w:cs="Arial" w:eastAsia="Arial" w:hAnsi="Arial"/>
          <w:sz w:val="18"/>
          <w:szCs w:val="18"/>
          <w:i w:val="1"/>
          <w:iCs w:val="1"/>
          <w:color w:val="auto"/>
        </w:rPr>
      </w:pPr>
    </w:p>
    <w:p>
      <w:pPr>
        <w:jc w:val="both"/>
        <w:ind w:left="1280" w:hanging="8"/>
        <w:spacing w:after="0" w:line="269" w:lineRule="auto"/>
        <w:tabs>
          <w:tab w:leader="none" w:pos="17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Participant may be granted Performance Units (other than Stock Options and Stock Appreciation Rights) covering in excess of 1,000,000 Shares during any calendar year. No Participant may be granted Stock Options and Stock Appreciation Rights covering in excess of 1,000,000 Shares during any calendar year.</w:t>
      </w:r>
    </w:p>
    <w:p>
      <w:pPr>
        <w:spacing w:after="0" w:line="227" w:lineRule="exact"/>
        <w:rPr>
          <w:rFonts w:ascii="Arial" w:cs="Arial" w:eastAsia="Arial" w:hAnsi="Arial"/>
          <w:sz w:val="18"/>
          <w:szCs w:val="18"/>
          <w:color w:val="auto"/>
        </w:rPr>
      </w:pPr>
    </w:p>
    <w:p>
      <w:pPr>
        <w:jc w:val="both"/>
        <w:ind w:left="1280" w:hanging="8"/>
        <w:spacing w:after="0" w:line="266" w:lineRule="auto"/>
        <w:tabs>
          <w:tab w:leader="none" w:pos="168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During any given calendar year, no Participant who is a non-employee member of the Board may be granted Awards (other than Cash-Based Awards) with a value in excess of $600,000 in respect of such Board service. For purposes of this Section 3(b)(ii), the value of an Option or Stock Appreciation right shall be determined in accordance with the Black-Scholes or other pricing model used to determine Option values in the Company’s most recent report on Form 10-K and the value of any Award of Restricted Stock, Restricted Stock Units or Performance Units or Other Stock-Based Awards shall be determined based on the Fair Market Value of the underlying Shares on the grant date of the Award.</w:t>
      </w:r>
    </w:p>
    <w:p>
      <w:pPr>
        <w:spacing w:after="0" w:line="232" w:lineRule="exact"/>
        <w:rPr>
          <w:rFonts w:ascii="Arial" w:cs="Arial" w:eastAsia="Arial" w:hAnsi="Arial"/>
          <w:sz w:val="18"/>
          <w:szCs w:val="18"/>
          <w:color w:val="auto"/>
        </w:rPr>
      </w:pPr>
    </w:p>
    <w:p>
      <w:pPr>
        <w:jc w:val="both"/>
        <w:ind w:firstLine="639"/>
        <w:spacing w:after="0" w:line="315" w:lineRule="auto"/>
        <w:tabs>
          <w:tab w:leader="none" w:pos="101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Rules for Calculating Shares Delivered. </w:t>
      </w:r>
      <w:r>
        <w:rPr>
          <w:rFonts w:ascii="Arial" w:cs="Arial" w:eastAsia="Arial" w:hAnsi="Arial"/>
          <w:sz w:val="16"/>
          <w:szCs w:val="16"/>
          <w:color w:val="auto"/>
        </w:rPr>
        <w:t>To the extent that any Award is forfeited, terminates, expires or lapses instead of being exercised,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settled for cash, the Shares subject to such Awards not delivered as a result thereof shall again be available for Awards under this Plan. If the tax withholding obligations relating to any Award are satisfied by delivering Shares (either actually or through a signed document affirming the Participant’s ownership and delivery of such Shares) or withholding Shares relating to such Award, the net number of Shares subject to the Award after payment of</w:t>
      </w:r>
    </w:p>
    <w:p>
      <w:pPr>
        <w:sectPr>
          <w:pgSz w:w="11900" w:h="16838" w:orient="portrait"/>
          <w:cols w:equalWidth="0" w:num="1">
            <w:col w:w="11240"/>
          </w:cols>
          <w:pgMar w:left="320" w:top="116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tax withholding obligations shall be deemed to have been granted for purposes of the first sentence of Section 3(a), and the number of Shares delivered or withheld to satisfy the tax withholding obligations shall again be available for Awards under the Plan. If any Shares subject to a Stock Option or Stock Appreciation Right are not delivered to a Participant because the Stock Option or Stock Appreciation Right is exercised through a reduction of Shares subject to the Award (i.e., “net exercised”), the number of Shares that are not delivered to the Participant shall no longer be available for issuance under the Plan. If any Shares are reacquired by the Company as consideration for the exercise of a Stock Option or a Stock Appreciation Right, such Shares shall no longer be available for issuance under the Plan.</w:t>
      </w:r>
    </w:p>
    <w:p>
      <w:pPr>
        <w:spacing w:after="0" w:line="233" w:lineRule="exact"/>
        <w:rPr>
          <w:sz w:val="20"/>
          <w:szCs w:val="20"/>
          <w:color w:val="auto"/>
        </w:rPr>
      </w:pPr>
    </w:p>
    <w:p>
      <w:pPr>
        <w:ind w:left="1020" w:hanging="381"/>
        <w:spacing w:after="0"/>
        <w:tabs>
          <w:tab w:leader="none" w:pos="10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 Provisions</w:t>
      </w:r>
      <w:r>
        <w:rPr>
          <w:rFonts w:ascii="Arial" w:cs="Arial" w:eastAsia="Arial" w:hAnsi="Arial"/>
          <w:sz w:val="18"/>
          <w:szCs w:val="18"/>
          <w:color w:val="auto"/>
        </w:rPr>
        <w:t>.</w:t>
      </w:r>
    </w:p>
    <w:p>
      <w:pPr>
        <w:spacing w:after="0" w:line="254" w:lineRule="exact"/>
        <w:rPr>
          <w:rFonts w:ascii="Arial" w:cs="Arial" w:eastAsia="Arial" w:hAnsi="Arial"/>
          <w:sz w:val="18"/>
          <w:szCs w:val="18"/>
          <w:i w:val="1"/>
          <w:iCs w:val="1"/>
          <w:color w:val="auto"/>
        </w:rPr>
      </w:pPr>
    </w:p>
    <w:p>
      <w:pPr>
        <w:jc w:val="both"/>
        <w:ind w:left="1280" w:hanging="8"/>
        <w:spacing w:after="0" w:line="304" w:lineRule="auto"/>
        <w:tabs>
          <w:tab w:leader="none" w:pos="1639"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the Committee or the Board may in its discretion make such substitutions or adjustments as it deems appropriate and equitable to (i) the aggregate number and kind of Shares or other securities reserved for issuance and delivery under this Plan, (ii) the various maximum limitations set forth in Sections 3(a) and 3(b) upon certain types of Awards and upon the grants to individuals of certain types of Awards, (iii) the number of Shares considered delivered based on the type of Award granted as set forth in Section 3(c), (iv) the number and kind of Shares or other securities subject to outstanding Awards; (v) the Performance Goals applicable to outstanding Awards; and (vi) the exercise price of outstanding Awards.</w:t>
      </w:r>
    </w:p>
    <w:p>
      <w:pPr>
        <w:spacing w:after="0" w:line="206" w:lineRule="exact"/>
        <w:rPr>
          <w:rFonts w:ascii="Arial" w:cs="Arial" w:eastAsia="Arial" w:hAnsi="Arial"/>
          <w:sz w:val="16"/>
          <w:szCs w:val="16"/>
          <w:color w:val="auto"/>
        </w:rPr>
      </w:pPr>
    </w:p>
    <w:p>
      <w:pPr>
        <w:jc w:val="both"/>
        <w:ind w:left="1280" w:hanging="8"/>
        <w:spacing w:after="0" w:line="306" w:lineRule="auto"/>
        <w:tabs>
          <w:tab w:leader="none" w:pos="170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Sections 3(a) and 3(b) upon certain types of Awards and upon the grants to individuals of certain types of Awards, (C) the number and kind of Shares or other securities subject to outstanding Awards; (D) the Performance Goals applicable to outstanding Awards; and (E) the exercise price of outstanding Awards.</w:t>
      </w:r>
    </w:p>
    <w:p>
      <w:pPr>
        <w:spacing w:after="0" w:line="191" w:lineRule="exact"/>
        <w:rPr>
          <w:rFonts w:ascii="Arial" w:cs="Arial" w:eastAsia="Arial" w:hAnsi="Arial"/>
          <w:sz w:val="16"/>
          <w:szCs w:val="16"/>
          <w:color w:val="auto"/>
        </w:rPr>
      </w:pPr>
    </w:p>
    <w:p>
      <w:pPr>
        <w:jc w:val="both"/>
        <w:ind w:left="1280" w:hanging="8"/>
        <w:spacing w:after="0" w:line="302" w:lineRule="auto"/>
        <w:tabs>
          <w:tab w:leader="none" w:pos="1736"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(as determined by the Board) of the consideration being paid for each Share pursuant to such Corporate Transaction over the exercise price of such Stock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ectPr>
          <w:pgSz w:w="11900" w:h="16838" w:orient="portrait"/>
          <w:cols w:equalWidth="0" w:num="1">
            <w:col w:w="11240"/>
          </w:cols>
          <w:pgMar w:left="320" w:top="345" w:right="339" w:bottom="1440" w:gutter="0" w:footer="0" w:header="0"/>
        </w:sectPr>
      </w:pPr>
    </w:p>
    <w:bookmarkStart w:id="65" w:name="page66"/>
    <w:bookmarkEnd w:id="65"/>
    <w:p>
      <w:pPr>
        <w:ind w:left="1280"/>
        <w:spacing w:after="0" w:line="278" w:lineRule="auto"/>
        <w:rPr>
          <w:sz w:val="20"/>
          <w:szCs w:val="20"/>
          <w:color w:val="auto"/>
        </w:rPr>
      </w:pPr>
      <w:r>
        <w:rPr>
          <w:rFonts w:ascii="Arial" w:cs="Arial" w:eastAsia="Arial" w:hAnsi="Arial"/>
          <w:sz w:val="18"/>
          <w:szCs w:val="18"/>
          <w:color w:val="auto"/>
        </w:rPr>
        <w:t>identified in the Company’s financial statements, notes to the financial statements, management’s discussion and analysis or other the Company’s filings with the Commission.</w:t>
      </w:r>
    </w:p>
    <w:p>
      <w:pPr>
        <w:spacing w:after="0" w:line="206" w:lineRule="exact"/>
        <w:rPr>
          <w:sz w:val="20"/>
          <w:szCs w:val="20"/>
          <w:color w:val="auto"/>
        </w:rPr>
      </w:pPr>
    </w:p>
    <w:p>
      <w:pPr>
        <w:jc w:val="both"/>
        <w:ind w:left="1280" w:hanging="8"/>
        <w:spacing w:after="0" w:line="313" w:lineRule="auto"/>
        <w:tabs>
          <w:tab w:leader="none" w:pos="1767"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adjustments made pursuant to this Section 3(d) to Awards that are considered “deferred compensation” within the meaning of Section 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185" w:lineRule="exact"/>
        <w:rPr>
          <w:rFonts w:ascii="Arial" w:cs="Arial" w:eastAsia="Arial" w:hAnsi="Arial"/>
          <w:sz w:val="16"/>
          <w:szCs w:val="16"/>
          <w:color w:val="auto"/>
        </w:rPr>
      </w:pPr>
    </w:p>
    <w:p>
      <w:pPr>
        <w:ind w:left="1640" w:hanging="368"/>
        <w:spacing w:after="0"/>
        <w:tabs>
          <w:tab w:leader="none" w:pos="1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adjustment under this Section 3(d) need not be the same for all Participants.</w:t>
      </w:r>
    </w:p>
    <w:p>
      <w:pPr>
        <w:spacing w:after="0" w:line="24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Awards</w:t>
      </w:r>
    </w:p>
    <w:p>
      <w:pPr>
        <w:spacing w:after="0" w:line="274" w:lineRule="exact"/>
        <w:rPr>
          <w:sz w:val="20"/>
          <w:szCs w:val="20"/>
          <w:color w:val="auto"/>
        </w:rPr>
      </w:pPr>
    </w:p>
    <w:p>
      <w:pPr>
        <w:ind w:left="1020" w:hanging="381"/>
        <w:spacing w:after="0"/>
        <w:tabs>
          <w:tab w:leader="none" w:pos="102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may be granted under this Plan to Eligible Individuals;</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Incentive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Stock Options may be granted only to employees of the Company and its subsidiaries or parent corporation (within the meaning of Section 424(f) of the Code).</w:t>
      </w:r>
    </w:p>
    <w:p>
      <w:pPr>
        <w:spacing w:after="0" w:line="278" w:lineRule="exact"/>
        <w:rPr>
          <w:sz w:val="20"/>
          <w:szCs w:val="20"/>
          <w:color w:val="auto"/>
        </w:rPr>
      </w:pPr>
    </w:p>
    <w:p>
      <w:pPr>
        <w:ind w:left="1020" w:hanging="381"/>
        <w:spacing w:after="0"/>
        <w:tabs>
          <w:tab w:leader="none" w:pos="102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Notwithstanding anything contained in this Plan to the contrary, Awards granted under the Plan (i)</w:t>
      </w:r>
    </w:p>
    <w:p>
      <w:pPr>
        <w:spacing w:after="0" w:line="3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 xml:space="preserve">that vest based upon the continued service of the applicable Participant shall vest over a minimum service period of one year and (ii) that vest based on the attainment of Performance Goals shall vest over a minimum Performance Period of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Committee may, in its discretion, determine that such restrictions may lapse (in whole or in part) in the event of a Participant’s death or disability or other termination of employment or services or upon a Change in Control and (y) up to 5% of the total number of Shares reserved for issuance under the Plan pursuant to Section 3(a) may be subject to Awards granted after the Restatement Effective Date which do not meet the preceding vesting or acceleration limitations.</w:t>
      </w:r>
    </w:p>
    <w:p>
      <w:pPr>
        <w:spacing w:after="0" w:line="187" w:lineRule="exact"/>
        <w:rPr>
          <w:sz w:val="20"/>
          <w:szCs w:val="20"/>
          <w:color w:val="auto"/>
        </w:rPr>
      </w:pPr>
    </w:p>
    <w:p>
      <w:pPr>
        <w:jc w:val="both"/>
        <w:ind w:firstLine="639"/>
        <w:spacing w:after="0" w:line="341" w:lineRule="auto"/>
        <w:tabs>
          <w:tab w:leader="none" w:pos="103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 Notwithstanding anything contained in this Plan to the contrary, no dividends (whether payable in cash or Common Stock)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paid in respect of an Award of Restricted Stock, Restricted Stock Units or Performance Units or Other Stock-Based Awards until the restrictions and risks of forfeiture applicable to the underlying Award (or portion thereof) have lapsed;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Committee may, in its sole discretion, provide that any such dividends may be accumulated and paid upon the date on which such restrictions or risks of forfeiture have lapsed in respect of the associated Award.</w:t>
      </w:r>
    </w:p>
    <w:p>
      <w:pPr>
        <w:spacing w:after="0" w:line="17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Stock Options and Stock Appreciation Rights</w:t>
      </w:r>
    </w:p>
    <w:p>
      <w:pPr>
        <w:spacing w:after="0" w:line="261" w:lineRule="exact"/>
        <w:rPr>
          <w:sz w:val="20"/>
          <w:szCs w:val="20"/>
          <w:color w:val="auto"/>
        </w:rPr>
      </w:pPr>
    </w:p>
    <w:p>
      <w:pPr>
        <w:jc w:val="both"/>
        <w:ind w:firstLine="639"/>
        <w:spacing w:after="0" w:line="276" w:lineRule="auto"/>
        <w:tabs>
          <w:tab w:leader="none" w:pos="1059"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Types of Stock Options</w:t>
      </w:r>
      <w:r>
        <w:rPr>
          <w:rFonts w:ascii="Arial" w:cs="Arial" w:eastAsia="Arial" w:hAnsi="Arial"/>
          <w:sz w:val="18"/>
          <w:szCs w:val="18"/>
          <w:color w:val="auto"/>
        </w:rPr>
        <w:t>. Stock Options may be granted alone or in addition to other Awards granted under this Plan and may be of two types: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and Nonqualified Stock Options. The Award Agreement for a Stock Option shall indicate whether the Stock Option is intended to be an Incentive Stock Option or a Nonqualified Stock Option.</w:t>
      </w:r>
    </w:p>
    <w:p>
      <w:pPr>
        <w:spacing w:after="0" w:line="209" w:lineRule="exact"/>
        <w:rPr>
          <w:rFonts w:ascii="Arial" w:cs="Arial" w:eastAsia="Arial" w:hAnsi="Arial"/>
          <w:sz w:val="18"/>
          <w:szCs w:val="18"/>
          <w:i w:val="1"/>
          <w:iCs w:val="1"/>
          <w:color w:val="auto"/>
        </w:rPr>
      </w:pPr>
    </w:p>
    <w:p>
      <w:pPr>
        <w:jc w:val="both"/>
        <w:ind w:firstLine="639"/>
        <w:spacing w:after="0" w:line="309" w:lineRule="auto"/>
        <w:tabs>
          <w:tab w:leader="none" w:pos="1066"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Types and Nature of Stock Appreciation Rights</w:t>
      </w:r>
      <w:r>
        <w:rPr>
          <w:rFonts w:ascii="Arial" w:cs="Arial" w:eastAsia="Arial" w:hAnsi="Arial"/>
          <w:sz w:val="16"/>
          <w:szCs w:val="16"/>
          <w:color w:val="auto"/>
        </w:rPr>
        <w:t>. Stock Appreciation Rights may be “Tandem SARs,” which are granted in conjunction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or “Free-Standing SARs,” which are not granted in conjunction with a Stock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ectPr>
          <w:pgSz w:w="11900" w:h="16838" w:orient="portrait"/>
          <w:cols w:equalWidth="0" w:num="1">
            <w:col w:w="11240"/>
          </w:cols>
          <w:pgMar w:left="320" w:top="116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39"/>
        <w:spacing w:after="0" w:line="315" w:lineRule="auto"/>
        <w:tabs>
          <w:tab w:leader="none" w:pos="1025"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Tandem SARs</w:t>
      </w:r>
      <w:r>
        <w:rPr>
          <w:rFonts w:ascii="Arial" w:cs="Arial" w:eastAsia="Arial" w:hAnsi="Arial"/>
          <w:sz w:val="16"/>
          <w:szCs w:val="16"/>
          <w:color w:val="auto"/>
        </w:rPr>
        <w:t>. A Tandem SAR may be granted at the Grant Date of the related Stock Option. A Tandem SAR shall be exercisable only at such</w:t>
      </w:r>
      <w:r>
        <w:rPr>
          <w:rFonts w:ascii="Arial" w:cs="Arial" w:eastAsia="Arial" w:hAnsi="Arial"/>
          <w:sz w:val="16"/>
          <w:szCs w:val="16"/>
          <w:i w:val="1"/>
          <w:iCs w:val="1"/>
          <w:color w:val="auto"/>
        </w:rPr>
        <w:t xml:space="preserve"> </w:t>
      </w:r>
      <w:r>
        <w:rPr>
          <w:rFonts w:ascii="Arial" w:cs="Arial" w:eastAsia="Arial" w:hAnsi="Arial"/>
          <w:sz w:val="16"/>
          <w:szCs w:val="16"/>
          <w:color w:val="auto"/>
        </w:rPr>
        <w:t>time 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181" w:lineRule="exact"/>
        <w:rPr>
          <w:rFonts w:ascii="Arial" w:cs="Arial" w:eastAsia="Arial" w:hAnsi="Arial"/>
          <w:sz w:val="16"/>
          <w:szCs w:val="16"/>
          <w:i w:val="1"/>
          <w:iCs w:val="1"/>
          <w:color w:val="auto"/>
        </w:rPr>
      </w:pPr>
    </w:p>
    <w:p>
      <w:pPr>
        <w:jc w:val="both"/>
        <w:ind w:firstLine="639"/>
        <w:spacing w:after="0" w:line="309" w:lineRule="auto"/>
        <w:tabs>
          <w:tab w:leader="none" w:pos="1014"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subject to a Stock Option or Free-Standing SAR shall be determined by the Committee and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and shall not be less than the Fair Market Value of a share of the Common Stock on the applicable Grant Date. In no event may any Stock Option or Stock Appreciation Right granted under this Plan be amended, other than pursuant to Section 3(d), to decrease the exercise price thereof, be canceled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shareholders.</w:t>
      </w:r>
    </w:p>
    <w:p>
      <w:pPr>
        <w:spacing w:after="0" w:line="187" w:lineRule="exact"/>
        <w:rPr>
          <w:rFonts w:ascii="Arial" w:cs="Arial" w:eastAsia="Arial" w:hAnsi="Arial"/>
          <w:sz w:val="16"/>
          <w:szCs w:val="16"/>
          <w:i w:val="1"/>
          <w:iCs w:val="1"/>
          <w:color w:val="auto"/>
        </w:rPr>
      </w:pPr>
    </w:p>
    <w:p>
      <w:pPr>
        <w:ind w:firstLine="639"/>
        <w:spacing w:after="0" w:line="278" w:lineRule="auto"/>
        <w:tabs>
          <w:tab w:leader="none" w:pos="1004"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each Stock Option and each Free-Standing SAR shall be fixed by the Committee, but no Stock Option or Free-Standing SAR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exercisable more than 10 years after its Grant Date.</w:t>
      </w:r>
    </w:p>
    <w:p>
      <w:pPr>
        <w:spacing w:after="0" w:line="219" w:lineRule="exact"/>
        <w:rPr>
          <w:rFonts w:ascii="Arial" w:cs="Arial" w:eastAsia="Arial" w:hAnsi="Arial"/>
          <w:sz w:val="18"/>
          <w:szCs w:val="18"/>
          <w:i w:val="1"/>
          <w:iCs w:val="1"/>
          <w:color w:val="auto"/>
        </w:rPr>
      </w:pPr>
    </w:p>
    <w:p>
      <w:pPr>
        <w:ind w:firstLine="639"/>
        <w:spacing w:after="0" w:line="278" w:lineRule="auto"/>
        <w:tabs>
          <w:tab w:leader="none" w:pos="1067"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Except as otherwise provided herein, Stock Options and Free-Standing SARs shall be exercisable at such time or times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terms and conditions as shall be determined by the Committee.</w:t>
      </w:r>
    </w:p>
    <w:p>
      <w:pPr>
        <w:spacing w:after="0" w:line="206" w:lineRule="exact"/>
        <w:rPr>
          <w:rFonts w:ascii="Arial" w:cs="Arial" w:eastAsia="Arial" w:hAnsi="Arial"/>
          <w:sz w:val="18"/>
          <w:szCs w:val="18"/>
          <w:i w:val="1"/>
          <w:iCs w:val="1"/>
          <w:color w:val="auto"/>
        </w:rPr>
      </w:pPr>
    </w:p>
    <w:p>
      <w:pPr>
        <w:jc w:val="both"/>
        <w:ind w:firstLine="639"/>
        <w:spacing w:after="0" w:line="276" w:lineRule="auto"/>
        <w:tabs>
          <w:tab w:leader="none" w:pos="1023"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Method of Exercise</w:t>
      </w:r>
      <w:r>
        <w:rPr>
          <w:rFonts w:ascii="Arial" w:cs="Arial" w:eastAsia="Arial" w:hAnsi="Arial"/>
          <w:sz w:val="18"/>
          <w:szCs w:val="18"/>
          <w:color w:val="auto"/>
        </w:rPr>
        <w:t>. Subject to the provisions of this Section 5, Stock Options and Free-Standing SARs may be exercised, in whole or in part,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during the Term thereof by giving written notice of exercise to the Company specifying the number of shares of Common Stock subject to the Stock Option or Free-Standing SAR to be purchased.</w:t>
      </w:r>
    </w:p>
    <w:p>
      <w:pPr>
        <w:spacing w:after="0" w:line="209" w:lineRule="exact"/>
        <w:rPr>
          <w:sz w:val="20"/>
          <w:szCs w:val="20"/>
          <w:color w:val="auto"/>
        </w:rPr>
      </w:pPr>
    </w:p>
    <w:p>
      <w:pPr>
        <w:jc w:val="both"/>
        <w:ind w:firstLine="1266"/>
        <w:spacing w:after="0" w:line="271" w:lineRule="auto"/>
        <w:rPr>
          <w:sz w:val="20"/>
          <w:szCs w:val="20"/>
          <w:color w:val="auto"/>
        </w:rPr>
      </w:pPr>
      <w:r>
        <w:rPr>
          <w:rFonts w:ascii="Arial" w:cs="Arial" w:eastAsia="Arial" w:hAnsi="Arial"/>
          <w:sz w:val="18"/>
          <w:szCs w:val="18"/>
          <w:color w:val="auto"/>
        </w:rPr>
        <w:t>In the case of the exercise of a Stock Option, such notice shall be accompanied by payment in full of the aggregate purchase price (which shall equal the product of such number of Shares subject to such Stock Options multiplied by the applicable exercise price) per Share by certified or bank check, wire transfer, or such other instrument or method as the Company may accept. If provided for in the applicable Award Agreement as approved by the Committee, payment in full or in part may also be made as follows:</w:t>
      </w:r>
    </w:p>
    <w:p>
      <w:pPr>
        <w:spacing w:after="0" w:line="226" w:lineRule="exact"/>
        <w:rPr>
          <w:sz w:val="20"/>
          <w:szCs w:val="20"/>
          <w:color w:val="auto"/>
        </w:rPr>
      </w:pPr>
    </w:p>
    <w:p>
      <w:pPr>
        <w:jc w:val="both"/>
        <w:ind w:left="1280" w:hanging="8"/>
        <w:spacing w:after="0" w:line="268" w:lineRule="auto"/>
        <w:tabs>
          <w:tab w:leader="none" w:pos="16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an Incentive Stock Option, the Participant shall only have the right to make a payment in the form of already owned shares of Common Stock of the same class as the Common Stock subject to the Stock Option if such right is set forth in the applicable Award Agreement.</w:t>
      </w:r>
    </w:p>
    <w:p>
      <w:pPr>
        <w:spacing w:after="0" w:line="215" w:lineRule="exact"/>
        <w:rPr>
          <w:rFonts w:ascii="Arial" w:cs="Arial" w:eastAsia="Arial" w:hAnsi="Arial"/>
          <w:sz w:val="18"/>
          <w:szCs w:val="18"/>
          <w:color w:val="auto"/>
        </w:rPr>
      </w:pPr>
    </w:p>
    <w:p>
      <w:pPr>
        <w:jc w:val="both"/>
        <w:ind w:left="1280" w:hanging="8"/>
        <w:spacing w:after="0" w:line="315" w:lineRule="auto"/>
        <w:tabs>
          <w:tab w:leader="none" w:pos="17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the extent permitted by applicable law, by delivering a properly executed exercise notice to the Company, together with a copy of irrevocable instructions to a broker to deliver promptly to the Company the amount of sale necessary to pay the purchase price, and, if requested, by the amount of any federal, state, local or foreign withholding taxes. To facilitate the foregoing, the Company may, to the extent permitted by applicable law, enter into agreements for coordinated procedures with one or more brokerage firms.</w:t>
      </w:r>
    </w:p>
    <w:p>
      <w:pPr>
        <w:spacing w:after="0" w:line="194" w:lineRule="exact"/>
        <w:rPr>
          <w:rFonts w:ascii="Arial" w:cs="Arial" w:eastAsia="Arial" w:hAnsi="Arial"/>
          <w:sz w:val="16"/>
          <w:szCs w:val="16"/>
          <w:color w:val="auto"/>
        </w:rPr>
      </w:pPr>
    </w:p>
    <w:p>
      <w:pPr>
        <w:ind w:left="1720" w:hanging="448"/>
        <w:spacing w:after="0"/>
        <w:tabs>
          <w:tab w:leader="none" w:pos="1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instructing the Company to withhold a number of such shares having a Fair Market Value (based</w:t>
      </w:r>
    </w:p>
    <w:p>
      <w:pPr>
        <w:spacing w:after="0" w:line="1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on the Fair Market Value of the Common Stock on the date the applicable Stock Option is exercised) equal to the product of (A) the exercise price per Share multiplied by (B) the number of shares of Common Stock in respect of which the Stock Option shall have been exercised.</w:t>
      </w:r>
    </w:p>
    <w:p>
      <w:pPr>
        <w:spacing w:after="0" w:line="220" w:lineRule="exact"/>
        <w:rPr>
          <w:sz w:val="20"/>
          <w:szCs w:val="20"/>
          <w:color w:val="auto"/>
        </w:rPr>
      </w:pPr>
    </w:p>
    <w:p>
      <w:pPr>
        <w:jc w:val="both"/>
        <w:ind w:firstLine="639"/>
        <w:spacing w:after="0" w:line="269" w:lineRule="auto"/>
        <w:tabs>
          <w:tab w:leader="none" w:pos="1059"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Delivery; Rights of Shareholders</w:t>
      </w:r>
      <w:r>
        <w:rPr>
          <w:rFonts w:ascii="Arial" w:cs="Arial" w:eastAsia="Arial" w:hAnsi="Arial"/>
          <w:sz w:val="18"/>
          <w:szCs w:val="18"/>
          <w:color w:val="auto"/>
        </w:rPr>
        <w:t>. A Participant shall not be entitled to delivery of Shares pursuant to the exercise of a Stock Option or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until the exercise price therefor has been fully paid and applicable taxes have been withheld. Except as otherwise provided in Section 5(l), a Participant shall have all of the rights of a shareholder of</w:t>
      </w:r>
    </w:p>
    <w:p>
      <w:pPr>
        <w:sectPr>
          <w:pgSz w:w="11900" w:h="16838" w:orient="portrait"/>
          <w:cols w:equalWidth="0" w:num="1">
            <w:col w:w="11240"/>
          </w:cols>
          <w:pgMar w:left="320" w:top="345" w:right="339" w:bottom="1440" w:gutter="0" w:footer="0" w:header="0"/>
        </w:sectPr>
      </w:pPr>
    </w:p>
    <w:bookmarkStart w:id="67" w:name="page68"/>
    <w:bookmarkEnd w:id="67"/>
    <w:p>
      <w:pPr>
        <w:jc w:val="both"/>
        <w:spacing w:after="0" w:line="269" w:lineRule="auto"/>
        <w:rPr>
          <w:sz w:val="20"/>
          <w:szCs w:val="20"/>
          <w:color w:val="auto"/>
        </w:rPr>
      </w:pPr>
      <w:r>
        <w:rPr>
          <w:rFonts w:ascii="Arial" w:cs="Arial" w:eastAsia="Arial" w:hAnsi="Arial"/>
          <w:sz w:val="18"/>
          <w:szCs w:val="18"/>
          <w:color w:val="auto"/>
        </w:rPr>
        <w:t>the Company holding the class or series of Common Stock that is subject to such Stock Option or Stock Appreciation Right (including, if applicable, the right to vote the applicable Shares), when the Participant (i) has given written notice of exercise, (ii) if requested, has given the representation described in Section 15(a) and (iii) in the case of a Stock Option, has paid in full for such Shares.</w:t>
      </w:r>
    </w:p>
    <w:p>
      <w:pPr>
        <w:spacing w:after="0" w:line="227" w:lineRule="exact"/>
        <w:rPr>
          <w:sz w:val="20"/>
          <w:szCs w:val="20"/>
          <w:color w:val="auto"/>
        </w:rPr>
      </w:pPr>
    </w:p>
    <w:p>
      <w:pPr>
        <w:jc w:val="both"/>
        <w:ind w:firstLine="639"/>
        <w:spacing w:after="0" w:line="303" w:lineRule="auto"/>
        <w:tabs>
          <w:tab w:leader="none" w:pos="984"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Nontransferability of Stock Options and Stock Appreciation Rights</w:t>
      </w:r>
      <w:r>
        <w:rPr>
          <w:rFonts w:ascii="Arial" w:cs="Arial" w:eastAsia="Arial" w:hAnsi="Arial"/>
          <w:sz w:val="16"/>
          <w:szCs w:val="16"/>
          <w:color w:val="auto"/>
        </w:rPr>
        <w:t>. No Stock Option or Free-Standing SAR shall be transferable by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than, for no 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Stock Option as permitted by the preceding sentence. Any Stock Option or Stock Appreciation Right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“Termination of Employment” shall continue to refer to the Termination of Employment of the original Participant.</w:t>
      </w:r>
    </w:p>
    <w:p>
      <w:pPr>
        <w:spacing w:after="0" w:line="196" w:lineRule="exact"/>
        <w:rPr>
          <w:rFonts w:ascii="Arial" w:cs="Arial" w:eastAsia="Arial" w:hAnsi="Arial"/>
          <w:sz w:val="16"/>
          <w:szCs w:val="16"/>
          <w:i w:val="1"/>
          <w:iCs w:val="1"/>
          <w:color w:val="auto"/>
        </w:rPr>
      </w:pPr>
    </w:p>
    <w:p>
      <w:pPr>
        <w:ind w:firstLine="639"/>
        <w:spacing w:after="0" w:line="278" w:lineRule="auto"/>
        <w:tabs>
          <w:tab w:leader="none" w:pos="1142"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or Employment, his or her Stock Options and Stock Appreciation Rights shall be treated as set forth below:</w:t>
      </w:r>
    </w:p>
    <w:p>
      <w:pPr>
        <w:spacing w:after="0" w:line="219" w:lineRule="exact"/>
        <w:rPr>
          <w:rFonts w:ascii="Arial" w:cs="Arial" w:eastAsia="Arial" w:hAnsi="Arial"/>
          <w:sz w:val="18"/>
          <w:szCs w:val="18"/>
          <w:i w:val="1"/>
          <w:iCs w:val="1"/>
          <w:color w:val="auto"/>
        </w:rPr>
      </w:pPr>
    </w:p>
    <w:p>
      <w:pPr>
        <w:jc w:val="both"/>
        <w:ind w:left="1280" w:hanging="8"/>
        <w:spacing w:after="0" w:line="309" w:lineRule="auto"/>
        <w:tabs>
          <w:tab w:leader="none" w:pos="1668" w:val="left"/>
        </w:tabs>
        <w:numPr>
          <w:ilvl w:val="1"/>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by Reason of Death</w:t>
      </w:r>
      <w:r>
        <w:rPr>
          <w:rFonts w:ascii="Arial" w:cs="Arial" w:eastAsia="Arial" w:hAnsi="Arial"/>
          <w:sz w:val="16"/>
          <w:szCs w:val="16"/>
          <w:color w:val="auto"/>
        </w:rPr>
        <w:t>. If a Participant incurs a Termination of Employment by reason of death, any Stock Option or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death, if an Incentive Stock Option is exercised after the expiration of the post-termination exercise periods that apply for purposes of Section 422 of the Code, such Stock Option will thereafter be treated as a Nonqualified Stock Option.</w:t>
      </w:r>
    </w:p>
    <w:p>
      <w:pPr>
        <w:spacing w:after="0" w:line="187" w:lineRule="exact"/>
        <w:rPr>
          <w:rFonts w:ascii="Arial" w:cs="Arial" w:eastAsia="Arial" w:hAnsi="Arial"/>
          <w:sz w:val="16"/>
          <w:szCs w:val="16"/>
          <w:i w:val="1"/>
          <w:iCs w:val="1"/>
          <w:color w:val="auto"/>
        </w:rPr>
      </w:pPr>
    </w:p>
    <w:p>
      <w:pPr>
        <w:jc w:val="both"/>
        <w:ind w:left="1280" w:hanging="8"/>
        <w:spacing w:after="0" w:line="313" w:lineRule="auto"/>
        <w:tabs>
          <w:tab w:leader="none" w:pos="1690" w:val="left"/>
        </w:tabs>
        <w:numPr>
          <w:ilvl w:val="1"/>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by Reason of Disability</w:t>
      </w:r>
      <w:r>
        <w:rPr>
          <w:rFonts w:ascii="Arial" w:cs="Arial" w:eastAsia="Arial" w:hAnsi="Arial"/>
          <w:sz w:val="16"/>
          <w:szCs w:val="16"/>
          <w:color w:val="auto"/>
        </w:rPr>
        <w:t>. If a Participant incurs a Termination of Employment by reason of Disability, any Stock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185" w:lineRule="exact"/>
        <w:rPr>
          <w:rFonts w:ascii="Arial" w:cs="Arial" w:eastAsia="Arial" w:hAnsi="Arial"/>
          <w:sz w:val="16"/>
          <w:szCs w:val="16"/>
          <w:i w:val="1"/>
          <w:iCs w:val="1"/>
          <w:color w:val="auto"/>
        </w:rPr>
      </w:pPr>
    </w:p>
    <w:p>
      <w:pPr>
        <w:ind w:left="1280" w:hanging="8"/>
        <w:spacing w:after="0" w:line="278" w:lineRule="auto"/>
        <w:tabs>
          <w:tab w:leader="none" w:pos="1737"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the Company for Cause</w:t>
      </w:r>
      <w:r>
        <w:rPr>
          <w:rFonts w:ascii="Arial" w:cs="Arial" w:eastAsia="Arial" w:hAnsi="Arial"/>
          <w:sz w:val="18"/>
          <w:szCs w:val="18"/>
          <w:color w:val="auto"/>
        </w:rPr>
        <w:t>. If a Participant incurs a Termination of Employment for Cause, any Stock Options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held by such Participant, whether vested or unvested, shall thereupon terminate.</w:t>
      </w:r>
    </w:p>
    <w:p>
      <w:pPr>
        <w:spacing w:after="0" w:line="219" w:lineRule="exact"/>
        <w:rPr>
          <w:rFonts w:ascii="Arial" w:cs="Arial" w:eastAsia="Arial" w:hAnsi="Arial"/>
          <w:sz w:val="18"/>
          <w:szCs w:val="18"/>
          <w:i w:val="1"/>
          <w:iCs w:val="1"/>
          <w:color w:val="auto"/>
        </w:rPr>
      </w:pPr>
    </w:p>
    <w:p>
      <w:pPr>
        <w:jc w:val="both"/>
        <w:ind w:left="1280" w:hanging="8"/>
        <w:spacing w:after="0" w:line="268" w:lineRule="auto"/>
        <w:tabs>
          <w:tab w:leader="none" w:pos="1721"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Other Termination</w:t>
      </w:r>
      <w:r>
        <w:rPr>
          <w:rFonts w:ascii="Arial" w:cs="Arial" w:eastAsia="Arial" w:hAnsi="Arial"/>
          <w:sz w:val="18"/>
          <w:szCs w:val="18"/>
          <w:color w:val="auto"/>
        </w:rPr>
        <w:t>. If a Participant incurs a Termination of Employment for any reason other than death, Disability, or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set forth in this Section 5(j), any Stock Option or Stock Appreciation Right held by such Participant, to the extent it was then exercisable at the time of termination, or, subject to Section 4(b), on such accelerated basis as the Committee may determine, may be exercised for the lesser of (A) 90 days following the date of such Termination of Employment and (B) the balance of the stated full Term thereof.</w:t>
      </w:r>
    </w:p>
    <w:p>
      <w:pPr>
        <w:spacing w:after="0" w:line="215" w:lineRule="exact"/>
        <w:rPr>
          <w:rFonts w:ascii="Arial" w:cs="Arial" w:eastAsia="Arial" w:hAnsi="Arial"/>
          <w:sz w:val="18"/>
          <w:szCs w:val="18"/>
          <w:i w:val="1"/>
          <w:iCs w:val="1"/>
          <w:color w:val="auto"/>
        </w:rPr>
      </w:pPr>
    </w:p>
    <w:p>
      <w:pPr>
        <w:ind w:left="1280" w:hanging="8"/>
        <w:spacing w:after="0" w:line="293" w:lineRule="auto"/>
        <w:tabs>
          <w:tab w:leader="none" w:pos="1766"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Notwithstanding the foregoing provisions of Section 5(j) and subject to Section 4(b), the Committee shall have the power, in its discretion, to apply different rules concerning the consequences of a Termination</w:t>
      </w:r>
    </w:p>
    <w:p>
      <w:pPr>
        <w:sectPr>
          <w:pgSz w:w="11900" w:h="16838" w:orient="portrait"/>
          <w:cols w:equalWidth="0" w:num="1">
            <w:col w:w="11240"/>
          </w:cols>
          <w:pgMar w:left="320" w:top="116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80"/>
        <w:spacing w:after="0" w:line="278" w:lineRule="auto"/>
        <w:rPr>
          <w:sz w:val="20"/>
          <w:szCs w:val="20"/>
          <w:color w:val="auto"/>
        </w:rPr>
      </w:pPr>
      <w:r>
        <w:rPr>
          <w:rFonts w:ascii="Arial" w:cs="Arial" w:eastAsia="Arial" w:hAnsi="Arial"/>
          <w:sz w:val="18"/>
          <w:szCs w:val="18"/>
          <w:color w:val="auto"/>
        </w:rPr>
        <w:t xml:space="preserve">of Employment,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rules are less favorable to the Participant than those set forth above, such rules are set forth in the applicable Award Agreement.</w:t>
      </w:r>
    </w:p>
    <w:p>
      <w:pPr>
        <w:spacing w:after="0" w:line="206" w:lineRule="exact"/>
        <w:rPr>
          <w:sz w:val="20"/>
          <w:szCs w:val="20"/>
          <w:color w:val="auto"/>
        </w:rPr>
      </w:pPr>
    </w:p>
    <w:p>
      <w:pPr>
        <w:jc w:val="both"/>
        <w:ind w:firstLine="639"/>
        <w:spacing w:after="0" w:line="307" w:lineRule="auto"/>
        <w:tabs>
          <w:tab w:leader="none" w:pos="1001"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Additional Rules for Incentive Stock Options</w:t>
      </w:r>
      <w:r>
        <w:rPr>
          <w:rFonts w:ascii="Arial" w:cs="Arial" w:eastAsia="Arial" w:hAnsi="Arial"/>
          <w:sz w:val="16"/>
          <w:szCs w:val="16"/>
          <w:color w:val="auto"/>
        </w:rPr>
        <w:t>. Notwithstanding any other provision of this Plan to the contrary, no Stock Option which is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qualify as an Incentive Stock Option may be granted to any Eligible Employee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87" w:lineRule="exact"/>
        <w:rPr>
          <w:rFonts w:ascii="Arial" w:cs="Arial" w:eastAsia="Arial" w:hAnsi="Arial"/>
          <w:sz w:val="16"/>
          <w:szCs w:val="16"/>
          <w:i w:val="1"/>
          <w:iCs w:val="1"/>
          <w:color w:val="auto"/>
        </w:rPr>
      </w:pPr>
    </w:p>
    <w:p>
      <w:pPr>
        <w:jc w:val="both"/>
        <w:ind w:firstLine="639"/>
        <w:spacing w:after="0" w:line="276" w:lineRule="auto"/>
        <w:tabs>
          <w:tab w:leader="none" w:pos="99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Dividends (whether paid in cash or Shares) and dividend equivalents may not be paid or accrued 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Options or Stock Appreciation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Stock Options and Stock Appreciation Rights may be adjusted under certain circumstances in accordance with the terms of Section 3(d).</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Restricted Stock</w:t>
      </w:r>
    </w:p>
    <w:p>
      <w:pPr>
        <w:spacing w:after="0" w:line="261" w:lineRule="exact"/>
        <w:rPr>
          <w:sz w:val="20"/>
          <w:szCs w:val="20"/>
          <w:color w:val="auto"/>
        </w:rPr>
      </w:pPr>
    </w:p>
    <w:p>
      <w:pPr>
        <w:jc w:val="both"/>
        <w:ind w:firstLine="639"/>
        <w:spacing w:after="0" w:line="315" w:lineRule="auto"/>
        <w:tabs>
          <w:tab w:leader="none" w:pos="1076"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Shares of Restricted Stock are actual Shares issued to a Participant and may be awarded either alone or in addition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194" w:lineRule="exact"/>
        <w:rPr>
          <w:rFonts w:ascii="Arial" w:cs="Arial" w:eastAsia="Arial" w:hAnsi="Arial"/>
          <w:sz w:val="16"/>
          <w:szCs w:val="16"/>
          <w:i w:val="1"/>
          <w:iCs w:val="1"/>
          <w:color w:val="auto"/>
        </w:rPr>
      </w:pPr>
    </w:p>
    <w:p>
      <w:pPr>
        <w:jc w:val="both"/>
        <w:ind w:firstLine="639"/>
        <w:spacing w:after="0" w:line="271" w:lineRule="auto"/>
        <w:tabs>
          <w:tab w:leader="none" w:pos="109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Book Entry Registration or Certificated Shares</w:t>
      </w:r>
      <w:r>
        <w:rPr>
          <w:rFonts w:ascii="Arial" w:cs="Arial" w:eastAsia="Arial" w:hAnsi="Arial"/>
          <w:sz w:val="18"/>
          <w:szCs w:val="18"/>
          <w:color w:val="auto"/>
        </w:rPr>
        <w:t>. Shares of Restricted Stock shall be evidenced in such manner as the Committee may deem</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213"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NMI Holdings, Inc. 2014 Amended and Restated Omnibus Incentive Plan and an Award Agreement. Copies of such Plan and Agreement are on file at the offices of NMI Holdings, Inc.</w:t>
      </w:r>
    </w:p>
    <w:p>
      <w:pPr>
        <w:spacing w:after="0" w:line="209"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209" w:lineRule="exact"/>
        <w:rPr>
          <w:sz w:val="20"/>
          <w:szCs w:val="20"/>
          <w:color w:val="auto"/>
        </w:rPr>
      </w:pPr>
    </w:p>
    <w:p>
      <w:pPr>
        <w:ind w:firstLine="639"/>
        <w:spacing w:after="0" w:line="342" w:lineRule="auto"/>
        <w:tabs>
          <w:tab w:leader="none" w:pos="1021"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Shares of Restricted Stock shall be subject to the following terms and conditions and such other terms and conditions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are set forth in the applicable Award Agreement (including the vesting or forfeiture provisions applicable upon a Termination of Employment):</w:t>
      </w:r>
    </w:p>
    <w:p>
      <w:pPr>
        <w:spacing w:after="0" w:line="174" w:lineRule="exact"/>
        <w:rPr>
          <w:rFonts w:ascii="Arial" w:cs="Arial" w:eastAsia="Arial" w:hAnsi="Arial"/>
          <w:sz w:val="16"/>
          <w:szCs w:val="16"/>
          <w:i w:val="1"/>
          <w:iCs w:val="1"/>
          <w:color w:val="auto"/>
        </w:rPr>
      </w:pPr>
    </w:p>
    <w:p>
      <w:pPr>
        <w:jc w:val="both"/>
        <w:ind w:left="1280" w:hanging="8"/>
        <w:spacing w:after="0" w:line="292" w:lineRule="auto"/>
        <w:tabs>
          <w:tab w:leader="none" w:pos="1683"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w:t>
      </w:r>
    </w:p>
    <w:p>
      <w:pPr>
        <w:jc w:val="both"/>
        <w:ind w:left="1280"/>
        <w:spacing w:after="0" w:line="276" w:lineRule="auto"/>
        <w:rPr>
          <w:rFonts w:ascii="Arial" w:cs="Arial" w:eastAsia="Arial" w:hAnsi="Arial"/>
          <w:sz w:val="16"/>
          <w:szCs w:val="16"/>
          <w:color w:val="auto"/>
        </w:rPr>
      </w:pPr>
      <w:r>
        <w:rPr>
          <w:rFonts w:ascii="Arial" w:cs="Arial" w:eastAsia="Arial" w:hAnsi="Arial"/>
          <w:sz w:val="18"/>
          <w:szCs w:val="18"/>
          <w:color w:val="auto"/>
        </w:rPr>
        <w:t>(C) the grant or vesting of an Award of Restricted Stock upon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ectPr>
          <w:pgSz w:w="11900" w:h="16838" w:orient="portrait"/>
          <w:cols w:equalWidth="0" w:num="1">
            <w:col w:w="11240"/>
          </w:cols>
          <w:pgMar w:left="320" w:top="345" w:right="339" w:bottom="1440" w:gutter="0" w:footer="0" w:header="0"/>
        </w:sectPr>
      </w:pPr>
    </w:p>
    <w:bookmarkStart w:id="69" w:name="page70"/>
    <w:bookmarkEnd w:id="69"/>
    <w:p>
      <w:pPr>
        <w:jc w:val="both"/>
        <w:ind w:left="1280" w:hanging="8"/>
        <w:spacing w:after="0" w:line="271" w:lineRule="auto"/>
        <w:tabs>
          <w:tab w:leader="none" w:pos="1824"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the provisions of this Plan and the applicable Award Agreement, during the period, if any, set by the Committee, commencing with the date of such Restricted Stock Award for which such vesting restrictions apply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and until the expiration of the Restriction Period, the Participant shall not be permitted to sell, assign, transfer, pledge or otherwise encumber Shares of Restricted Stock.</w:t>
      </w:r>
    </w:p>
    <w:p>
      <w:pPr>
        <w:spacing w:after="0" w:line="212" w:lineRule="exact"/>
        <w:rPr>
          <w:rFonts w:ascii="Arial" w:cs="Arial" w:eastAsia="Arial" w:hAnsi="Arial"/>
          <w:sz w:val="18"/>
          <w:szCs w:val="18"/>
          <w:color w:val="auto"/>
        </w:rPr>
      </w:pPr>
    </w:p>
    <w:p>
      <w:pPr>
        <w:jc w:val="both"/>
        <w:ind w:firstLine="639"/>
        <w:spacing w:after="0" w:line="304" w:lineRule="auto"/>
        <w:tabs>
          <w:tab w:leader="none" w:pos="1051"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Rights of a Shareholder</w:t>
      </w:r>
      <w:r>
        <w:rPr>
          <w:rFonts w:ascii="Arial" w:cs="Arial" w:eastAsia="Arial" w:hAnsi="Arial"/>
          <w:sz w:val="16"/>
          <w:szCs w:val="16"/>
          <w:color w:val="auto"/>
        </w:rPr>
        <w:t>. Except as provided in this Section 6 and the applicable Award Agreement, the applicable Participant shall have,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Shares of Restricted Stock, all of the rights of a shareholder of the Company holding the class or series of Common Stock that is the subject of the Restricted Stock, including, if applicable, the right to vote the Shares and the right to receive any dividends. As determined by the Committee in the applicable Award Agreement and subject to Section 15(e), (A) cash dividends on the class or series of Common Stock that is the subject of the Restricted Stock Award shall be payable in cash and shall be held subject to the vesting of the underlying Restricted Stock, or held subject to meeting Performance Goals applicable only to dividends, and (B) dividends payable in Common Stock shall be paid in the form of Restricted Stock of the same class as the Common Stock with which such dividend was paid, and shall be held subject to the vesting of the underlying Restricted Stock, or held subject to meeting Performance Goals applicable only to dividends.</w:t>
      </w:r>
    </w:p>
    <w:p>
      <w:pPr>
        <w:spacing w:after="0" w:line="206" w:lineRule="exact"/>
        <w:rPr>
          <w:rFonts w:ascii="Arial" w:cs="Arial" w:eastAsia="Arial" w:hAnsi="Arial"/>
          <w:sz w:val="16"/>
          <w:szCs w:val="16"/>
          <w:i w:val="1"/>
          <w:iCs w:val="1"/>
          <w:color w:val="auto"/>
        </w:rPr>
      </w:pPr>
    </w:p>
    <w:p>
      <w:pPr>
        <w:jc w:val="both"/>
        <w:ind w:firstLine="639"/>
        <w:spacing w:after="0" w:line="269" w:lineRule="auto"/>
        <w:tabs>
          <w:tab w:leader="none" w:pos="1049"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Delivery of Unlegended Certificates</w:t>
      </w:r>
      <w:r>
        <w:rPr>
          <w:rFonts w:ascii="Arial" w:cs="Arial" w:eastAsia="Arial" w:hAnsi="Arial"/>
          <w:sz w:val="18"/>
          <w:szCs w:val="18"/>
          <w:color w:val="auto"/>
        </w:rPr>
        <w:t>. If and when any applicable Performance Goals are satisfied and the Restriction Period expires without a</w:t>
      </w:r>
      <w:r>
        <w:rPr>
          <w:rFonts w:ascii="Arial" w:cs="Arial" w:eastAsia="Arial" w:hAnsi="Arial"/>
          <w:sz w:val="18"/>
          <w:szCs w:val="18"/>
          <w:i w:val="1"/>
          <w:iCs w:val="1"/>
          <w:color w:val="auto"/>
        </w:rPr>
        <w:t xml:space="preserve"> </w:t>
      </w:r>
      <w:r>
        <w:rPr>
          <w:rFonts w:ascii="Arial" w:cs="Arial" w:eastAsia="Arial" w:hAnsi="Arial"/>
          <w:sz w:val="18"/>
          <w:szCs w:val="18"/>
          <w:color w:val="auto"/>
        </w:rPr>
        <w:t>prior forfeiture of the Shares of Restricted Stock for which legended certificates have been issued, unlegended certificates for such Shares shall be delivered to the Participant upon surrender of the legended certificates.</w:t>
      </w:r>
    </w:p>
    <w:p>
      <w:pPr>
        <w:spacing w:after="0" w:line="227" w:lineRule="exact"/>
        <w:rPr>
          <w:rFonts w:ascii="Arial" w:cs="Arial" w:eastAsia="Arial" w:hAnsi="Arial"/>
          <w:sz w:val="18"/>
          <w:szCs w:val="18"/>
          <w:i w:val="1"/>
          <w:iCs w:val="1"/>
          <w:color w:val="auto"/>
        </w:rPr>
      </w:pPr>
    </w:p>
    <w:p>
      <w:pPr>
        <w:ind w:firstLine="639"/>
        <w:spacing w:after="0" w:line="278" w:lineRule="auto"/>
        <w:tabs>
          <w:tab w:leader="none" w:pos="1142"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or Employment, his or her Restricted Stock shall be treated as set forth below:</w:t>
      </w:r>
    </w:p>
    <w:p>
      <w:pPr>
        <w:spacing w:after="0" w:line="206" w:lineRule="exact"/>
        <w:rPr>
          <w:rFonts w:ascii="Arial" w:cs="Arial" w:eastAsia="Arial" w:hAnsi="Arial"/>
          <w:sz w:val="18"/>
          <w:szCs w:val="18"/>
          <w:i w:val="1"/>
          <w:iCs w:val="1"/>
          <w:color w:val="auto"/>
        </w:rPr>
      </w:pPr>
    </w:p>
    <w:p>
      <w:pPr>
        <w:jc w:val="both"/>
        <w:ind w:left="1280" w:hanging="8"/>
        <w:spacing w:after="0" w:line="271" w:lineRule="auto"/>
        <w:tabs>
          <w:tab w:leader="none" w:pos="1632"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Reason of Death or Disability</w:t>
      </w:r>
      <w:r>
        <w:rPr>
          <w:rFonts w:ascii="Arial" w:cs="Arial" w:eastAsia="Arial" w:hAnsi="Arial"/>
          <w:sz w:val="18"/>
          <w:szCs w:val="18"/>
          <w:color w:val="auto"/>
        </w:rPr>
        <w:t>. If a Participant incurs a Termination of Employment by reason of death or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including any Performance Goals, applicable to any Restricted Stock shall lapse (with respect to Performance Goals, be deemed earned in full based on the applicable target level), and such Restricted Stock shall become free of all restrictions and become fully vested and transferable to the full extent of the original grant.</w:t>
      </w:r>
    </w:p>
    <w:p>
      <w:pPr>
        <w:spacing w:after="0" w:line="226" w:lineRule="exact"/>
        <w:rPr>
          <w:sz w:val="20"/>
          <w:szCs w:val="20"/>
          <w:color w:val="auto"/>
        </w:rPr>
      </w:pPr>
    </w:p>
    <w:p>
      <w:pPr>
        <w:jc w:val="both"/>
        <w:ind w:left="1280" w:hanging="8"/>
        <w:spacing w:after="0" w:line="269" w:lineRule="auto"/>
        <w:tabs>
          <w:tab w:leader="none" w:pos="1766"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Other Termination</w:t>
      </w:r>
      <w:r>
        <w:rPr>
          <w:rFonts w:ascii="Arial" w:cs="Arial" w:eastAsia="Arial" w:hAnsi="Arial"/>
          <w:sz w:val="18"/>
          <w:szCs w:val="18"/>
          <w:color w:val="auto"/>
        </w:rPr>
        <w:t>. If a Participant incurs a Termination of Employment for any reason other than death or Disability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 Period or before the requisite service period or applicable Performance Goals are satisfied, all Shares still subject to restriction shall be forfeited by the Participant.</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Restricted Stock Units</w:t>
      </w:r>
    </w:p>
    <w:p>
      <w:pPr>
        <w:spacing w:after="0" w:line="261" w:lineRule="exact"/>
        <w:rPr>
          <w:sz w:val="20"/>
          <w:szCs w:val="20"/>
          <w:color w:val="auto"/>
        </w:rPr>
      </w:pPr>
    </w:p>
    <w:p>
      <w:pPr>
        <w:jc w:val="both"/>
        <w:ind w:firstLine="639"/>
        <w:spacing w:after="0" w:line="276" w:lineRule="auto"/>
        <w:tabs>
          <w:tab w:leader="none" w:pos="1058"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Nature of Awards</w:t>
      </w:r>
      <w:r>
        <w:rPr>
          <w:rFonts w:ascii="Arial" w:cs="Arial" w:eastAsia="Arial" w:hAnsi="Arial"/>
          <w:sz w:val="18"/>
          <w:szCs w:val="18"/>
          <w:color w:val="auto"/>
        </w:rPr>
        <w:t>. Restricted stock units and deferred share rights (together,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Awards denominated in Shares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settled, subject to the terms and conditions of the Restricted Stock Units, in an amount in cash, Shares, or both, based upon the Fair Market Value of a specified number of Shares.</w:t>
      </w:r>
    </w:p>
    <w:p>
      <w:pPr>
        <w:spacing w:after="0" w:line="209" w:lineRule="exact"/>
        <w:rPr>
          <w:rFonts w:ascii="Arial" w:cs="Arial" w:eastAsia="Arial" w:hAnsi="Arial"/>
          <w:sz w:val="18"/>
          <w:szCs w:val="18"/>
          <w:i w:val="1"/>
          <w:iCs w:val="1"/>
          <w:color w:val="auto"/>
        </w:rPr>
      </w:pPr>
    </w:p>
    <w:p>
      <w:pPr>
        <w:ind w:firstLine="639"/>
        <w:spacing w:after="0" w:line="342" w:lineRule="auto"/>
        <w:tabs>
          <w:tab w:leader="none" w:pos="104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Restricted Stock Units shall be subject to the following terms and conditions and such other terms and conditions as are</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the applicable Award Agreement (including the vesting or forfeiture provisions applicable upon a Termination of Employment):</w:t>
      </w:r>
    </w:p>
    <w:p>
      <w:pPr>
        <w:spacing w:after="0" w:line="174" w:lineRule="exact"/>
        <w:rPr>
          <w:rFonts w:ascii="Arial" w:cs="Arial" w:eastAsia="Arial" w:hAnsi="Arial"/>
          <w:sz w:val="16"/>
          <w:szCs w:val="16"/>
          <w:i w:val="1"/>
          <w:iCs w:val="1"/>
          <w:color w:val="auto"/>
        </w:rPr>
      </w:pPr>
    </w:p>
    <w:p>
      <w:pPr>
        <w:jc w:val="both"/>
        <w:ind w:left="1280" w:hanging="8"/>
        <w:spacing w:after="0" w:line="306" w:lineRule="auto"/>
        <w:tabs>
          <w:tab w:leader="none" w:pos="1646"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(C) the grant or vesting of an Award of Restricted Stock Units upon the attainment of Performance Goals and the continued service of the applicable Participant. The conditions for grant or vesting and the other provisions of Restricted Stock Units (including without limitation any applicable Performance Goals) need not be the same with respect to each recipient. An Award of Restricted Stock Units shall be settled as and when the Restricted Stock Units vest, at a later time specified</w:t>
      </w:r>
    </w:p>
    <w:p>
      <w:pPr>
        <w:sectPr>
          <w:pgSz w:w="11900" w:h="16838" w:orient="portrait"/>
          <w:cols w:equalWidth="0" w:num="1">
            <w:col w:w="11240"/>
          </w:cols>
          <w:pgMar w:left="320" w:top="116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by the Committee in the applicable Award Agreement, or, if the Committee so permits, in accordance with an election of the Participant.</w:t>
      </w:r>
    </w:p>
    <w:p>
      <w:pPr>
        <w:spacing w:after="0" w:line="278" w:lineRule="exact"/>
        <w:rPr>
          <w:sz w:val="20"/>
          <w:szCs w:val="20"/>
          <w:color w:val="auto"/>
        </w:rPr>
      </w:pPr>
    </w:p>
    <w:p>
      <w:pPr>
        <w:ind w:left="1280" w:hanging="8"/>
        <w:spacing w:after="0" w:line="342" w:lineRule="auto"/>
        <w:tabs>
          <w:tab w:leader="none" w:pos="1685"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Subject to the provisions of this Plan and the applicable Award Agreement, during the Restriction Period, if any, set by the Committee, the Participant shall not be permitted to sell, assign, transfer, pledge or otherwise encumber Restricted Stock Units.</w:t>
      </w:r>
    </w:p>
    <w:p>
      <w:pPr>
        <w:spacing w:after="0" w:line="174" w:lineRule="exact"/>
        <w:rPr>
          <w:rFonts w:ascii="Arial" w:cs="Arial" w:eastAsia="Arial" w:hAnsi="Arial"/>
          <w:sz w:val="16"/>
          <w:szCs w:val="16"/>
          <w:color w:val="auto"/>
        </w:rPr>
      </w:pPr>
    </w:p>
    <w:p>
      <w:pPr>
        <w:jc w:val="both"/>
        <w:ind w:left="1280" w:hanging="8"/>
        <w:spacing w:after="0" w:line="269" w:lineRule="auto"/>
        <w:tabs>
          <w:tab w:leader="none" w:pos="171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Award Agreement for Restricted Stock Units shall specify whether, to what extent and on what terms and conditions the applicable Participant shall be entitled to receive payments of cash, Common Stock or other property corresponding to the dividends payable on the Common Stock (subject to Section 15(e) below).</w:t>
      </w:r>
    </w:p>
    <w:p>
      <w:pPr>
        <w:spacing w:after="0" w:line="227" w:lineRule="exact"/>
        <w:rPr>
          <w:rFonts w:ascii="Arial" w:cs="Arial" w:eastAsia="Arial" w:hAnsi="Arial"/>
          <w:sz w:val="18"/>
          <w:szCs w:val="18"/>
          <w:color w:val="auto"/>
        </w:rPr>
      </w:pPr>
    </w:p>
    <w:p>
      <w:pPr>
        <w:jc w:val="both"/>
        <w:ind w:firstLine="639"/>
        <w:spacing w:after="0" w:line="306" w:lineRule="auto"/>
        <w:tabs>
          <w:tab w:leader="none" w:pos="1064"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Rights of a Shareholder</w:t>
      </w:r>
      <w:r>
        <w:rPr>
          <w:rFonts w:ascii="Arial" w:cs="Arial" w:eastAsia="Arial" w:hAnsi="Arial"/>
          <w:sz w:val="16"/>
          <w:szCs w:val="16"/>
          <w:color w:val="auto"/>
        </w:rPr>
        <w:t>. A Participant to whom Restricted Stock Units are awarded shall have no rights as a shareholder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represented by the Restricted Stock Units unless and until Shares are actually delivered to the participant in settlement thereof. Unless otherwise determined by the Committee and subject to Section 15(e), an Award of Restricted Stock Units shall be adjusted to reflect deemed reinvestment in additional Restricted Stock Units of the dividends that would be paid and distributions that would be made with respect to the Award of Restricted Stock Units if it consisted of actual Shares. Notwithstanding the immediately preceding sentence, if an adjustment to an Award of Restricted Stock Units is made pursuant to Section 3(d) as a result of any dividend or distribution, no increase to such Award (by means of deemed reinvestment in additional Restricted Stock Units) shall be made under this Section 7(c) as a result of the same dividend or distribution.</w:t>
      </w:r>
    </w:p>
    <w:p>
      <w:pPr>
        <w:spacing w:after="0" w:line="191" w:lineRule="exact"/>
        <w:rPr>
          <w:rFonts w:ascii="Arial" w:cs="Arial" w:eastAsia="Arial" w:hAnsi="Arial"/>
          <w:sz w:val="16"/>
          <w:szCs w:val="16"/>
          <w:i w:val="1"/>
          <w:iCs w:val="1"/>
          <w:color w:val="auto"/>
        </w:rPr>
      </w:pPr>
    </w:p>
    <w:p>
      <w:pPr>
        <w:ind w:firstLine="639"/>
        <w:spacing w:after="0" w:line="278" w:lineRule="auto"/>
        <w:tabs>
          <w:tab w:leader="none" w:pos="1181"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of Employment, his or her Restricted Stock Units shall be treated as set forth below:</w:t>
      </w:r>
    </w:p>
    <w:p>
      <w:pPr>
        <w:spacing w:after="0" w:line="219" w:lineRule="exact"/>
        <w:rPr>
          <w:rFonts w:ascii="Arial" w:cs="Arial" w:eastAsia="Arial" w:hAnsi="Arial"/>
          <w:sz w:val="18"/>
          <w:szCs w:val="18"/>
          <w:i w:val="1"/>
          <w:iCs w:val="1"/>
          <w:color w:val="auto"/>
        </w:rPr>
      </w:pPr>
    </w:p>
    <w:p>
      <w:pPr>
        <w:jc w:val="both"/>
        <w:ind w:left="1280" w:hanging="8"/>
        <w:spacing w:after="0" w:line="271" w:lineRule="auto"/>
        <w:tabs>
          <w:tab w:leader="none" w:pos="1632" w:val="left"/>
        </w:tabs>
        <w:numPr>
          <w:ilvl w:val="1"/>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Reason of Death or Disability</w:t>
      </w:r>
      <w:r>
        <w:rPr>
          <w:rFonts w:ascii="Arial" w:cs="Arial" w:eastAsia="Arial" w:hAnsi="Arial"/>
          <w:sz w:val="18"/>
          <w:szCs w:val="18"/>
          <w:color w:val="auto"/>
        </w:rPr>
        <w:t>. If a Participant incurs a Termination of Employment by reason of death or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including any Performance Goals, applicable to any Restricted Stock Units shall lapse (with respect to Performance Goals, be deemed earned in full based on the applicable target level), and such Restricted Stock Units shall become fully vested and settled to the full extent of the original grant.</w:t>
      </w:r>
    </w:p>
    <w:p>
      <w:pPr>
        <w:spacing w:after="0" w:line="212" w:lineRule="exact"/>
        <w:rPr>
          <w:rFonts w:ascii="Arial" w:cs="Arial" w:eastAsia="Arial" w:hAnsi="Arial"/>
          <w:sz w:val="18"/>
          <w:szCs w:val="18"/>
          <w:i w:val="1"/>
          <w:iCs w:val="1"/>
          <w:color w:val="auto"/>
        </w:rPr>
      </w:pPr>
    </w:p>
    <w:p>
      <w:pPr>
        <w:jc w:val="both"/>
        <w:ind w:left="1280" w:hanging="8"/>
        <w:spacing w:after="0" w:line="276" w:lineRule="auto"/>
        <w:tabs>
          <w:tab w:leader="none" w:pos="1766"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Termination</w:t>
      </w:r>
      <w:r>
        <w:rPr>
          <w:rFonts w:ascii="Arial" w:cs="Arial" w:eastAsia="Arial" w:hAnsi="Arial"/>
          <w:sz w:val="18"/>
          <w:szCs w:val="18"/>
          <w:color w:val="auto"/>
        </w:rPr>
        <w:t>. If a Participant incurs a Termination of Employment for any reason other than death or Disability during the Restriction Period or before the applicable Performance Goals are satisfied, all unvested Restricted Stock Units shall be forfeited by the Participant.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Performance Units</w:t>
      </w:r>
    </w:p>
    <w:p>
      <w:pPr>
        <w:spacing w:after="0" w:line="261" w:lineRule="exact"/>
        <w:rPr>
          <w:sz w:val="20"/>
          <w:szCs w:val="20"/>
          <w:color w:val="auto"/>
        </w:rPr>
      </w:pPr>
    </w:p>
    <w:p>
      <w:pPr>
        <w:jc w:val="both"/>
        <w:ind w:firstLine="1266"/>
        <w:spacing w:after="0" w:line="269" w:lineRule="auto"/>
        <w:rPr>
          <w:sz w:val="20"/>
          <w:szCs w:val="20"/>
          <w:color w:val="auto"/>
        </w:rPr>
      </w:pPr>
      <w:r>
        <w:rPr>
          <w:rFonts w:ascii="Arial" w:cs="Arial" w:eastAsia="Arial" w:hAnsi="Arial"/>
          <w:sz w:val="18"/>
          <w:szCs w:val="18"/>
          <w:color w:val="auto"/>
        </w:rPr>
        <w:t>Performance Units may be issued hereunder to Eligible Individuals, for no cash consideration or for such minimum consideration as may be required by applicable law, either alone or in addition to other Awards granted under this Plan. The Performance Goals to be achieved during any Performance Period and the length of the Performance Period shall be determined by the Committee upon the grant of each Performance Unit. The conditions for grant or vesting and the other provisions of Performance Units (including without limitation any applicable Performance Goals) need not be the same with respect to each recipient. Performance Units may be paid in cash, Shares, other property or any combination thereof, in the sole discretion of the Committee as set forth in the applicable Award Agreement.</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Other Stock-Based Awards</w:t>
      </w:r>
    </w:p>
    <w:p>
      <w:pPr>
        <w:spacing w:after="0" w:line="274" w:lineRule="exact"/>
        <w:rPr>
          <w:sz w:val="20"/>
          <w:szCs w:val="20"/>
          <w:color w:val="auto"/>
        </w:rPr>
      </w:pPr>
    </w:p>
    <w:p>
      <w:pPr>
        <w:jc w:val="both"/>
        <w:ind w:firstLine="1266"/>
        <w:spacing w:after="0" w:line="271" w:lineRule="auto"/>
        <w:rPr>
          <w:sz w:val="20"/>
          <w:szCs w:val="20"/>
          <w:color w:val="auto"/>
        </w:rPr>
      </w:pPr>
      <w:r>
        <w:rPr>
          <w:rFonts w:ascii="Arial" w:cs="Arial" w:eastAsia="Arial" w:hAnsi="Arial"/>
          <w:sz w:val="18"/>
          <w:szCs w:val="18"/>
          <w:color w:val="auto"/>
        </w:rPr>
        <w:t>The Committee may grant Awards of Shares or related to Shares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w:t>
      </w:r>
    </w:p>
    <w:p>
      <w:pPr>
        <w:sectPr>
          <w:pgSz w:w="11900" w:h="16838" w:orient="portrait"/>
          <w:cols w:equalWidth="0" w:num="1">
            <w:col w:w="11240"/>
          </w:cols>
          <w:pgMar w:left="320" w:top="345" w:right="339" w:bottom="1440" w:gutter="0" w:footer="0" w:header="0"/>
        </w:sectPr>
      </w:pPr>
    </w:p>
    <w:bookmarkStart w:id="71" w:name="page72"/>
    <w:bookmarkEnd w:id="71"/>
    <w:p>
      <w:pPr>
        <w:jc w:val="both"/>
        <w:spacing w:after="0" w:line="271" w:lineRule="auto"/>
        <w:rPr>
          <w:sz w:val="20"/>
          <w:szCs w:val="20"/>
          <w:color w:val="auto"/>
        </w:rPr>
      </w:pPr>
      <w:r>
        <w:rPr>
          <w:rFonts w:ascii="Arial" w:cs="Arial" w:eastAsia="Arial" w:hAnsi="Arial"/>
          <w:sz w:val="18"/>
          <w:szCs w:val="18"/>
          <w:color w:val="auto"/>
        </w:rPr>
        <w:t>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Cash-Based Awards</w:t>
      </w:r>
    </w:p>
    <w:p>
      <w:pPr>
        <w:spacing w:after="0" w:line="261" w:lineRule="exact"/>
        <w:rPr>
          <w:sz w:val="20"/>
          <w:szCs w:val="20"/>
          <w:color w:val="auto"/>
        </w:rPr>
      </w:pPr>
    </w:p>
    <w:p>
      <w:pPr>
        <w:jc w:val="both"/>
        <w:ind w:firstLine="1266"/>
        <w:spacing w:after="0" w:line="313" w:lineRule="auto"/>
        <w:rPr>
          <w:sz w:val="20"/>
          <w:szCs w:val="20"/>
          <w:color w:val="auto"/>
        </w:rPr>
      </w:pPr>
      <w:r>
        <w:rPr>
          <w:rFonts w:ascii="Arial" w:cs="Arial" w:eastAsia="Arial" w:hAnsi="Arial"/>
          <w:sz w:val="16"/>
          <w:szCs w:val="16"/>
          <w:color w:val="auto"/>
        </w:rPr>
        <w:t>The Committee may grant Awards to Eligible Individuals that are denominated and payable in cash in such amounts and subject to such terms and conditions consistent with the terms of this Plan as the Committee shall determine. With respect to a Cash-Based Award subject to Performance Goals, the Performance Goals to be achieved during any performance period and the length of the performance period shall be determined by the Committee upon the grant of such Cash-Based Award, or (b) the grant or vesting of Cash-Based Awards upon the attainment of Performance Goals or (c) the grant or vesting of a Cash-Based Awards upon the attainment of Performance Goals and the continued service of the applicable Participant.</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Change-in-Control Provisions</w:t>
      </w:r>
    </w:p>
    <w:p>
      <w:pPr>
        <w:spacing w:after="0" w:line="261" w:lineRule="exact"/>
        <w:rPr>
          <w:sz w:val="20"/>
          <w:szCs w:val="20"/>
          <w:color w:val="auto"/>
        </w:rPr>
      </w:pPr>
    </w:p>
    <w:p>
      <w:pPr>
        <w:ind w:firstLine="639"/>
        <w:spacing w:after="0" w:line="293" w:lineRule="auto"/>
        <w:tabs>
          <w:tab w:leader="none" w:pos="104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provisions of this Section 11 shall, subject to Section 3(d), apply notwithstanding any other provision of this Plan to the contrary,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the Committee specifically provides otherwise in an Award Agreement.</w:t>
      </w:r>
    </w:p>
    <w:p>
      <w:pPr>
        <w:spacing w:after="0" w:line="193" w:lineRule="exact"/>
        <w:rPr>
          <w:rFonts w:ascii="Arial" w:cs="Arial" w:eastAsia="Arial" w:hAnsi="Arial"/>
          <w:sz w:val="18"/>
          <w:szCs w:val="18"/>
          <w:i w:val="1"/>
          <w:iCs w:val="1"/>
          <w:color w:val="auto"/>
        </w:rPr>
      </w:pPr>
    </w:p>
    <w:p>
      <w:pPr>
        <w:jc w:val="both"/>
        <w:ind w:firstLine="639"/>
        <w:spacing w:after="0" w:line="303" w:lineRule="auto"/>
        <w:tabs>
          <w:tab w:leader="none" w:pos="102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Impact of Change in Control</w:t>
      </w:r>
      <w:r>
        <w:rPr>
          <w:rFonts w:ascii="Arial" w:cs="Arial" w:eastAsia="Arial" w:hAnsi="Arial"/>
          <w:sz w:val="16"/>
          <w:szCs w:val="16"/>
          <w:color w:val="auto"/>
        </w:rPr>
        <w:t>. Upon the occurrence of a Change in Control, unless otherwise provided in the applicable Award Agreement: (i) all</w:t>
      </w:r>
      <w:r>
        <w:rPr>
          <w:rFonts w:ascii="Arial" w:cs="Arial" w:eastAsia="Arial" w:hAnsi="Arial"/>
          <w:sz w:val="16"/>
          <w:szCs w:val="16"/>
          <w:i w:val="1"/>
          <w:iCs w:val="1"/>
          <w:color w:val="auto"/>
        </w:rPr>
        <w:t xml:space="preserve"> </w:t>
      </w:r>
      <w:r>
        <w:rPr>
          <w:rFonts w:ascii="Arial" w:cs="Arial" w:eastAsia="Arial" w:hAnsi="Arial"/>
          <w:sz w:val="16"/>
          <w:szCs w:val="16"/>
          <w:color w:val="auto"/>
        </w:rPr>
        <w:t>then-outstanding Stock Options and Stock Appreciation Rights shall become fully vested and exercisable, and all Full-Value Awards (other than performance-based Awards) shall vest in full, be free of restrictions, and be deemed to be earned and payable in an amount equal to the full value of such Award, except in each case to the extent that another Award meeting the requirements of Section 11(c) (any award meeting the requirements of Section 11(c),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w:t>
      </w:r>
      <w:r>
        <w:rPr>
          <w:rFonts w:ascii="Arial" w:cs="Arial" w:eastAsia="Arial" w:hAnsi="Arial"/>
          <w:sz w:val="16"/>
          <w:szCs w:val="16"/>
          <w:color w:val="auto"/>
        </w:rPr>
        <w:t>”) is provided to the Participant pursuant to Section 3(d) to replace such Award (any award intended to be replaced by a Replacement Award, a “</w:t>
      </w:r>
      <w:r>
        <w:rPr>
          <w:rFonts w:ascii="Arial" w:cs="Arial" w:eastAsia="Arial" w:hAnsi="Arial"/>
          <w:sz w:val="16"/>
          <w:szCs w:val="16"/>
          <w:u w:val="single" w:color="auto"/>
          <w:color w:val="auto"/>
        </w:rPr>
        <w:t>Replaced Award</w:t>
      </w:r>
      <w:r>
        <w:rPr>
          <w:rFonts w:ascii="Arial" w:cs="Arial" w:eastAsia="Arial" w:hAnsi="Arial"/>
          <w:sz w:val="16"/>
          <w:szCs w:val="16"/>
          <w:color w:val="auto"/>
        </w:rPr>
        <w:t>”),and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96" w:lineRule="exact"/>
        <w:rPr>
          <w:rFonts w:ascii="Arial" w:cs="Arial" w:eastAsia="Arial" w:hAnsi="Arial"/>
          <w:sz w:val="16"/>
          <w:szCs w:val="16"/>
          <w:i w:val="1"/>
          <w:iCs w:val="1"/>
          <w:color w:val="auto"/>
        </w:rPr>
      </w:pPr>
    </w:p>
    <w:p>
      <w:pPr>
        <w:jc w:val="both"/>
        <w:ind w:firstLine="639"/>
        <w:spacing w:after="0" w:line="305" w:lineRule="auto"/>
        <w:tabs>
          <w:tab w:leader="none" w:pos="1046"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Replacement Awards</w:t>
      </w:r>
      <w:r>
        <w:rPr>
          <w:rFonts w:ascii="Arial" w:cs="Arial" w:eastAsia="Arial" w:hAnsi="Arial"/>
          <w:sz w:val="16"/>
          <w:szCs w:val="16"/>
          <w:color w:val="auto"/>
        </w:rPr>
        <w:t>. An Award shall meet the conditions of this Section 11(c) (and hence qualify as a Replacement Award) if: (i) it 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type as the Replaced Award; (ii) it has a value equal to the value of the Replaced Award as of the date of the Change in Control, as determined by the Committee in its sole discretion consistent with Section 3(d);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The determination whether the conditions of this Section 11(c) are satisfied shall be made by the Committee, as constituted immediately before the Change in Control, in its sole discretion.</w:t>
      </w:r>
    </w:p>
    <w:p>
      <w:pPr>
        <w:spacing w:after="0" w:line="190" w:lineRule="exact"/>
        <w:rPr>
          <w:rFonts w:ascii="Arial" w:cs="Arial" w:eastAsia="Arial" w:hAnsi="Arial"/>
          <w:sz w:val="16"/>
          <w:szCs w:val="16"/>
          <w:i w:val="1"/>
          <w:iCs w:val="1"/>
          <w:color w:val="auto"/>
        </w:rPr>
      </w:pPr>
    </w:p>
    <w:p>
      <w:pPr>
        <w:jc w:val="both"/>
        <w:ind w:firstLine="639"/>
        <w:spacing w:after="0" w:line="313" w:lineRule="auto"/>
        <w:tabs>
          <w:tab w:leader="none" w:pos="1014"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Notwithstanding any other provision of this Plan to the contrary and unless otherwise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set forth in the applicable Award Agreement (or other severance, change in control or employment agreement), upon a Termination of Employment of a Participant by the Company other than for Cause within 24 months following a Change in Control, (i) all Replacement Awards held by such Participant shall vest in full, be free of restrictions, and be deemed to be earned in full (with respect to Performance Goals, unless otherwise agreed in connection with the Change in Control, at the greater of (x) the applicable target level and (y) the level of achievement of the Performance Goals</w:t>
      </w:r>
    </w:p>
    <w:p>
      <w:pPr>
        <w:sectPr>
          <w:pgSz w:w="11900" w:h="16838" w:orient="portrait"/>
          <w:cols w:equalWidth="0" w:num="1">
            <w:col w:w="11240"/>
          </w:cols>
          <w:pgMar w:left="320" w:top="116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Stock Appreciation Right held by the Participant as of the date of the Change in Control that remains outstanding as of the date of such Termination of Employment may thereafter be exercised until the expiration of the stated full Term of such Stock Option or Stock Appreciation Right.</w:t>
      </w:r>
    </w:p>
    <w:p>
      <w:pPr>
        <w:spacing w:after="0" w:line="187" w:lineRule="exact"/>
        <w:rPr>
          <w:sz w:val="20"/>
          <w:szCs w:val="20"/>
          <w:color w:val="auto"/>
        </w:rPr>
      </w:pPr>
    </w:p>
    <w:p>
      <w:pPr>
        <w:ind w:left="1000" w:hanging="361"/>
        <w:spacing w:after="0"/>
        <w:tabs>
          <w:tab w:leader="none" w:pos="100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Definition of Change in Control</w:t>
      </w:r>
      <w:r>
        <w:rPr>
          <w:rFonts w:ascii="Arial" w:cs="Arial" w:eastAsia="Arial" w:hAnsi="Arial"/>
          <w:sz w:val="16"/>
          <w:szCs w:val="16"/>
          <w:color w:val="auto"/>
        </w:rPr>
        <w:t>. For purposes of this Plan,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happening of any of the following events:</w:t>
      </w:r>
    </w:p>
    <w:p>
      <w:pPr>
        <w:spacing w:after="0" w:line="291" w:lineRule="exact"/>
        <w:rPr>
          <w:sz w:val="20"/>
          <w:szCs w:val="20"/>
          <w:color w:val="auto"/>
        </w:rPr>
      </w:pPr>
    </w:p>
    <w:p>
      <w:pPr>
        <w:jc w:val="both"/>
        <w:ind w:left="640" w:hanging="1"/>
        <w:spacing w:after="0" w:line="304" w:lineRule="auto"/>
        <w:tabs>
          <w:tab w:leader="none" w:pos="10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acquisition by 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13d-3 promulgated under the Exchange Act) of 30% or more of either (1) the then outstanding shares of common stock of the Company (the “</w:t>
      </w:r>
      <w:r>
        <w:rPr>
          <w:rFonts w:ascii="Arial" w:cs="Arial" w:eastAsia="Arial" w:hAnsi="Arial"/>
          <w:sz w:val="16"/>
          <w:szCs w:val="16"/>
          <w:u w:val="single" w:color="auto"/>
          <w:color w:val="auto"/>
        </w:rPr>
        <w:t>Outstanding Company Common Stock</w:t>
      </w:r>
      <w:r>
        <w:rPr>
          <w:rFonts w:ascii="Arial" w:cs="Arial" w:eastAsia="Arial" w:hAnsi="Arial"/>
          <w:sz w:val="16"/>
          <w:szCs w:val="16"/>
          <w:color w:val="auto"/>
        </w:rPr>
        <w:t>”) or (2) the combined voting power of the then 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 the following acquisitions shall not constitute a Change of Control: (1) any acquisition directly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(2) any acquisition by the Company, (3) any acquisition by any employee benefit plan (or related trust) sponsored or maintained by the Company or any entity controlled by the Company, or (4) any acquisition by any entity pursuant to a transaction which complies with clauses (1), (2) and (3) of subsection (iii) of this Section 11(e); or</w:t>
      </w:r>
    </w:p>
    <w:p>
      <w:pPr>
        <w:spacing w:after="0" w:line="193" w:lineRule="exact"/>
        <w:rPr>
          <w:rFonts w:ascii="Arial" w:cs="Arial" w:eastAsia="Arial" w:hAnsi="Arial"/>
          <w:sz w:val="16"/>
          <w:szCs w:val="16"/>
          <w:color w:val="auto"/>
        </w:rPr>
      </w:pPr>
    </w:p>
    <w:p>
      <w:pPr>
        <w:jc w:val="both"/>
        <w:ind w:left="640" w:hanging="1"/>
        <w:spacing w:after="0" w:line="307" w:lineRule="auto"/>
        <w:tabs>
          <w:tab w:leader="none" w:pos="1039"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the Effective Date,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for purposes of this Section 11(e),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187" w:lineRule="exact"/>
        <w:rPr>
          <w:rFonts w:ascii="Arial" w:cs="Arial" w:eastAsia="Arial" w:hAnsi="Arial"/>
          <w:sz w:val="16"/>
          <w:szCs w:val="16"/>
          <w:color w:val="auto"/>
        </w:rPr>
      </w:pPr>
    </w:p>
    <w:p>
      <w:pPr>
        <w:jc w:val="both"/>
        <w:ind w:left="640" w:hanging="1"/>
        <w:spacing w:after="0" w:line="301" w:lineRule="auto"/>
        <w:tabs>
          <w:tab w:leader="none" w:pos="11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 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entity resulting from such Business Combination or any employee benefit plan (or related trust) of the Company or such entity resulting from such Business Combination) beneficially owns, directly or indirectly,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w:t>
      </w:r>
    </w:p>
    <w:p>
      <w:pPr>
        <w:sectPr>
          <w:pgSz w:w="11900" w:h="16838" w:orient="portrait"/>
          <w:cols w:equalWidth="0" w:num="1">
            <w:col w:w="11240"/>
          </w:cols>
          <w:pgMar w:left="320" w:top="345" w:right="339" w:bottom="1440" w:gutter="0" w:footer="0" w:header="0"/>
        </w:sectPr>
      </w:pPr>
    </w:p>
    <w:bookmarkStart w:id="73" w:name="page74"/>
    <w:bookmarkEnd w:id="73"/>
    <w:p>
      <w:pPr>
        <w:ind w:left="640"/>
        <w:spacing w:after="0" w:line="278" w:lineRule="auto"/>
        <w:rPr>
          <w:sz w:val="20"/>
          <w:szCs w:val="20"/>
          <w:color w:val="auto"/>
        </w:rPr>
      </w:pPr>
      <w:r>
        <w:rPr>
          <w:rFonts w:ascii="Arial" w:cs="Arial" w:eastAsia="Arial" w:hAnsi="Arial"/>
          <w:sz w:val="18"/>
          <w:szCs w:val="18"/>
          <w:color w:val="auto"/>
        </w:rPr>
        <w:t>Business Combination were members of the Incumbent Board at the time of the execution of the initial agreement, or of the action of the Board, providing for such Business Combination; or</w:t>
      </w:r>
    </w:p>
    <w:p>
      <w:pPr>
        <w:spacing w:after="0" w:line="206"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The approval by the shareholders of the Company of a complete liquidation or dissolution of the Company.</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Section 16(b); Section 409A</w:t>
      </w:r>
    </w:p>
    <w:p>
      <w:pPr>
        <w:spacing w:after="0" w:line="261" w:lineRule="exact"/>
        <w:rPr>
          <w:sz w:val="20"/>
          <w:szCs w:val="20"/>
          <w:color w:val="auto"/>
        </w:rPr>
      </w:pPr>
    </w:p>
    <w:p>
      <w:pPr>
        <w:jc w:val="both"/>
        <w:ind w:firstLine="639"/>
        <w:spacing w:after="0" w:line="268" w:lineRule="auto"/>
        <w:tabs>
          <w:tab w:leader="none" w:pos="10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provisions of this Plan are intended to ensure that no transaction under this Plan is subject to (and all such transactions will be exempt from) the short-swing recovery rules of Section 16(b) of the Exchange Act (“</w:t>
      </w:r>
      <w:r>
        <w:rPr>
          <w:rFonts w:ascii="Arial" w:cs="Arial" w:eastAsia="Arial" w:hAnsi="Arial"/>
          <w:sz w:val="18"/>
          <w:szCs w:val="18"/>
          <w:u w:val="single" w:color="auto"/>
          <w:color w:val="auto"/>
        </w:rPr>
        <w:t>Section 16(b)</w:t>
      </w:r>
      <w:r>
        <w:rPr>
          <w:rFonts w:ascii="Arial" w:cs="Arial" w:eastAsia="Arial" w:hAnsi="Arial"/>
          <w:sz w:val="18"/>
          <w:szCs w:val="18"/>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29" w:lineRule="exact"/>
        <w:rPr>
          <w:rFonts w:ascii="Arial" w:cs="Arial" w:eastAsia="Arial" w:hAnsi="Arial"/>
          <w:sz w:val="18"/>
          <w:szCs w:val="18"/>
          <w:color w:val="auto"/>
        </w:rPr>
      </w:pPr>
    </w:p>
    <w:p>
      <w:pPr>
        <w:jc w:val="both"/>
        <w:ind w:firstLine="639"/>
        <w:spacing w:after="0" w:line="301" w:lineRule="auto"/>
        <w:tabs>
          <w:tab w:leader="none" w:pos="10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Term, Amendment and Termination</w:t>
      </w:r>
    </w:p>
    <w:p>
      <w:pPr>
        <w:spacing w:after="0" w:line="261" w:lineRule="exact"/>
        <w:rPr>
          <w:sz w:val="20"/>
          <w:szCs w:val="20"/>
          <w:color w:val="auto"/>
        </w:rPr>
      </w:pPr>
    </w:p>
    <w:p>
      <w:pPr>
        <w:jc w:val="both"/>
        <w:ind w:firstLine="639"/>
        <w:spacing w:after="0" w:line="315" w:lineRule="auto"/>
        <w:tabs>
          <w:tab w:leader="none" w:pos="1027"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The Plan was approved by the Board on March 21, 2014, and became effective upon approval by the Company’s shareholders on</w:t>
      </w:r>
      <w:r>
        <w:rPr>
          <w:rFonts w:ascii="Arial" w:cs="Arial" w:eastAsia="Arial" w:hAnsi="Arial"/>
          <w:sz w:val="16"/>
          <w:szCs w:val="16"/>
          <w:i w:val="1"/>
          <w:iCs w:val="1"/>
          <w:color w:val="auto"/>
        </w:rPr>
        <w:t xml:space="preserve"> </w:t>
      </w:r>
      <w:r>
        <w:rPr>
          <w:rFonts w:ascii="Arial" w:cs="Arial" w:eastAsia="Arial" w:hAnsi="Arial"/>
          <w:sz w:val="16"/>
          <w:szCs w:val="16"/>
          <w:color w:val="auto"/>
        </w:rPr>
        <w:t>May 8, 2014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first amendment and restatement of the Plan was approved by the Board on February 9, 2017 and became effective upon approval by the Company’s shareholders on May 11, 2017. This second amendment and restatement of the Plan was approved by the Board on March 16, 2022, and it will be effective as of the date of such approval by the Company’s shareholders (the “</w:t>
      </w:r>
      <w:r>
        <w:rPr>
          <w:rFonts w:ascii="Arial" w:cs="Arial" w:eastAsia="Arial" w:hAnsi="Arial"/>
          <w:sz w:val="16"/>
          <w:szCs w:val="16"/>
          <w:u w:val="single" w:color="auto"/>
          <w:color w:val="auto"/>
        </w:rPr>
        <w:t>Restatement Effective Date</w:t>
      </w:r>
      <w:r>
        <w:rPr>
          <w:rFonts w:ascii="Arial" w:cs="Arial" w:eastAsia="Arial" w:hAnsi="Arial"/>
          <w:sz w:val="16"/>
          <w:szCs w:val="16"/>
          <w:color w:val="auto"/>
        </w:rPr>
        <w:t>”).</w:t>
      </w:r>
    </w:p>
    <w:p>
      <w:pPr>
        <w:spacing w:after="0" w:line="181" w:lineRule="exact"/>
        <w:rPr>
          <w:rFonts w:ascii="Arial" w:cs="Arial" w:eastAsia="Arial" w:hAnsi="Arial"/>
          <w:sz w:val="16"/>
          <w:szCs w:val="16"/>
          <w:i w:val="1"/>
          <w:iCs w:val="1"/>
          <w:color w:val="auto"/>
        </w:rPr>
      </w:pPr>
    </w:p>
    <w:p>
      <w:pPr>
        <w:ind w:firstLine="639"/>
        <w:spacing w:after="0" w:line="293" w:lineRule="auto"/>
        <w:tabs>
          <w:tab w:leader="none" w:pos="1014"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Plan will terminate on the tenth anniversary of the Restatement Effective Date. Awards outstanding as of such date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or impaired by the termination of this Plan.</w:t>
      </w:r>
    </w:p>
    <w:p>
      <w:pPr>
        <w:spacing w:after="0" w:line="193" w:lineRule="exact"/>
        <w:rPr>
          <w:rFonts w:ascii="Arial" w:cs="Arial" w:eastAsia="Arial" w:hAnsi="Arial"/>
          <w:sz w:val="18"/>
          <w:szCs w:val="18"/>
          <w:i w:val="1"/>
          <w:iCs w:val="1"/>
          <w:color w:val="auto"/>
        </w:rPr>
      </w:pPr>
    </w:p>
    <w:p>
      <w:pPr>
        <w:jc w:val="both"/>
        <w:ind w:firstLine="639"/>
        <w:spacing w:after="0" w:line="268" w:lineRule="auto"/>
        <w:tabs>
          <w:tab w:leader="none" w:pos="1045"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Amendment of Plan</w:t>
      </w:r>
      <w:r>
        <w:rPr>
          <w:rFonts w:ascii="Arial" w:cs="Arial" w:eastAsia="Arial" w:hAnsi="Arial"/>
          <w:sz w:val="18"/>
          <w:szCs w:val="18"/>
          <w:color w:val="auto"/>
        </w:rPr>
        <w:t>. The Board or the Committee may amend, alter, or discontinue this Plan, but no amendment, alteration or discontinuation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shareholders to the extent such approval is required by applicable law or the listing standards of the Applicable Exchange.</w:t>
      </w:r>
    </w:p>
    <w:p>
      <w:pPr>
        <w:spacing w:after="0" w:line="229" w:lineRule="exact"/>
        <w:rPr>
          <w:rFonts w:ascii="Arial" w:cs="Arial" w:eastAsia="Arial" w:hAnsi="Arial"/>
          <w:sz w:val="18"/>
          <w:szCs w:val="18"/>
          <w:i w:val="1"/>
          <w:iCs w:val="1"/>
          <w:color w:val="auto"/>
        </w:rPr>
      </w:pPr>
    </w:p>
    <w:p>
      <w:pPr>
        <w:jc w:val="both"/>
        <w:ind w:firstLine="639"/>
        <w:spacing w:after="0" w:line="317" w:lineRule="auto"/>
        <w:tabs>
          <w:tab w:leader="none" w:pos="1028"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Amendment of Awards</w:t>
      </w:r>
      <w:r>
        <w:rPr>
          <w:rFonts w:ascii="Arial" w:cs="Arial" w:eastAsia="Arial" w:hAnsi="Arial"/>
          <w:sz w:val="16"/>
          <w:szCs w:val="16"/>
          <w:color w:val="auto"/>
        </w:rPr>
        <w:t>. Subject to Section 5(d), the Committee may unilaterally amend the terms of any Award theretofore granted, but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shall without the Participant’s consent materially impair the rights of any Participant with respect to an Award, except such an amendment made to cause this Plan or Award to comply with applicable law, Applicable Exchange listing standards or accounting rules.</w:t>
      </w:r>
    </w:p>
    <w:p>
      <w:pPr>
        <w:sectPr>
          <w:pgSz w:w="11900" w:h="16838" w:orient="portrait"/>
          <w:cols w:equalWidth="0" w:num="1">
            <w:col w:w="11240"/>
          </w:cols>
          <w:pgMar w:left="320" w:top="1169" w:right="339" w:bottom="1440" w:gutter="0" w:footer="0" w:header="0"/>
        </w:sectPr>
      </w:pPr>
    </w:p>
    <w:bookmarkStart w:id="74" w:name="page75"/>
    <w:bookmarkEnd w:id="74"/>
    <w:p>
      <w:pPr>
        <w:ind w:left="1032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Unfunded Status of Plan</w:t>
      </w:r>
    </w:p>
    <w:p>
      <w:pPr>
        <w:spacing w:after="0" w:line="261" w:lineRule="exact"/>
        <w:rPr>
          <w:sz w:val="20"/>
          <w:szCs w:val="20"/>
          <w:color w:val="auto"/>
        </w:rPr>
      </w:pPr>
    </w:p>
    <w:p>
      <w:pPr>
        <w:jc w:val="both"/>
        <w:ind w:firstLine="633"/>
        <w:spacing w:after="0" w:line="326" w:lineRule="auto"/>
        <w:rPr>
          <w:sz w:val="20"/>
          <w:szCs w:val="20"/>
          <w:color w:val="auto"/>
        </w:rPr>
      </w:pPr>
      <w:r>
        <w:rPr>
          <w:rFonts w:ascii="Arial" w:cs="Arial" w:eastAsia="Arial" w:hAnsi="Arial"/>
          <w:sz w:val="16"/>
          <w:szCs w:val="16"/>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Committee otherwise determines, the existence of such trusts or other arrangements is consistent with the “unfunded” status of this Plan.</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General Provisions</w:t>
      </w:r>
    </w:p>
    <w:p>
      <w:pPr>
        <w:spacing w:after="0" w:line="261" w:lineRule="exact"/>
        <w:rPr>
          <w:sz w:val="20"/>
          <w:szCs w:val="20"/>
          <w:color w:val="auto"/>
        </w:rPr>
      </w:pPr>
    </w:p>
    <w:p>
      <w:pPr>
        <w:jc w:val="both"/>
        <w:ind w:firstLine="639"/>
        <w:spacing w:after="0" w:line="305" w:lineRule="auto"/>
        <w:tabs>
          <w:tab w:leader="none" w:pos="1023"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Conditions for Issuance</w:t>
      </w:r>
      <w:r>
        <w:rPr>
          <w:rFonts w:ascii="Arial" w:cs="Arial" w:eastAsia="Arial" w:hAnsi="Arial"/>
          <w:sz w:val="16"/>
          <w:szCs w:val="16"/>
          <w:color w:val="auto"/>
        </w:rPr>
        <w:t>. The Committee may require each person purchasing or receiving Shares pursuant to an Award to represent to and agree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90" w:lineRule="exact"/>
        <w:rPr>
          <w:rFonts w:ascii="Arial" w:cs="Arial" w:eastAsia="Arial" w:hAnsi="Arial"/>
          <w:sz w:val="16"/>
          <w:szCs w:val="16"/>
          <w:i w:val="1"/>
          <w:iCs w:val="1"/>
          <w:color w:val="auto"/>
        </w:rPr>
      </w:pPr>
    </w:p>
    <w:p>
      <w:pPr>
        <w:ind w:firstLine="639"/>
        <w:spacing w:after="0" w:line="293" w:lineRule="auto"/>
        <w:tabs>
          <w:tab w:leader="none" w:pos="1019"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Compensation Arrangements</w:t>
      </w:r>
      <w:r>
        <w:rPr>
          <w:rFonts w:ascii="Arial" w:cs="Arial" w:eastAsia="Arial" w:hAnsi="Arial"/>
          <w:sz w:val="18"/>
          <w:szCs w:val="18"/>
          <w:color w:val="auto"/>
        </w:rPr>
        <w:t>. Nothing contained in this Plan shall prevent the Company or any Subsidiary or Affiliate from adopting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or additional compensation arrangements for its employees.</w:t>
      </w:r>
    </w:p>
    <w:p>
      <w:pPr>
        <w:spacing w:after="0" w:line="193" w:lineRule="exact"/>
        <w:rPr>
          <w:rFonts w:ascii="Arial" w:cs="Arial" w:eastAsia="Arial" w:hAnsi="Arial"/>
          <w:sz w:val="18"/>
          <w:szCs w:val="18"/>
          <w:i w:val="1"/>
          <w:iCs w:val="1"/>
          <w:color w:val="auto"/>
        </w:rPr>
      </w:pPr>
    </w:p>
    <w:p>
      <w:pPr>
        <w:jc w:val="both"/>
        <w:ind w:firstLine="639"/>
        <w:spacing w:after="0" w:line="276" w:lineRule="auto"/>
        <w:tabs>
          <w:tab w:leader="none" w:pos="1102"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No Contract of Employment</w:t>
      </w:r>
      <w:r>
        <w:rPr>
          <w:rFonts w:ascii="Arial" w:cs="Arial" w:eastAsia="Arial" w:hAnsi="Arial"/>
          <w:sz w:val="18"/>
          <w:szCs w:val="18"/>
          <w:color w:val="auto"/>
        </w:rPr>
        <w:t>. The Plan shall not constitute a contract of employment, and adoption of this Plan shall not confer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any right to continued employment, nor shall it interfere in any way with the right of the Company or any Subsidiary or Affiliate to terminate the employment of any employee at any time.</w:t>
      </w:r>
    </w:p>
    <w:p>
      <w:pPr>
        <w:spacing w:after="0" w:line="209" w:lineRule="exact"/>
        <w:rPr>
          <w:rFonts w:ascii="Arial" w:cs="Arial" w:eastAsia="Arial" w:hAnsi="Arial"/>
          <w:sz w:val="18"/>
          <w:szCs w:val="18"/>
          <w:i w:val="1"/>
          <w:iCs w:val="1"/>
          <w:color w:val="auto"/>
        </w:rPr>
      </w:pPr>
    </w:p>
    <w:p>
      <w:pPr>
        <w:jc w:val="both"/>
        <w:ind w:firstLine="639"/>
        <w:spacing w:after="0" w:line="303" w:lineRule="auto"/>
        <w:tabs>
          <w:tab w:leader="none" w:pos="1014"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Required Taxes</w:t>
      </w:r>
      <w:r>
        <w:rPr>
          <w:rFonts w:ascii="Arial" w:cs="Arial" w:eastAsia="Arial" w:hAnsi="Arial"/>
          <w:sz w:val="16"/>
          <w:szCs w:val="16"/>
          <w:color w:val="auto"/>
        </w:rPr>
        <w:t>. No later than the date as of which an amount first becomes includible in the gross income of a Participant for federal, state, local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having a Fair Market Value on the date of withholding of up to the maximum amount permitted to be withheld for tax purposes, but in no event less than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unless otherwise subsequently determined by the Committee, with respect to a Participant subject to Section 16 of the Exchange Act, the withholding of Shares by the Company or any of its Affiliates to satisfy tax, exercise price or other withholding obligations in respect of an Award shall be mandatory.</w:t>
      </w:r>
    </w:p>
    <w:p>
      <w:pPr>
        <w:spacing w:after="0" w:line="193" w:lineRule="exact"/>
        <w:rPr>
          <w:rFonts w:ascii="Arial" w:cs="Arial" w:eastAsia="Arial" w:hAnsi="Arial"/>
          <w:sz w:val="16"/>
          <w:szCs w:val="16"/>
          <w:i w:val="1"/>
          <w:iCs w:val="1"/>
          <w:color w:val="auto"/>
        </w:rPr>
      </w:pPr>
    </w:p>
    <w:p>
      <w:pPr>
        <w:jc w:val="both"/>
        <w:ind w:firstLine="639"/>
        <w:spacing w:after="0" w:line="309" w:lineRule="auto"/>
        <w:tabs>
          <w:tab w:leader="none" w:pos="1067"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Limitation on Dividend Reinvestment and Dividend Equivalents</w:t>
      </w:r>
      <w:r>
        <w:rPr>
          <w:rFonts w:ascii="Arial" w:cs="Arial" w:eastAsia="Arial" w:hAnsi="Arial"/>
          <w:sz w:val="16"/>
          <w:szCs w:val="16"/>
          <w:color w:val="auto"/>
        </w:rPr>
        <w:t>. Reinvestment of dividends in additional Restricted Stock at the time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payment, and the payment of Shares with respect to dividends to Participants holding Awards of Restricted Stock Units, shall only be permissible if sufficient Shares are available under Section 3 for such reinvestment or payment (taking into account then-outstanding Awards). If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15(e).</w:t>
      </w:r>
    </w:p>
    <w:p>
      <w:pPr>
        <w:sectPr>
          <w:pgSz w:w="11900" w:h="16838" w:orient="portrait"/>
          <w:cols w:equalWidth="0" w:num="1">
            <w:col w:w="11240"/>
          </w:cols>
          <w:pgMar w:left="320" w:top="345" w:right="339" w:bottom="1440" w:gutter="0" w:footer="0" w:header="0"/>
        </w:sectPr>
      </w:pPr>
    </w:p>
    <w:bookmarkStart w:id="75" w:name="page76"/>
    <w:bookmarkEnd w:id="75"/>
    <w:p>
      <w:pPr>
        <w:jc w:val="both"/>
        <w:ind w:left="-639" w:firstLine="639"/>
        <w:spacing w:after="0" w:line="269" w:lineRule="auto"/>
        <w:tabs>
          <w:tab w:leader="none" w:pos="442"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Designation of Death Beneficiary</w:t>
      </w:r>
      <w:r>
        <w:rPr>
          <w:rFonts w:ascii="Arial" w:cs="Arial" w:eastAsia="Arial" w:hAnsi="Arial"/>
          <w:sz w:val="18"/>
          <w:szCs w:val="18"/>
          <w:color w:val="auto"/>
        </w:rPr>
        <w:t>. The Committee shall establish such procedures as it deems appropriate for a Participant to designate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to whom any amounts payable in the event of such Participant’s death are to be paid or by whom any rights of such eligible Individual, after such Participant’s death, may be exercised.</w:t>
      </w:r>
    </w:p>
    <w:p>
      <w:pPr>
        <w:spacing w:after="0" w:line="227" w:lineRule="exact"/>
        <w:rPr>
          <w:rFonts w:ascii="Arial" w:cs="Arial" w:eastAsia="Arial" w:hAnsi="Arial"/>
          <w:sz w:val="18"/>
          <w:szCs w:val="18"/>
          <w:i w:val="1"/>
          <w:iCs w:val="1"/>
          <w:color w:val="auto"/>
        </w:rPr>
      </w:pPr>
    </w:p>
    <w:p>
      <w:pPr>
        <w:jc w:val="both"/>
        <w:ind w:left="-639" w:firstLine="639"/>
        <w:spacing w:after="0" w:line="315" w:lineRule="auto"/>
        <w:tabs>
          <w:tab w:leader="none" w:pos="386"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Subsidiary Employees</w:t>
      </w:r>
      <w:r>
        <w:rPr>
          <w:rFonts w:ascii="Arial" w:cs="Arial" w:eastAsia="Arial" w:hAnsi="Arial"/>
          <w:sz w:val="16"/>
          <w:szCs w:val="16"/>
          <w:color w:val="auto"/>
        </w:rPr>
        <w:t>. In the case of a grant of an Award to any employee of a Subsidiary, the Company may, if the Committee so directs, issue</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revert to the Company.</w:t>
      </w:r>
    </w:p>
    <w:p>
      <w:pPr>
        <w:spacing w:after="0" w:line="181" w:lineRule="exact"/>
        <w:rPr>
          <w:rFonts w:ascii="Arial" w:cs="Arial" w:eastAsia="Arial" w:hAnsi="Arial"/>
          <w:sz w:val="16"/>
          <w:szCs w:val="16"/>
          <w:i w:val="1"/>
          <w:iCs w:val="1"/>
          <w:color w:val="auto"/>
        </w:rPr>
      </w:pPr>
    </w:p>
    <w:p>
      <w:pPr>
        <w:jc w:val="both"/>
        <w:ind w:left="-639" w:firstLine="639"/>
        <w:spacing w:after="0" w:line="276" w:lineRule="auto"/>
        <w:tabs>
          <w:tab w:leader="none" w:pos="503"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 and Interpretation</w:t>
      </w:r>
      <w:r>
        <w:rPr>
          <w:rFonts w:ascii="Arial" w:cs="Arial" w:eastAsia="Arial" w:hAnsi="Arial"/>
          <w:sz w:val="18"/>
          <w:szCs w:val="18"/>
          <w:color w:val="auto"/>
        </w:rPr>
        <w:t>. The Plan and all Awards made and actions taken thereunder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without reference to principles of conflict of laws. The captions of this Plan are not part of the provisions hereof and shall have no force or effect.</w:t>
      </w:r>
    </w:p>
    <w:p>
      <w:pPr>
        <w:spacing w:after="0" w:line="209" w:lineRule="exact"/>
        <w:rPr>
          <w:rFonts w:ascii="Arial" w:cs="Arial" w:eastAsia="Arial" w:hAnsi="Arial"/>
          <w:sz w:val="18"/>
          <w:szCs w:val="18"/>
          <w:i w:val="1"/>
          <w:iCs w:val="1"/>
          <w:color w:val="auto"/>
        </w:rPr>
      </w:pPr>
    </w:p>
    <w:p>
      <w:pPr>
        <w:ind w:left="-639" w:firstLine="639"/>
        <w:spacing w:after="0" w:line="278" w:lineRule="auto"/>
        <w:tabs>
          <w:tab w:leader="none" w:pos="376"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Sections 5(i), 6(c)(ii) and 7(b)(ii) or as determined by the Committee, Awards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are not transferable except by will or by laws of descent and distribution.</w:t>
      </w:r>
    </w:p>
    <w:p>
      <w:pPr>
        <w:spacing w:after="0" w:line="219" w:lineRule="exact"/>
        <w:rPr>
          <w:rFonts w:ascii="Arial" w:cs="Arial" w:eastAsia="Arial" w:hAnsi="Arial"/>
          <w:sz w:val="18"/>
          <w:szCs w:val="18"/>
          <w:i w:val="1"/>
          <w:iCs w:val="1"/>
          <w:color w:val="auto"/>
        </w:rPr>
      </w:pPr>
    </w:p>
    <w:p>
      <w:pPr>
        <w:ind w:left="-639" w:firstLine="639"/>
        <w:spacing w:after="0" w:line="342" w:lineRule="auto"/>
        <w:tabs>
          <w:tab w:leader="none" w:pos="336"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Recoupment Policy</w:t>
      </w:r>
      <w:r>
        <w:rPr>
          <w:rFonts w:ascii="Arial" w:cs="Arial" w:eastAsia="Arial" w:hAnsi="Arial"/>
          <w:sz w:val="16"/>
          <w:szCs w:val="16"/>
          <w:color w:val="auto"/>
        </w:rPr>
        <w:t>. Awards shall be subject to any incentive compensation recoupment policy established from time to time by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in all events shall be subject to such forfeiture and recoupment provisions as may be required by applicable law or exchange rule or regulation.</w:t>
      </w:r>
    </w:p>
    <w:p>
      <w:pPr>
        <w:sectPr>
          <w:pgSz w:w="11900" w:h="16838" w:orient="portrait"/>
          <w:cols w:equalWidth="0" w:num="1">
            <w:col w:w="10601"/>
          </w:cols>
          <w:pgMar w:left="959" w:top="140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Guaranteed Securities by Subsidiary Guarantor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securities issued by the Company and guaranteed by NMI Services, Inc., a wholly-owned subsidiary of the Company (Subsidiary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7127240" cy="636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127240" cy="636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7.375% senior secured notes due June 19, 2025.</w:t>
      </w:r>
    </w:p>
    <w:p>
      <w:pPr>
        <w:spacing w:after="0" w:line="57" w:lineRule="exact"/>
        <w:rPr>
          <w:sz w:val="20"/>
          <w:szCs w:val="20"/>
          <w:color w:val="auto"/>
        </w:rPr>
      </w:pPr>
    </w:p>
    <w:p>
      <w:pPr>
        <w:ind w:left="40" w:right="40"/>
        <w:spacing w:after="0" w:line="247" w:lineRule="auto"/>
        <w:rPr>
          <w:sz w:val="20"/>
          <w:szCs w:val="20"/>
          <w:color w:val="auto"/>
        </w:rPr>
      </w:pPr>
      <w:r>
        <w:rPr>
          <w:rFonts w:ascii="Arial" w:cs="Arial" w:eastAsia="Arial" w:hAnsi="Arial"/>
          <w:sz w:val="18"/>
          <w:szCs w:val="18"/>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34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10" w:lineRule="exact"/>
        <w:rPr>
          <w:sz w:val="20"/>
          <w:szCs w:val="20"/>
          <w:color w:val="auto"/>
        </w:rPr>
      </w:pPr>
    </w:p>
    <w:p>
      <w:pPr>
        <w:ind w:left="320" w:hanging="314"/>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2"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4"/>
        <w:spacing w:after="0" w:line="262" w:lineRule="auto"/>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320" w:hanging="314"/>
        <w:spacing w:after="0" w:line="253" w:lineRule="auto"/>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jc w:val="both"/>
        <w:ind w:left="960" w:hanging="321"/>
        <w:spacing w:after="0" w:line="253" w:lineRule="auto"/>
        <w:tabs>
          <w:tab w:leader="none" w:pos="951"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960" w:hanging="321"/>
        <w:spacing w:after="0" w:line="253" w:lineRule="auto"/>
        <w:tabs>
          <w:tab w:leader="none" w:pos="94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960" w:hanging="321"/>
        <w:spacing w:after="0" w:line="325" w:lineRule="auto"/>
        <w:tabs>
          <w:tab w:leader="none" w:pos="951"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960" w:hanging="321"/>
        <w:spacing w:after="0" w:line="253" w:lineRule="auto"/>
        <w:tabs>
          <w:tab w:leader="none" w:pos="94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960" w:hanging="321"/>
        <w:spacing w:after="0" w:line="325" w:lineRule="auto"/>
        <w:tabs>
          <w:tab w:leader="none" w:pos="951"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960" w:right="180" w:hanging="321"/>
        <w:spacing w:after="0" w:line="262" w:lineRule="auto"/>
        <w:tabs>
          <w:tab w:leader="none" w:pos="94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Arial" w:cs="Arial" w:eastAsia="Arial" w:hAnsi="Arial"/>
                <w:sz w:val="18"/>
                <w:szCs w:val="18"/>
                <w:color w:val="auto"/>
              </w:rPr>
              <w:t>May 2, 2023</w:t>
            </w:r>
          </w:p>
        </w:tc>
        <w:tc>
          <w:tcPr>
            <w:tcW w:w="4340" w:type="dxa"/>
            <w:vAlign w:val="bottom"/>
            <w:gridSpan w:val="2"/>
          </w:tcPr>
          <w:p>
            <w:pPr>
              <w:ind w:left="1600"/>
              <w:spacing w:after="0"/>
              <w:rPr>
                <w:sz w:val="20"/>
                <w:szCs w:val="20"/>
                <w:color w:val="auto"/>
              </w:rPr>
            </w:pPr>
            <w:r>
              <w:rPr>
                <w:rFonts w:ascii="Arial" w:cs="Arial" w:eastAsia="Arial" w:hAnsi="Arial"/>
                <w:sz w:val="18"/>
                <w:szCs w:val="18"/>
                <w:color w:val="auto"/>
              </w:rPr>
              <w:t>/s/ Adam S. Pollitzer</w:t>
            </w:r>
          </w:p>
        </w:tc>
      </w:tr>
      <w:tr>
        <w:trPr>
          <w:trHeight w:val="243"/>
        </w:trPr>
        <w:tc>
          <w:tcPr>
            <w:tcW w:w="880" w:type="dxa"/>
            <w:vAlign w:val="bottom"/>
            <w:tcBorders>
              <w:top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S. Pollitzer</w:t>
            </w:r>
          </w:p>
        </w:tc>
      </w:tr>
      <w:tr>
        <w:trPr>
          <w:trHeight w:val="224"/>
        </w:trPr>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340" w:type="dxa"/>
            <w:vAlign w:val="bottom"/>
            <w:gridSpan w:val="2"/>
          </w:tcPr>
          <w:p>
            <w:pPr>
              <w:ind w:left="1600"/>
              <w:spacing w:after="0"/>
              <w:rPr>
                <w:sz w:val="20"/>
                <w:szCs w:val="20"/>
                <w:color w:val="auto"/>
              </w:rPr>
            </w:pPr>
            <w:r>
              <w:rPr>
                <w:rFonts w:ascii="Arial" w:cs="Arial" w:eastAsia="Arial" w:hAnsi="Arial"/>
                <w:sz w:val="18"/>
                <w:szCs w:val="18"/>
                <w:color w:val="auto"/>
              </w:rPr>
              <w:t>Chief Executive Officer</w:t>
            </w:r>
          </w:p>
        </w:tc>
      </w:tr>
      <w:tr>
        <w:trPr>
          <w:trHeight w:val="224"/>
        </w:trPr>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340" w:type="dxa"/>
            <w:vAlign w:val="bottom"/>
            <w:gridSpan w:val="2"/>
          </w:tcPr>
          <w:p>
            <w:pPr>
              <w:ind w:left="16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7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Ravi Mallela, certify that:</w:t>
      </w:r>
    </w:p>
    <w:p>
      <w:pPr>
        <w:spacing w:after="0" w:line="162"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2"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4"/>
        <w:spacing w:after="0" w:line="262"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ind w:left="320" w:hanging="314"/>
        <w:spacing w:after="0" w:line="262"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8" w:lineRule="exact"/>
        <w:rPr>
          <w:rFonts w:ascii="Arial" w:cs="Arial" w:eastAsia="Arial" w:hAnsi="Arial"/>
          <w:sz w:val="18"/>
          <w:szCs w:val="18"/>
          <w:color w:val="auto"/>
        </w:rPr>
      </w:pPr>
    </w:p>
    <w:p>
      <w:pPr>
        <w:jc w:val="both"/>
        <w:ind w:left="800" w:hanging="320"/>
        <w:spacing w:after="0" w:line="253" w:lineRule="auto"/>
        <w:tabs>
          <w:tab w:leader="none" w:pos="79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800" w:hanging="320"/>
        <w:spacing w:after="0" w:line="253" w:lineRule="auto"/>
        <w:tabs>
          <w:tab w:leader="none" w:pos="7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800" w:hanging="320"/>
        <w:spacing w:after="0" w:line="325" w:lineRule="auto"/>
        <w:tabs>
          <w:tab w:leader="none" w:pos="791"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800" w:hanging="320"/>
        <w:spacing w:after="0" w:line="253" w:lineRule="auto"/>
        <w:tabs>
          <w:tab w:leader="none" w:pos="7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800" w:hanging="320"/>
        <w:spacing w:after="0" w:line="262" w:lineRule="auto"/>
        <w:tabs>
          <w:tab w:leader="none" w:pos="791"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00" w:hanging="320"/>
        <w:spacing w:after="0" w:line="262" w:lineRule="auto"/>
        <w:tabs>
          <w:tab w:leader="none" w:pos="7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w w:val="88"/>
              </w:rPr>
              <w:t>May 2, 2023</w:t>
            </w:r>
          </w:p>
        </w:tc>
        <w:tc>
          <w:tcPr>
            <w:tcW w:w="1640" w:type="dxa"/>
            <w:vAlign w:val="bottom"/>
          </w:tcPr>
          <w:p>
            <w:pPr>
              <w:spacing w:after="0"/>
              <w:rPr>
                <w:sz w:val="18"/>
                <w:szCs w:val="18"/>
                <w:color w:val="auto"/>
              </w:rPr>
            </w:pPr>
          </w:p>
        </w:tc>
        <w:tc>
          <w:tcPr>
            <w:tcW w:w="4280" w:type="dxa"/>
            <w:vAlign w:val="bottom"/>
            <w:gridSpan w:val="2"/>
          </w:tcPr>
          <w:p>
            <w:pPr>
              <w:ind w:left="1660"/>
              <w:spacing w:after="0"/>
              <w:rPr>
                <w:sz w:val="20"/>
                <w:szCs w:val="20"/>
                <w:color w:val="auto"/>
              </w:rPr>
            </w:pPr>
            <w:r>
              <w:rPr>
                <w:rFonts w:ascii="Arial" w:cs="Arial" w:eastAsia="Arial" w:hAnsi="Arial"/>
                <w:sz w:val="18"/>
                <w:szCs w:val="18"/>
                <w:color w:val="auto"/>
              </w:rPr>
              <w:t>/s/ Ravi Mallela</w:t>
            </w:r>
          </w:p>
        </w:tc>
      </w:tr>
      <w:tr>
        <w:trPr>
          <w:trHeight w:val="20"/>
        </w:trPr>
        <w:tc>
          <w:tcPr>
            <w:tcW w:w="9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43"/>
        </w:trPr>
        <w:tc>
          <w:tcPr>
            <w:tcW w:w="9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280" w:type="dxa"/>
            <w:vAlign w:val="bottom"/>
            <w:gridSpan w:val="2"/>
          </w:tcPr>
          <w:p>
            <w:pPr>
              <w:ind w:left="1660"/>
              <w:spacing w:after="0"/>
              <w:rPr>
                <w:sz w:val="20"/>
                <w:szCs w:val="20"/>
                <w:color w:val="auto"/>
              </w:rPr>
            </w:pPr>
            <w:r>
              <w:rPr>
                <w:rFonts w:ascii="Arial" w:cs="Arial" w:eastAsia="Arial" w:hAnsi="Arial"/>
                <w:sz w:val="18"/>
                <w:szCs w:val="18"/>
                <w:color w:val="auto"/>
              </w:rPr>
              <w:t>Ravi Mallela</w:t>
            </w:r>
          </w:p>
        </w:tc>
      </w:tr>
      <w:tr>
        <w:trPr>
          <w:trHeight w:val="224"/>
        </w:trPr>
        <w:tc>
          <w:tcPr>
            <w:tcW w:w="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80" w:type="dxa"/>
            <w:vAlign w:val="bottom"/>
            <w:gridSpan w:val="2"/>
          </w:tcPr>
          <w:p>
            <w:pPr>
              <w:ind w:left="1660"/>
              <w:spacing w:after="0"/>
              <w:rPr>
                <w:sz w:val="20"/>
                <w:szCs w:val="20"/>
                <w:color w:val="auto"/>
              </w:rPr>
            </w:pPr>
            <w:r>
              <w:rPr>
                <w:rFonts w:ascii="Arial" w:cs="Arial" w:eastAsia="Arial" w:hAnsi="Arial"/>
                <w:sz w:val="18"/>
                <w:szCs w:val="18"/>
                <w:color w:val="auto"/>
              </w:rPr>
              <w:t>Chief Financial Officer</w:t>
            </w:r>
          </w:p>
        </w:tc>
      </w:tr>
      <w:tr>
        <w:trPr>
          <w:trHeight w:val="224"/>
        </w:trPr>
        <w:tc>
          <w:tcPr>
            <w:tcW w:w="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80" w:type="dxa"/>
            <w:vAlign w:val="bottom"/>
            <w:gridSpan w:val="2"/>
          </w:tcPr>
          <w:p>
            <w:pPr>
              <w:ind w:left="16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7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3" w:lineRule="exact"/>
        <w:rPr>
          <w:sz w:val="20"/>
          <w:szCs w:val="20"/>
          <w:color w:val="auto"/>
        </w:rPr>
      </w:pPr>
    </w:p>
    <w:p>
      <w:pPr>
        <w:jc w:val="both"/>
        <w:ind w:right="540"/>
        <w:spacing w:after="0" w:line="300" w:lineRule="auto"/>
        <w:rPr>
          <w:sz w:val="20"/>
          <w:szCs w:val="20"/>
          <w:color w:val="auto"/>
        </w:rPr>
      </w:pPr>
      <w:r>
        <w:rPr>
          <w:rFonts w:ascii="Arial" w:cs="Arial" w:eastAsia="Arial" w:hAnsi="Arial"/>
          <w:sz w:val="16"/>
          <w:szCs w:val="16"/>
          <w:color w:val="auto"/>
        </w:rPr>
        <w:t>In connection with the Quarterly Report of NMI Holdings, Inc. (the "Company") on Form 10-Q for the quarter ended March 31,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May 2, 2023</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u w:val="single" w:color="auto"/>
          <w:color w:val="auto"/>
        </w:rPr>
        <w:t>/s/ Adam S. Pollitzer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Adam S. Pollitzer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Executive Officer)</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May 2, 2023</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Ravi Mallela</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Ravi Mallela</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5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3"/>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01"/>
    </w:lvl>
    <w:lvl w:ilvl="1">
      <w:lvlJc w:val="left"/>
      <w:lvlText w:val="(%2)"/>
      <w:numFmt w:val="lowerRoman"/>
      <w:start w:val="1"/>
    </w:lvl>
  </w:abstractNum>
  <w:abstractNum w:abstractNumId="25">
    <w:nsid w:val="749ABB43"/>
    <w:multiLevelType w:val="hybridMultilevel"/>
    <w:lvl w:ilvl="0">
      <w:lvlJc w:val="left"/>
      <w:lvlText w:val="(%1)"/>
      <w:numFmt w:val="lowerRoman"/>
      <w:start w:val="4"/>
    </w:lvl>
  </w:abstractNum>
  <w:abstractNum w:abstractNumId="26">
    <w:nsid w:val="3DC240FB"/>
    <w:multiLevelType w:val="hybridMultilevel"/>
    <w:lvl w:ilvl="0">
      <w:lvlJc w:val="left"/>
      <w:lvlText w:val="~"/>
      <w:numFmt w:val="bullet"/>
      <w:start w:val="1"/>
    </w:lvl>
    <w:lvl w:ilvl="1">
      <w:lvlJc w:val="left"/>
      <w:lvlText w:val="%2"/>
      <w:numFmt w:val="decimal"/>
      <w:start w:val="104"/>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Letter"/>
      <w:start w:val="10"/>
    </w:lvl>
  </w:abstractNum>
  <w:abstractNum w:abstractNumId="31">
    <w:nsid w:val="70C6A529"/>
    <w:multiLevelType w:val="hybridMultilevel"/>
    <w:lvl w:ilvl="0">
      <w:lvlJc w:val="left"/>
      <w:lvlText w:val="(%1)"/>
      <w:numFmt w:val="lowerLetter"/>
      <w:start w:val="13"/>
    </w:lvl>
  </w:abstractNum>
  <w:abstractNum w:abstractNumId="32">
    <w:nsid w:val="520EEDD1"/>
    <w:multiLevelType w:val="hybridMultilevel"/>
    <w:lvl w:ilvl="0">
      <w:lvlJc w:val="left"/>
      <w:lvlText w:val="(%1)"/>
      <w:numFmt w:val="lowerLetter"/>
      <w:start w:val="22"/>
    </w:lvl>
  </w:abstractNum>
  <w:abstractNum w:abstractNumId="33">
    <w:nsid w:val="374A3FE6"/>
    <w:multiLevelType w:val="hybridMultilevel"/>
    <w:lvl w:ilvl="0">
      <w:lvlJc w:val="left"/>
      <w:lvlText w:val="(%1)"/>
      <w:numFmt w:val="lowerLetter"/>
      <w:start w:val="25"/>
    </w:lvl>
  </w:abstractNum>
  <w:abstractNum w:abstractNumId="34">
    <w:nsid w:val="4F4EF005"/>
    <w:multiLevelType w:val="hybridMultilevel"/>
    <w:lvl w:ilvl="0">
      <w:lvlJc w:val="left"/>
      <w:lvlText w:val="(%1)"/>
      <w:numFmt w:val="lowerLetter"/>
      <w:start w:val="26"/>
    </w:lvl>
  </w:abstractNum>
  <w:abstractNum w:abstractNumId="35">
    <w:nsid w:val="23F9C13C"/>
    <w:multiLevelType w:val="hybridMultilevel"/>
    <w:lvl w:ilvl="0">
      <w:lvlJc w:val="left"/>
      <w:lvlText w:val="(%1)"/>
      <w:numFmt w:val="lowerLetter"/>
      <w:start w:val="27"/>
    </w:lvl>
  </w:abstractNum>
  <w:abstractNum w:abstractNumId="36">
    <w:nsid w:val="649BB77C"/>
    <w:multiLevelType w:val="hybridMultilevel"/>
    <w:lvl w:ilvl="0">
      <w:lvlJc w:val="left"/>
      <w:lvlText w:val="(%1)"/>
      <w:numFmt w:val="lowerLetter"/>
      <w:start w:val="29"/>
    </w:lvl>
  </w:abstractNum>
  <w:abstractNum w:abstractNumId="37">
    <w:nsid w:val="275AC794"/>
    <w:multiLevelType w:val="hybridMultilevel"/>
    <w:lvl w:ilvl="0">
      <w:lvlJc w:val="left"/>
      <w:lvlText w:val="(%1)"/>
      <w:numFmt w:val="lowerLetter"/>
      <w:start w:val="39"/>
    </w:lvl>
  </w:abstractNum>
  <w:abstractNum w:abstractNumId="38">
    <w:nsid w:val="39386575"/>
    <w:multiLevelType w:val="hybridMultilevel"/>
    <w:lvl w:ilvl="0">
      <w:lvlJc w:val="left"/>
      <w:lvlText w:val="(%1)"/>
      <w:numFmt w:val="lowerLetter"/>
      <w:start w:val="50"/>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1"/>
    </w:lvl>
    <w:lvl w:ilvl="1">
      <w:lvlJc w:val="left"/>
      <w:lvlText w:val="(%2)"/>
      <w:numFmt w:val="lowerRoman"/>
      <w:start w:val="1"/>
    </w:lvl>
  </w:abstractNum>
  <w:abstractNum w:abstractNumId="41">
    <w:nsid w:val="235BA861"/>
    <w:multiLevelType w:val="hybridMultilevel"/>
    <w:lvl w:ilvl="0">
      <w:lvlJc w:val="left"/>
      <w:lvlText w:val="(%1)"/>
      <w:numFmt w:val="lowerLetter"/>
      <w:start w:val="2"/>
    </w:lvl>
    <w:lvl w:ilvl="1">
      <w:lvlJc w:val="left"/>
      <w:lvlText w:val="(%2)"/>
      <w:numFmt w:val="lowerRoman"/>
      <w:start w:val="1"/>
    </w:lvl>
  </w:abstractNum>
  <w:abstractNum w:abstractNumId="42">
    <w:nsid w:val="47398C89"/>
    <w:multiLevelType w:val="hybridMultilevel"/>
    <w:lvl w:ilvl="0">
      <w:lvlJc w:val="left"/>
      <w:lvlText w:val="%1"/>
      <w:numFmt w:val="lowerLetter"/>
      <w:start w:val="1"/>
    </w:lvl>
    <w:lvl w:ilvl="1">
      <w:lvlJc w:val="left"/>
      <w:lvlText w:val="(%2)"/>
      <w:numFmt w:val="lowerLetter"/>
      <w:start w:val="35"/>
    </w:lvl>
  </w:abstractNum>
  <w:abstractNum w:abstractNumId="43">
    <w:nsid w:val="354FE9F9"/>
    <w:multiLevelType w:val="hybridMultilevel"/>
    <w:lvl w:ilvl="0">
      <w:lvlJc w:val="left"/>
      <w:lvlText w:val="(%1)"/>
      <w:numFmt w:val="lowerLetter"/>
      <w:start w:val="3"/>
    </w:lvl>
    <w:lvl w:ilvl="1">
      <w:lvlJc w:val="left"/>
      <w:lvlText w:val="%2"/>
      <w:numFmt w:val="lowerLetter"/>
      <w:start w:val="1"/>
    </w:lvl>
  </w:abstractNum>
  <w:abstractNum w:abstractNumId="44">
    <w:nsid w:val="15B5AF5C"/>
    <w:multiLevelType w:val="hybridMultilevel"/>
    <w:lvl w:ilvl="0">
      <w:lvlJc w:val="left"/>
      <w:lvlText w:val="(%1)"/>
      <w:numFmt w:val="lowerLetter"/>
      <w:start w:val="5"/>
    </w:lvl>
  </w:abstractNum>
  <w:abstractNum w:abstractNumId="45">
    <w:nsid w:val="741226BB"/>
    <w:multiLevelType w:val="hybridMultilevel"/>
    <w:lvl w:ilvl="0">
      <w:lvlJc w:val="left"/>
      <w:lvlText w:val="(%1)"/>
      <w:numFmt w:val="lowerLetter"/>
      <w:start w:val="1"/>
    </w:lvl>
    <w:lvl w:ilvl="1">
      <w:lvlJc w:val="left"/>
      <w:lvlText w:val="(%2)"/>
      <w:numFmt w:val="lowerRoman"/>
      <w:start w:val="1"/>
    </w:lvl>
  </w:abstractNum>
  <w:abstractNum w:abstractNumId="46">
    <w:nsid w:val="D34B6A8"/>
    <w:multiLevelType w:val="hybridMultilevel"/>
    <w:lvl w:ilvl="0">
      <w:lvlJc w:val="left"/>
      <w:lvlText w:val="(%1)"/>
      <w:numFmt w:val="lowerLetter"/>
      <w:start w:val="4"/>
    </w:lvl>
    <w:lvl w:ilvl="1">
      <w:lvlJc w:val="left"/>
      <w:lvlText w:val="(%2)"/>
      <w:numFmt w:val="lowerRoman"/>
      <w:start w:val="1"/>
    </w:lvl>
  </w:abstractNum>
  <w:abstractNum w:abstractNumId="47">
    <w:nsid w:val="10233C99"/>
    <w:multiLevelType w:val="hybridMultilevel"/>
    <w:lvl w:ilvl="0">
      <w:lvlJc w:val="left"/>
      <w:lvlText w:val="(%1)"/>
      <w:numFmt w:val="lowerRoman"/>
      <w:start w:val="4"/>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Letter"/>
      <w:start w:val="2"/>
    </w:lvl>
  </w:abstractNum>
  <w:abstractNum w:abstractNumId="50">
    <w:nsid w:val="7E0C57B1"/>
    <w:multiLevelType w:val="hybridMultilevel"/>
    <w:lvl w:ilvl="0">
      <w:lvlJc w:val="left"/>
      <w:lvlText w:val="(%1)"/>
      <w:numFmt w:val="lowerLetter"/>
      <w:start w:val="3"/>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3"/>
    </w:lvl>
  </w:abstractNum>
  <w:abstractNum w:abstractNumId="53">
    <w:nsid w:val="310C50B3"/>
    <w:multiLevelType w:val="hybridMultilevel"/>
    <w:lvl w:ilvl="0">
      <w:lvlJc w:val="left"/>
      <w:lvlText w:val="(%1)"/>
      <w:numFmt w:val="lowerRoman"/>
      <w:start w:val="1"/>
    </w:lvl>
  </w:abstractNum>
  <w:abstractNum w:abstractNumId="54">
    <w:nsid w:val="5FF87E05"/>
    <w:multiLevelType w:val="hybridMultilevel"/>
    <w:lvl w:ilvl="0">
      <w:lvlJc w:val="left"/>
      <w:lvlText w:val="(%1)"/>
      <w:numFmt w:val="lowerLetter"/>
      <w:start w:val="8"/>
    </w:lvl>
  </w:abstractNum>
  <w:abstractNum w:abstractNumId="55">
    <w:nsid w:val="2F305DEF"/>
    <w:multiLevelType w:val="hybridMultilevel"/>
    <w:lvl w:ilvl="0">
      <w:lvlJc w:val="left"/>
      <w:lvlText w:val="(%1)"/>
      <w:numFmt w:val="lowerLetter"/>
      <w:start w:val="9"/>
    </w:lvl>
    <w:lvl w:ilvl="1">
      <w:lvlJc w:val="left"/>
      <w:lvlText w:val="(%2)"/>
      <w:numFmt w:val="lowerRoman"/>
      <w:start w:val="1"/>
    </w:lvl>
  </w:abstractNum>
  <w:abstractNum w:abstractNumId="56">
    <w:nsid w:val="25A70BF7"/>
    <w:multiLevelType w:val="hybridMultilevel"/>
    <w:lvl w:ilvl="0">
      <w:lvlJc w:val="left"/>
      <w:lvlText w:val="(%1)"/>
      <w:numFmt w:val="lowerLetter"/>
      <w:start w:val="11"/>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Letter"/>
      <w:start w:val="3"/>
    </w:lvl>
    <w:lvl w:ilvl="1">
      <w:lvlJc w:val="left"/>
      <w:lvlText w:val="(%2)"/>
      <w:numFmt w:val="lowerLetter"/>
      <w:start w:val="9"/>
    </w:lvl>
  </w:abstractNum>
  <w:abstractNum w:abstractNumId="59">
    <w:nsid w:val="1F48EAA1"/>
    <w:multiLevelType w:val="hybridMultilevel"/>
    <w:lvl w:ilvl="0">
      <w:lvlJc w:val="left"/>
      <w:lvlText w:val="%1"/>
      <w:numFmt w:val="lowerLetter"/>
      <w:start w:val="1"/>
    </w:lvl>
    <w:lvl w:ilvl="1">
      <w:lvlJc w:val="left"/>
      <w:lvlText w:val="(%2)"/>
      <w:numFmt w:val="lowerLetter"/>
      <w:start w:val="35"/>
    </w:lvl>
  </w:abstractNum>
  <w:abstractNum w:abstractNumId="60">
    <w:nsid w:val="1381823A"/>
    <w:multiLevelType w:val="hybridMultilevel"/>
    <w:lvl w:ilvl="0">
      <w:lvlJc w:val="left"/>
      <w:lvlText w:val="(%1)"/>
      <w:numFmt w:val="lowerLetter"/>
      <w:start w:val="4"/>
    </w:lvl>
    <w:lvl w:ilvl="1">
      <w:lvlJc w:val="left"/>
      <w:lvlText w:val="(%2)"/>
      <w:numFmt w:val="lowerLetter"/>
      <w:start w:val="9"/>
    </w:lvl>
  </w:abstractNum>
  <w:abstractNum w:abstractNumId="61">
    <w:nsid w:val="5DB70AE5"/>
    <w:multiLevelType w:val="hybridMultilevel"/>
    <w:lvl w:ilvl="0">
      <w:lvlJc w:val="left"/>
      <w:lvlText w:val="(%1)"/>
      <w:numFmt w:val="lowerRoman"/>
      <w:start w:val="2"/>
    </w:lvl>
  </w:abstractNum>
  <w:abstractNum w:abstractNumId="62">
    <w:nsid w:val="100F8FCA"/>
    <w:multiLevelType w:val="hybridMultilevel"/>
    <w:lvl w:ilvl="0">
      <w:lvlJc w:val="left"/>
      <w:lvlText w:val="(%1)"/>
      <w:numFmt w:val="lowerLetter"/>
      <w:start w:val="1"/>
    </w:lvl>
    <w:lvl w:ilvl="1">
      <w:lvlJc w:val="left"/>
      <w:lvlText w:val="(%2)"/>
      <w:numFmt w:val="lowerLetter"/>
      <w:start w:val="9"/>
    </w:lvl>
  </w:abstractNum>
  <w:abstractNum w:abstractNumId="63">
    <w:nsid w:val="6590700B"/>
    <w:multiLevelType w:val="hybridMultilevel"/>
    <w:lvl w:ilvl="0">
      <w:lvlJc w:val="left"/>
      <w:lvlText w:val="%1"/>
      <w:numFmt w:val="lowerLetter"/>
      <w:start w:val="1"/>
    </w:lvl>
    <w:lvl w:ilvl="1">
      <w:lvlJc w:val="left"/>
      <w:lvlText w:val="(%2)"/>
      <w:numFmt w:val="lowerRoman"/>
      <w:start w:val="2"/>
    </w:lvl>
  </w:abstractNum>
  <w:abstractNum w:abstractNumId="64">
    <w:nsid w:val="15014ACB"/>
    <w:multiLevelType w:val="hybridMultilevel"/>
    <w:lvl w:ilvl="0">
      <w:lvlJc w:val="left"/>
      <w:lvlText w:val="(%1)"/>
      <w:numFmt w:val="lowerLetter"/>
      <w:start w:val="3"/>
    </w:lvl>
    <w:lvl w:ilvl="1">
      <w:lvlJc w:val="left"/>
      <w:lvlText w:val="(%2)"/>
      <w:numFmt w:val="lowerRoman"/>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5"/>
    </w:lvl>
  </w:abstractNum>
  <w:abstractNum w:abstractNumId="67">
    <w:nsid w:val="799D0247"/>
    <w:multiLevelType w:val="hybridMultilevel"/>
    <w:lvl w:ilvl="0">
      <w:lvlJc w:val="left"/>
      <w:lvlText w:val="(%1)"/>
      <w:numFmt w:val="lowerRoman"/>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1)"/>
      <w:numFmt w:val="lowerLetter"/>
      <w:start w:val="6"/>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7"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68" Type="http://schemas.openxmlformats.org/officeDocument/2006/relationships/hyperlink" Target="http://www.sec.gov/Archives/edgar/data/1547903/000154790313000020/a31secondamendedandrestate.htm" TargetMode="External"/><Relationship Id="rId69" Type="http://schemas.openxmlformats.org/officeDocument/2006/relationships/hyperlink" Target="https://www.sec.gov/Archives/edgar/data/1547903/000154790322000175/exhibit32-nmihx4tharbylaws.htm" TargetMode="External"/><Relationship Id="rId70" Type="http://schemas.openxmlformats.org/officeDocument/2006/relationships/hyperlink" Target="https://www.sec.gov/Archives/edgar/data/1547903/000119312520174237/d949308dex41.htm" TargetMode="External"/><Relationship Id="rId71" Type="http://schemas.openxmlformats.org/officeDocument/2006/relationships/hyperlink" Target="https://www.sec.gov/Archives/edgar/data/1547903/000154790321000055/exhibit48nmihdescriptionof.htm" TargetMode="External"/><Relationship Id="rId72" Type="http://schemas.openxmlformats.org/officeDocument/2006/relationships/hyperlink" Target="https://www.sec.gov/Archives/edgar/data/1547903/000154790313000020/a101nmiholdingsinc2012stoc.htm" TargetMode="External"/><Relationship Id="rId73" Type="http://schemas.openxmlformats.org/officeDocument/2006/relationships/hyperlink" Target="https://www.sec.gov/Archives/edgar/data/1547903/000154790313000020/a103formofnmiholdingsinc20.htm" TargetMode="External"/><Relationship Id="rId74" Type="http://schemas.openxmlformats.org/officeDocument/2006/relationships/hyperlink" Target="https://www.sec.gov/Archives/edgar/data/1547903/000154790313000020/a105formofnonqualifiedstoc.htm" TargetMode="External"/><Relationship Id="rId75" Type="http://schemas.openxmlformats.org/officeDocument/2006/relationships/hyperlink" Target="https://www.sec.gov/Archives/edgar/data/1547903/000154790313000020/a106formofnonqualifiedstoc.htm" TargetMode="External"/><Relationship Id="rId76" Type="http://schemas.openxmlformats.org/officeDocument/2006/relationships/hyperlink" Target="https://www.sec.gov/Archives/edgar/data/1547903/000154790313000020/a107formofnonqualifiedstoc.htm" TargetMode="External"/><Relationship Id="rId77" Type="http://schemas.openxmlformats.org/officeDocument/2006/relationships/hyperlink" Target="https://www.sec.gov/Archives/edgar/data/1547903/000154790317000032/exhibit108-2012stockincent.htm" TargetMode="External"/><Relationship Id="rId78" Type="http://schemas.openxmlformats.org/officeDocument/2006/relationships/hyperlink" Target="https://www.sec.gov/Archives/edgar/data/1547903/000154790317000032/exhibit109-2012stockincent.htm" TargetMode="External"/><Relationship Id="rId79" Type="http://schemas.openxmlformats.org/officeDocument/2006/relationships/hyperlink" Target="https://www.sec.gov/Archives/edgar/data/1547903/000154790319000064/exhibit1030.htm" TargetMode="External"/><Relationship Id="rId80" Type="http://schemas.openxmlformats.org/officeDocument/2006/relationships/hyperlink" Target="https://www.sec.gov/Archives/edgar/data/1547903/000154790319000064/exhibit1031.htm" TargetMode="External"/><Relationship Id="rId81" Type="http://schemas.openxmlformats.org/officeDocument/2006/relationships/hyperlink" Target="https://www.sec.gov/Archives/edgar/data/1547903/000154790319000064/exhibit1032.htm" TargetMode="External"/><Relationship Id="rId82" Type="http://schemas.openxmlformats.org/officeDocument/2006/relationships/hyperlink" Target="https://www.sec.gov/Archives/edgar/data/1547903/000154790317000100/ex1019rsuceo.htm" TargetMode="External"/><Relationship Id="rId83" Type="http://schemas.openxmlformats.org/officeDocument/2006/relationships/hyperlink" Target="http://www.sec.gov/Archives/edgar/data/1547903/000154790317000100/ex1020rsueo.htm" TargetMode="External"/><Relationship Id="rId84" Type="http://schemas.openxmlformats.org/officeDocument/2006/relationships/hyperlink" Target="http://www.sec.gov/Archives/edgar/data/1547903/000154790317000100/ex1021rsuee.htm" TargetMode="External"/><Relationship Id="rId85" Type="http://schemas.openxmlformats.org/officeDocument/2006/relationships/hyperlink" Target="http://www.sec.gov/Archives/edgar/data/1547903/000154790317000100/ex1022rsuindependentdirect.htm" TargetMode="External"/><Relationship Id="rId86" Type="http://schemas.openxmlformats.org/officeDocument/2006/relationships/hyperlink" Target="http://www.sec.gov/Archives/edgar/data/1547903/000154790317000100/ex1023nqsceo.htm" TargetMode="External"/><Relationship Id="rId88" Type="http://schemas.openxmlformats.org/officeDocument/2006/relationships/hyperlink" Target="http://www.sec.gov/Archives/edgar/data/1547903/000154790317000100/ex1024nqseoee.htm" TargetMode="External"/><Relationship Id="rId89" Type="http://schemas.openxmlformats.org/officeDocument/2006/relationships/hyperlink" Target="https://www.sec.gov/Archives/edgar/data/1547903/000154790320000045/ex1038202010q.htm" TargetMode="External"/><Relationship Id="rId90" Type="http://schemas.openxmlformats.org/officeDocument/2006/relationships/hyperlink" Target="http://www.sec.gov/Archives/edgar/data/1547903/000154790319000064/exhibit1033.htm" TargetMode="External"/><Relationship Id="rId91" Type="http://schemas.openxmlformats.org/officeDocument/2006/relationships/hyperlink" Target="http://www.sec.gov/Archives/edgar/data/1547903/000154790319000064/exhibit1034.htm" TargetMode="External"/><Relationship Id="rId92" Type="http://schemas.openxmlformats.org/officeDocument/2006/relationships/hyperlink" Target="http://www.sec.gov/Archives/edgar/data/1547903/000154790319000064/exhibit1035.htm" TargetMode="External"/><Relationship Id="rId93" Type="http://schemas.openxmlformats.org/officeDocument/2006/relationships/hyperlink" Target="http://www.sec.gov/Archives/edgar/data/1547903/000154790314000146/exhibit101november252014.htm" TargetMode="External"/><Relationship Id="rId94" Type="http://schemas.openxmlformats.org/officeDocument/2006/relationships/hyperlink" Target="http://www.sec.gov/Archives/edgar/data/1547903/000154790316000185/ex101severancebenefitplan.htm" TargetMode="External"/><Relationship Id="rId95" Type="http://schemas.openxmlformats.org/officeDocument/2006/relationships/hyperlink" Target="https://www.sec.gov/Archives/edgar/data/1547903/000154790318000133/exhibit1030arcicsbp.htm" TargetMode="External"/><Relationship Id="rId96" Type="http://schemas.openxmlformats.org/officeDocument/2006/relationships/hyperlink" Target="http://www.sec.gov/Archives/edgar/data/1547903/000154790317000035/exhibit102.htm" TargetMode="External"/><Relationship Id="rId97" Type="http://schemas.openxmlformats.org/officeDocument/2006/relationships/hyperlink" Target="http://www.sec.gov/Archives/edgar/data/1547903/000154790316000230/exhibit1010leatherberrybil.htm" TargetMode="External"/><Relationship Id="rId98" Type="http://schemas.openxmlformats.org/officeDocument/2006/relationships/hyperlink" Target="http://www.sec.gov/Archives/edgar/data/1547903/000154790318000137/exhibit101shuster.htm" TargetMode="External"/><Relationship Id="rId99" Type="http://schemas.openxmlformats.org/officeDocument/2006/relationships/hyperlink" Target="https://www.sec.gov/Archives/edgar/data/0001547903/000154790321000153/exhibit101-nmihxapollitz.htm" TargetMode="External"/><Relationship Id="rId100" Type="http://schemas.openxmlformats.org/officeDocument/2006/relationships/hyperlink" Target="https://www.sec.gov/Archives/edgar/data/0001547903/000154790321000188/rmallelaofferletter.htm" TargetMode="External"/><Relationship Id="rId101" Type="http://schemas.openxmlformats.org/officeDocument/2006/relationships/hyperlink" Target="http://www.sec.gov/Archives/edgar/data/1547903/000154790313000020/a1014commitmentletterforbu.htm" TargetMode="External"/><Relationship Id="rId102" Type="http://schemas.openxmlformats.org/officeDocument/2006/relationships/hyperlink" Target="https://www.sec.gov/Archives/edgar/data/0001547903/000154790321000180/nmiholdingsinc-creditagree.htm" TargetMode="External"/><Relationship Id="rId103"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2023-05-03T05:32:13Z</dcterms:created>
  <dcterms:modified xsi:type="dcterms:W3CDTF">2023-05-03T05:32:13Z</dcterms:modified>
</cp:coreProperties>
</file>