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2016</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Arial" w:cs="Arial" w:eastAsia="Arial" w:hAnsi="Arial"/>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August 4, 2016 was 59,128,011 shares.</w:t>
      </w:r>
    </w:p>
    <w:p>
      <w:pPr>
        <w:sectPr>
          <w:pgSz w:w="11900" w:h="16838" w:orient="portrait"/>
          <w:cols w:equalWidth="0" w:num="1">
            <w:col w:w="11420"/>
          </w:cols>
          <w:pgMar w:left="240" w:top="68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5"/>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10"/>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10"/>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10"/>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7"/>
                <w:shd w:val="clear" w:color="auto" w:fill="CCEEFF"/>
              </w:rPr>
            </w:pPr>
            <w:hyperlink w:anchor="page37">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10"/>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Signatures</w:t>
              </w:r>
            </w:hyperlink>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220" w:type="dxa"/>
            <w:vAlign w:val="bottom"/>
            <w:gridSpan w:val="15"/>
          </w:tcPr>
          <w:p>
            <w:pPr>
              <w:ind w:left="40"/>
              <w:spacing w:after="0" w:line="20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implementation of the new Private Mortgage Insurer Eligibility Requirements (PMIERs) or decisions that have the impact of decreasing or discontinuing the use of mortgage insurance as credit enhancement;</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governmental agencies like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or their enforcement and implementation by regulators;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enter into, and receive approval of, reinsurance arrangements on terms and conditions that are acceptable to us and to the GSEs;</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2015 (2015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June 30, 2016 and December 31, 2015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4"/>
              </w:rPr>
              <w:t>Condensed Consolidated Statements of Operations and Comprehensive Income (Loss) for the three and six months ended June 30,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Condensed Consolidated Statements of Changes in Shareholders' Equity for the six months ended June 30, 2016 and the year ended December 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0">
              <w:r>
                <w:rPr>
                  <w:rFonts w:ascii="Arial" w:cs="Arial" w:eastAsia="Arial" w:hAnsi="Arial"/>
                  <w:sz w:val="18"/>
                  <w:szCs w:val="18"/>
                  <w:color w:val="0000EE"/>
                  <w:w w:val="79"/>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Fixed maturities, available-for-sale, at fair value (amortized cost of $593,807 and $564,319 as of June</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30, 2016 and December 31, 2015,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607,318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17,530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716,428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c>
          <w:tcPr>
            <w:tcW w:w="0" w:type="dxa"/>
            <w:vAlign w:val="bottom"/>
          </w:tcPr>
          <w:p>
            <w:pPr>
              <w:spacing w:after="0"/>
              <w:rPr>
                <w:sz w:val="1"/>
                <w:szCs w:val="1"/>
                <w:color w:val="auto"/>
              </w:rPr>
            </w:pPr>
          </w:p>
        </w:tc>
      </w:tr>
      <w:tr>
        <w:trPr>
          <w:trHeight w:val="56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144,107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90,773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22,725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293,993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259,720</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59,128,011 and 58,807,825 shares issued and outstanding as of June 30, 2016 and December 31, 2015,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 (250,000,000 shares authorized)</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573,342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570,340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(160,723)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716,428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(LOSS)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8"/>
              </w:rPr>
              <w:t>For the six months ended June 30,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i w:val="1"/>
                <w:iCs w:val="1"/>
                <w:color w:val="auto"/>
              </w:rPr>
              <w:t>(In Thousands, except for share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39,259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39,357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59,105,613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58,720,095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59,005,983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58,603,644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59,830,899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58,720,095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59,005,983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58,603,644</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Net unrealized gains (losses) in accumulated other comprehensive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gain (loss), net of tax (benefit) expense of $0 and ($1,431) for the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three months ended June 30, 2016 and 2015, respectively, and $0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 both the six months ended June 30, 2016 and 2015</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2"/>
              </w:rPr>
              <w:t>Reclassification adjustment for losses (gains) included in net loss,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net of tax expense of $0 for all periods presented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gridSpan w:val="6"/>
          </w:tcPr>
          <w:p>
            <w:pPr>
              <w:ind w:left="3480"/>
              <w:spacing w:after="0"/>
              <w:rPr>
                <w:sz w:val="20"/>
                <w:szCs w:val="20"/>
                <w:color w:val="auto"/>
              </w:rPr>
            </w:pPr>
            <w:r>
              <w:rPr>
                <w:rFonts w:ascii="Arial" w:cs="Arial" w:eastAsia="Arial" w:hAnsi="Arial"/>
                <w:sz w:val="18"/>
                <w:szCs w:val="18"/>
                <w:i w:val="1"/>
                <w:iCs w:val="1"/>
                <w:color w:val="auto"/>
                <w:w w:val="95"/>
              </w:rPr>
              <w:t>See accompanying notes to consolidated financial statements.</w:t>
            </w:r>
          </w:p>
        </w:tc>
        <w:tc>
          <w:tcPr>
            <w:tcW w:w="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Common Stock - Class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3"/>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3"/>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3"/>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2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58,429</w:t>
            </w:r>
          </w:p>
        </w:tc>
        <w:tc>
          <w:tcPr>
            <w:tcW w:w="92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562,911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(132,930)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426,958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of $0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Balances, December 31, 2015</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58,808</w:t>
            </w:r>
          </w:p>
        </w:tc>
        <w:tc>
          <w:tcPr>
            <w:tcW w:w="92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588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570,340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of $0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18,595</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59,128</w:t>
            </w: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573,342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422,435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For the six months ended June 30,</w:t>
            </w:r>
          </w:p>
        </w:tc>
      </w:tr>
      <w:tr>
        <w:trPr>
          <w:trHeight w:val="263"/>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r>
      <w:tr>
        <w:trPr>
          <w:trHeight w:val="237"/>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360" w:type="dxa"/>
            <w:vAlign w:val="bottom"/>
          </w:tcPr>
          <w:p>
            <w:pPr>
              <w:spacing w:after="0"/>
              <w:rPr>
                <w:sz w:val="20"/>
                <w:szCs w:val="20"/>
                <w:color w:val="auto"/>
              </w:rPr>
            </w:pPr>
          </w:p>
        </w:tc>
        <w:tc>
          <w:tcPr>
            <w:tcW w:w="1860" w:type="dxa"/>
            <w:vAlign w:val="bottom"/>
            <w:gridSpan w:val="3"/>
          </w:tcPr>
          <w:p>
            <w:pPr>
              <w:jc w:val="right"/>
              <w:ind w:right="35"/>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0"/>
                <w:szCs w:val="20"/>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(18,173)</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 (gains)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(967)</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Gain from change in fair value of warrant liability</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(1,142)</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1,692</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833</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3,156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4,085</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(1,710)</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Prepaid expenses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185</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(5,233)</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454</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Unearned premiums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41,143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17,476</w:t>
            </w:r>
          </w:p>
        </w:tc>
      </w:tr>
      <w:tr>
        <w:trPr>
          <w:trHeight w:val="239"/>
        </w:trPr>
        <w:tc>
          <w:tcPr>
            <w:tcW w:w="8120" w:type="dxa"/>
            <w:vAlign w:val="bottom"/>
          </w:tcPr>
          <w:p>
            <w:pPr>
              <w:ind w:left="380"/>
              <w:spacing w:after="0"/>
              <w:rPr>
                <w:sz w:val="20"/>
                <w:szCs w:val="20"/>
                <w:color w:val="auto"/>
              </w:rPr>
            </w:pPr>
            <w:r>
              <w:rPr>
                <w:rFonts w:ascii="Arial" w:cs="Arial" w:eastAsia="Arial" w:hAnsi="Arial"/>
                <w:sz w:val="17"/>
                <w:szCs w:val="17"/>
                <w:color w:val="auto"/>
              </w:rPr>
              <w:t>Reserve for insurance claims and claims expenses</w:t>
            </w:r>
          </w:p>
        </w:tc>
        <w:tc>
          <w:tcPr>
            <w:tcW w:w="36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98</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1,256</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27,562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(1,367)</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(174,648)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(108,973)</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143,688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75,067</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Purchase of software and equipment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(2,769)</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(37,142)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(36,675)</w:t>
            </w:r>
          </w:p>
        </w:tc>
      </w:tr>
      <w:tr>
        <w:trPr>
          <w:trHeight w:val="233"/>
        </w:trPr>
        <w:tc>
          <w:tcPr>
            <w:tcW w:w="812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402</w:t>
            </w: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cash used in financing activities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r>
      <w:tr>
        <w:trPr>
          <w:trHeight w:val="31"/>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Net decrease in cash and cash equivalents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(10,490)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(38,720)</w:t>
            </w: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57,317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103,021</w:t>
            </w:r>
          </w:p>
        </w:tc>
      </w:tr>
      <w:tr>
        <w:trPr>
          <w:trHeight w:val="244"/>
        </w:trPr>
        <w:tc>
          <w:tcPr>
            <w:tcW w:w="8120" w:type="dxa"/>
            <w:vAlign w:val="bottom"/>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46,827</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64,301</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180"/>
              <w:spacing w:after="0"/>
              <w:rPr>
                <w:sz w:val="20"/>
                <w:szCs w:val="20"/>
                <w:color w:val="auto"/>
              </w:rPr>
            </w:pPr>
            <w:r>
              <w:rPr>
                <w:rFonts w:ascii="Arial" w:cs="Arial" w:eastAsia="Arial" w:hAnsi="Arial"/>
                <w:sz w:val="17"/>
                <w:szCs w:val="17"/>
                <w:color w:val="auto"/>
              </w:rPr>
              <w:t>Noncash financing activities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In April 2012, we completed a private placement of our securities, through which we offered and sold an aggregate of 55,000,000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on a limited basis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2015 included in our 2015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2016.</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DAC is reviewed periodically to determine that it does not exceed recoverable amounts and is adjusted as appropriate for policy cancellations to be consistent with our revenue recognition policy. We estimate the rate of amortization to reflect actual experience and any changes to persistency or loss development. For each book year of business, these costs are amortized to expense in proportion to estimated gross profits over the estimated life of the policies. Total amortization of DAC for the six months ended June 30, 2016 and 2015 was $2.2 million and $0.9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at each fiscal quarter using best estimate assumptions as of the testing date. Per Financial Accounting Standards Board (FASB) Accounting Standards Codification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the six months ended June 30, 2016 or 2015.</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This update is intended to provide a consistent approach in recognizing revenue. In accordance with the new standard, 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August 2015, ASU 2015-14 deferred the provisions of ASU 2014-09 to be effective for interim and annual periods beginning after December 15, 2017. The Company is currently evaluating the impact the adoption of this ASU will have on the consolidated financial statements.</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May 2015, the FASB issued ASU 2015-09, </w:t>
      </w:r>
      <w:r>
        <w:rPr>
          <w:rFonts w:ascii="Arial" w:cs="Arial" w:eastAsia="Arial" w:hAnsi="Arial"/>
          <w:sz w:val="18"/>
          <w:szCs w:val="18"/>
          <w:i w:val="1"/>
          <w:iCs w:val="1"/>
          <w:color w:val="auto"/>
        </w:rPr>
        <w:t>Disclosures about Short-Duration Contracts</w:t>
      </w:r>
      <w:r>
        <w:rPr>
          <w:rFonts w:ascii="Arial" w:cs="Arial" w:eastAsia="Arial" w:hAnsi="Arial"/>
          <w:sz w:val="18"/>
          <w:szCs w:val="18"/>
          <w:color w:val="auto"/>
        </w:rPr>
        <w:t xml:space="preserve"> (Topic 944), which requires insurance entities to disclose additional information related to the liability for unpaid claims and claims adjustment expenses. These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disclosures include the nature, amount, timing and uncertainty of cash flows related to those liabilities and the effects of those cash flows on comprehensive income. This update is effective for annual periods beginning after December 15, 2015 and interim periods within annual periods beginning after December 15, 2016. The Company is currently evaluating the impact the adoption of this ASU will have on the consolidated financial statements.</w:t>
      </w:r>
    </w:p>
    <w:p>
      <w:pPr>
        <w:spacing w:after="0" w:line="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August 2014, the FASB issued an update that requires an entity's management to evaluate whether there is substantial doubt about that entity's ability to continue as a going concern and, if so, disclose that fact. An entity's management will also be required to evaluate and disclose whether its plans alleviate that doubt. The guidance is effective for annual periods ending after December 15, 2016 and for interim and annual periods thereafter. We do not expect the adoption of this update to have a material effect on the presentation of our financial statements and notes therein.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The Company is currently evaluating the impact the adoption of this ASU will have on the consolidated financial statements.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update is intended to provide improvements to employee share-based payment accounting. The areas for simplification in the update involve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Early adoption is permitted in any period. The Company is currently evaluating the impact the adoption of this ASU will have on the consolidated financial statements.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companies to measure all expected credit losses for financial assets held at the reporting date. The accounting for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available-for-sale debt securities and purchased financial assets with credit deterioration also is amended in the standard. The standard will take effect for SEC filers for fiscal years, and interim periods within those fiscal years, beginning after December 15, 2019. The Company is currently evaluating the impact the adoption of this ASU will have on the presentation of the consolidated financial statements and notes therein.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Gross Unrealized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11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Losses</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June 30, 2016</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62,725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63,560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34,357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35,535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333,485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343,588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118,774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120,122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549,341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562,805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44,466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44,513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593,807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14,155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607,318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20,209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543,770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538,681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20,549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564,319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 for sale securities as of June 30, 2016 and December 31, 2015,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2016</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67,658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67,725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156,652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159,019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238,862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248,978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118,774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120,122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593,807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607,318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62,745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187,633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19,015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564,319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559,235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2016, the investment portfolio had gross unrealized losses of $0.6 million, $0.2 million of which has been in an unrealized loss position for a period of 12 months or greater. We did not consider these securities to be other-than-temporarily impaired as of June 30, 2016. We based our conclusion that these investments were not other-than-temporarily impaired as of June 30, 2016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7"/>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6"/>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2016</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1,729</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19,182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7"/>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6"/>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11,293</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253,348</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69,878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79,086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and six months ended June 30, 2016, net investment income was comprised of $3.5 million and $7.0 million of investment income from fixed maturities and $0.2 million and $0.4 million of investment expenses, respectively, compared to $1.8 million and $3.5 million of investment income from fixed maturities and $0.1 million and $0.2 million of investment expenses for the three and six months ended June 30, 2015, respectively.</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2016 and December 31, 2015, there were approximately $6.9 million and $7.0 million, respectively, of cash and investments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240" w:type="dxa"/>
            <w:vAlign w:val="bottom"/>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0"/>
        </w:trPr>
        <w:tc>
          <w:tcPr>
            <w:tcW w:w="4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2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4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967</w:t>
            </w:r>
          </w:p>
        </w:tc>
      </w:tr>
      <w:tr>
        <w:trPr>
          <w:trHeight w:val="20"/>
        </w:trPr>
        <w:tc>
          <w:tcPr>
            <w:tcW w:w="4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those assets and liabilities that are measured at fair value by hierarchy level: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June 30, 2016</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17,847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63,560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35,535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35,535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343,588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120,122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120,122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91,340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91,340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137,053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517,092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654,145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restart"/>
          </w:tcPr>
          <w:p>
            <w:pPr>
              <w:jc w:val="center"/>
              <w:ind w:right="37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19,297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333,327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77,872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473,496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616,553</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00" w:type="dxa"/>
            <w:vAlign w:val="bottom"/>
            <w:gridSpan w:val="6"/>
          </w:tcPr>
          <w:p>
            <w:pPr>
              <w:ind w:left="660"/>
              <w:spacing w:after="0"/>
              <w:rPr>
                <w:sz w:val="20"/>
                <w:szCs w:val="20"/>
                <w:color w:val="auto"/>
              </w:rPr>
            </w:pPr>
            <w:r>
              <w:rPr>
                <w:rFonts w:ascii="Arial" w:cs="Arial" w:eastAsia="Arial" w:hAnsi="Arial"/>
                <w:sz w:val="18"/>
                <w:szCs w:val="18"/>
                <w:color w:val="auto"/>
                <w:w w:val="97"/>
              </w:rPr>
              <w:t>The following is a roll-forward of Level 3 liabilities measured at fair value: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w w:val="93"/>
              </w:rPr>
              <w:t>Change in fair value of warrant liability included in earnings</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revalue the warrant liability quarterly using a Black-Scholes option-pricing model, in combination with a binomial model, and we value the pricing protection features within the warrants using a Monte-Carlo simulation model. As of June 30, 2016, the assumptions used in the option-pricing model were as follows: a common stock price as of June 30, 2016 of $5.48, risk free interest rate of 1.10%, expected life of 5.67 years, expected volatility of 34.4% and a dividend yield of 0%. The change in fair value is primarily attributable to a decline in the price of our common stock from December 31, 2015 to June 30,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Term Loan</w:t>
      </w:r>
    </w:p>
    <w:p>
      <w:pPr>
        <w:spacing w:after="0" w:line="17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On November 10, 2015, we entered into a credit agreement (the Credit Agreement) to obtain a three-year senior secured term loan B (the Term Loan) for $150 million. The Term Loan bears interest at the Eurodollar Rate, as defined in the Credit Agreement, (1% floor) plus an annual margin rate of</w:t>
      </w:r>
    </w:p>
    <w:p>
      <w:pPr>
        <w:ind w:right="140"/>
        <w:spacing w:after="0" w:line="261" w:lineRule="auto"/>
        <w:rPr>
          <w:sz w:val="20"/>
          <w:szCs w:val="20"/>
          <w:color w:val="auto"/>
        </w:rPr>
      </w:pPr>
      <w:r>
        <w:rPr>
          <w:rFonts w:ascii="Arial" w:cs="Arial" w:eastAsia="Arial" w:hAnsi="Arial"/>
          <w:sz w:val="18"/>
          <w:szCs w:val="18"/>
          <w:color w:val="auto"/>
        </w:rPr>
        <w:t>7.5% (an all-in rate of 8.5% from inception through June 30, 2016), payable quarterly. Quarterly principal payments of $375 thousand are also required. The outstanding balance as of June 30, 2016 was $148.9 million.</w:t>
      </w:r>
    </w:p>
    <w:p>
      <w:pPr>
        <w:spacing w:after="0" w:line="13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Debt issuance costs totaling $4.4 million and a 1% debt discount are being amortized to interest expense, using the effective interest method, over the contractual life of the Term Loan. Effective interest rate for the Term Loan includes interest, amortization of issuance cost and the discount. For the six months ended June 30, 2016, the Company recorded $7.3 million of interest expense, including amortization of the issuance cost and discount.</w:t>
      </w:r>
    </w:p>
    <w:p>
      <w:pPr>
        <w:spacing w:after="0" w:line="1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NMIH is subject to certain quarterly covenants under the Credit Agreement. These covenants include, but are not limited to the following: a maximum debt-to-total capitalization ratio (as defined) of 35%, maximum risk-to-capital (RTC) ratio of 22.0:1.0, liquidity (as defined) of $32 million as of June 30, 2016, compliance with the PMIERs financial requirements (subject to any GSE-approved waivers), and equity requirements. This description is not intended to be complete in all respects and is qualified in its entirety by the terms of the Credit Agreement, including its covenants and events of default. We were in compliance with all covenants as of June 30, 2016.</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for the Company's Term Loan as of June 30, 2016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June 30, 2016</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4"/>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146,625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148,875</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Reserves for Insurance Claims and Claims Expenses</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establish claim reserves to recognize the estimated liability for insurance claims and claim expenses related to defaults on insured mortgage loans. Our method, consistent with industry practice, is to establish claim reserves only for loans that have been reported to us as having been in default for at least 60 days. Our claim reserves also include amounts for estimated claims incurred on loans that have been in default for at least 60 days that have not yet been reported to us by the servicers, often referred to as IBNR. As of June 30, 2016, we have established reserves for insurance claims and claims expenses of $1.5 million for 79 primary loans in default. We paid 3 claims totaling $132 thousand during the quarter ended June 30, 2016.</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2013, we entered into a pool insurance transaction with Fannie Mae. We only establish claim or IBNR reserves for pool risk if we expect claims to exceed the deductible under the pool agreement, which represents the amount of claims absorbed by Fannie Mae before we are obligated to pay any claims. At June 30, 2016, 40 loans in the pool were past due by 60 days or more. These 40 loans represent approximately $2.6 million in RIF. Due to the size of the remaining deductible of $10.3 million, the low level of notices of default (NODs) reported through June 30, 2016 and the expected severity (all loans in the pool have loan-to-value ratios (LTVs) under 80%), we have not established any pool reserves for claims or IBNR for the three and six months ended June 30, 2016 and 2015. In connection with settlement of pool claims, we applied $18 thousand to the pool deductible through June 30, 2016. We have not paid any pool claims to date.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324"/>
        </w:trPr>
        <w:tc>
          <w:tcPr>
            <w:tcW w:w="7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318"/>
        </w:trPr>
        <w:tc>
          <w:tcPr>
            <w:tcW w:w="79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9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was a $185 thousand favorable prior year development during the six months ended June 30, 2016 as a result of NOD cures and ongoing analysis of recent loss development trends. We may increase or decrease our original estimates as we learn additional information about individual defaults and claims. There were $362 thousand of reserves remaining for defaults occurring in prior years as of June 30, 2016 as a result of the aforementioned favorable prior year development and claim payments.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 (EPS)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earnings (loss) per share is based on the weighted average number of shares of common stock outstanding, while diluted earning (loss) per share is based on the weighted average number of shares of common stock outstanding and common stock equivalents that would be issuable upon the exercise of stock options, other share-based compensation arrangements, and the dilutive effect of outstanding warrants. The following table reconciles the net income and the weighted average shares of common stock outstanding used in the computations of basic and diluted earnings (loss) per share of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27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264"/>
        </w:trPr>
        <w:tc>
          <w:tcPr>
            <w:tcW w:w="5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i w:val="1"/>
                <w:iCs w:val="1"/>
                <w:color w:val="auto"/>
              </w:rPr>
              <w:t>(In Thousands, except for per share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(18,173)</w:t>
            </w:r>
          </w:p>
        </w:tc>
      </w:tr>
      <w:tr>
        <w:trPr>
          <w:trHeight w:val="297"/>
        </w:trPr>
        <w:tc>
          <w:tcPr>
            <w:tcW w:w="50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59,105,613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58,720,095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59,005,983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58,603,644</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Dilutive effect of non-vested shares</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725,286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59,830,899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58,720,095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59,005,983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58,603,644</w:t>
            </w:r>
          </w:p>
        </w:tc>
      </w:tr>
      <w:tr>
        <w:trPr>
          <w:trHeight w:val="297"/>
        </w:trPr>
        <w:tc>
          <w:tcPr>
            <w:tcW w:w="50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June 30, 2016, 4,049,859 of our common stock equivalents we issued under share-based compensation arrangements and warrants were not included in the calculation of diluted earnings (loss) per share because they were anti-dilutive. Non-vested shares of 725,286 were included in our weighted average number of common shares outstanding for the three months ended June 30, 2016.</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net losses for the six months ended June 30, 2016 and the three and six months ended June 30, 2015, 6,614,605 and 6,835,296, respectively, of our common stock equivalents we issued under share-based compensation arrangements and warrants were not included in the calculation of diluted earnings (loss) per share as of such dates because they were anti-dilutive.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issued 992,000 warrants in connection with our Private Placement. Each warrant gives the holder thereof the right to purchase one share of common stock at an exercise price equal to $10.00. The warrants were issued with an aggregate fair value of $5.1 million.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exercise of these warrants, the amounts will be treated as additional paid-in capital. During the first quarter of 2014, 7,790 warrants were exercised, and we issued 1,115 Class A common shares via a cashless exercise. Upon exercise we recognized a gain of approximately $37 thousand. No warrants were exercised during the six months ended June 30, 2016 and 2015.</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U.S. taxpayer and are subject to a statutory U.S. federal corporate income tax rate of 35%. Our holding company files a consolidated U.S. federal and various state income tax returns on behalf of itself and its subsidiaries. We currently pay no federal income tax, and we had a federal net operating loss carryforward as of December 31, 2015 of $139.4 million. Our effective income tax rate on our pre-tax income was 0.0% for the three months ended June 30, 2016, compared to (2.4)% for the comparable 2015 period. Our effective income tax rate on our pre-tax loss was 0.0% for the six months ended June 30, 2016 and 0.0% for the comparable 2015 period. During those periods, the benefits from income taxes were eliminated or reduced by the recognition of a full valuation allowance which was recorded to reflect the amount of the deferred taxes that may not be realized.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Statutory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basis accounting principles (SAP) prescribed or permitted by the Wisconsin Office of the Commissioner of Insurance (Wisconsin OCI), NMIC's principal regulator.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 and Re One's combined statutory net loss, statutory surplus, contingency reserve and risk-to-capital (RTC) ratios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 of and for the six months and year ended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234"/>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28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370,167</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391,422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55,487</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280" w:type="dxa"/>
            <w:vAlign w:val="bottom"/>
          </w:tcPr>
          <w:p>
            <w:pPr>
              <w:spacing w:after="0"/>
              <w:rPr>
                <w:sz w:val="21"/>
                <w:szCs w:val="21"/>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8.7:1</w:t>
            </w:r>
          </w:p>
        </w:tc>
      </w:tr>
    </w:tbl>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recent net profits (subject to certain limitations). Since inception, NMIC has not paid any dividends to NMIH. As NMIC had a statutory net loss for the year ended December 31, 2015, NMIC cannot pay any dividends to NMIH through December 31, 2016, without the prior approval of the Wisconsin OCI.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2015 10-K, for a more complete understanding of our financial position and results of operations. In addition, investors should review the "Cautionary Note Regarding Forward-Looking Statements" above and the "Risk Factors" detailed in Part I, Item 1A of our 2015 10-K, as subsequently updated in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MI through our insurance subsidiaries. Our primary insurance subsidiary, NMIC, is a qualified MI provider on loans purchased by Fannie Mae and Freddie Mac and is licensed in all 50 states and D.C. to issue MI. Our reinsurance subsidiary, Re One, solely provides reinsurance to NMIC on certain loans insured by NMIC to meet state statutory coverage limits. Our subsidiary, NMIS, provides outsourced loan review services on a limited basis to mortgage loan originators. Our stock trades on the NASDAQ under the symbol "NMIH."</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MI protects mortgage lenders from all or a portion of default-related losses on residential mortgage loans made to home buyers who generally make down payments of less than 20% of a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continue to gain market share with our principal focus on writing insurance on high quality, low down payment residential mortgages in the U.S. As a result of our continued growth, the Company reported, for the first time, positive net income for the quarter ended June 30, 2016.</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total insurance-in-force (IIF) of $27.6 billion and total risk-in-force (RIF) of $5.8 billion as of June 30, 2016, compared to total IIF of $19.1 billion and total RIF of $3.7 billion as of December 31, 2015. Of total IIF as of June 30, 2016, we had $23.6 billion of primary IIF and $4.0 billion of pool IIF, compared to $14.8 billion of primary IIF and $4.2 billion of pool IIF as of December 31, 2015. As of June 30, 2016, our primary RIF was $5.7 billion, compared to primary RIF of $3.6 billion as of December 31, 2015. Pool RIF was $93.1 million as of June 30, 2016 and December 31, 2015.</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and marketing strategy is focused on increasing market share from existing customers and attracting new mortgage originator customers in the U.S. that fall into two primary categories, which we refer to as "National Accounts" and "Regional Accounts." Since we started MI operations in April 2013, we have consistently increased our customer base and market share, and we expect to continue to acquire new customers and increase our market share with existing customers. We had 1061 master policy holders as of June 30, 2016, compared to 842 master policy holders as of June 30, 2015. Of those master policy holders, 518 or 49% were generating new insurance written (NIW) in the second quarter of 2016, compared to 340 or 40% generating NIW in the second quarter of 2015.</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Premiums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NMIC's primary insurance may be written on a flow basis, in which loans are insured in individual, loan-by-loan transactions, or on an aggregated basis, in which each loan in a portfolio of loans is individually insured in a single transaction. NMIC has also written pool insurance under an agreement with Fannie Mae, in which it insured a group of loans (or pool) in one transaction. NMIC's pool insurance has a stated aggregate loss limit and a deductible under which no losses are paid by NMIC until losses on the pool of loans exceed the deductible. See Item 1</w:t>
      </w:r>
      <w:r>
        <w:rPr>
          <w:rFonts w:ascii="Arial" w:cs="Arial" w:eastAsia="Arial" w:hAnsi="Arial"/>
          <w:sz w:val="17"/>
          <w:szCs w:val="17"/>
          <w:i w:val="1"/>
          <w:iCs w:val="1"/>
          <w:color w:val="auto"/>
        </w:rPr>
        <w:t>, "Financial Statements and Supplementary Data - Notes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Consolidated Financial Statements - Note 5, Reserves for Insurance Claims and Claims Expenses," </w:t>
      </w:r>
      <w:r>
        <w:rPr>
          <w:rFonts w:ascii="Arial" w:cs="Arial" w:eastAsia="Arial" w:hAnsi="Arial"/>
          <w:sz w:val="17"/>
          <w:szCs w:val="17"/>
          <w:color w:val="auto"/>
        </w:rPr>
        <w:t>above.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648"/>
        <w:spacing w:after="0" w:line="302" w:lineRule="auto"/>
        <w:rPr>
          <w:sz w:val="20"/>
          <w:szCs w:val="20"/>
          <w:color w:val="auto"/>
        </w:rPr>
      </w:pPr>
      <w:r>
        <w:rPr>
          <w:rFonts w:ascii="Arial" w:cs="Arial" w:eastAsia="Arial" w:hAnsi="Arial"/>
          <w:sz w:val="16"/>
          <w:szCs w:val="16"/>
          <w:color w:val="auto"/>
        </w:rPr>
        <w:t xml:space="preserve">We set premiums at the time a policy is issued based on our expectations regarding likely performance over the term of coverage. We offer borrower-paid (BPMI) and lender-paid (LPMI) mortgage insurance options. Premium rates are based on the risk characteristics of each insured loan and the capital required to support particular products. Capital charges are governed primarily by the GSEs' private mortgage insurer eligibility requirements (PMIERs), as well as by regulatory and economic capital requirements. See "- </w:t>
      </w:r>
      <w:r>
        <w:rPr>
          <w:rFonts w:ascii="Arial" w:cs="Arial" w:eastAsia="Arial" w:hAnsi="Arial"/>
          <w:sz w:val="16"/>
          <w:szCs w:val="16"/>
          <w:i w:val="1"/>
          <w:iCs w:val="1"/>
          <w:color w:val="auto"/>
        </w:rPr>
        <w:t>GSE Oversight"</w:t>
      </w:r>
      <w:r>
        <w:rPr>
          <w:rFonts w:ascii="Arial" w:cs="Arial" w:eastAsia="Arial" w:hAnsi="Arial"/>
          <w:sz w:val="16"/>
          <w:szCs w:val="16"/>
          <w:color w:val="auto"/>
        </w:rPr>
        <w:t xml:space="preserve"> and </w:t>
      </w:r>
      <w:r>
        <w:rPr>
          <w:rFonts w:ascii="Arial" w:cs="Arial" w:eastAsia="Arial" w:hAnsi="Arial"/>
          <w:sz w:val="16"/>
          <w:szCs w:val="16"/>
          <w:i w:val="1"/>
          <w:iCs w:val="1"/>
          <w:color w:val="auto"/>
        </w:rPr>
        <w:t>"- Capital Position of our Insurance Subsidiaries,"</w:t>
      </w:r>
      <w:r>
        <w:rPr>
          <w:rFonts w:ascii="Arial" w:cs="Arial" w:eastAsia="Arial" w:hAnsi="Arial"/>
          <w:sz w:val="16"/>
          <w:szCs w:val="16"/>
          <w:color w:val="auto"/>
        </w:rPr>
        <w:t xml:space="preserve"> below.</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monthly, single and annual premium payment plans. For monthly policies, premiums are collected and earned each month as coverage is provided. Policies written on a single premium basis are paid through a single, upfront payment, the majority of which is initially deferred as unearned premium and earned over the policy's expected life. Annual policies represent an insignificant amount of our NIW to date.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show primary and pool IIF, NIW and premiums written and earned. Single NIW and IIF include policies written on an aggregated and flow basis.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As of and for the quarter ended</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2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84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June 30, 2016</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30, 2015</w:t>
            </w:r>
          </w:p>
        </w:tc>
      </w:tr>
      <w:tr>
        <w:trPr>
          <w:trHeight w:val="250"/>
        </w:trPr>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44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NIW</w:t>
            </w:r>
          </w:p>
        </w:tc>
        <w:tc>
          <w:tcPr>
            <w:tcW w:w="420" w:type="dxa"/>
            <w:vAlign w:val="bottom"/>
          </w:tcPr>
          <w:p>
            <w:pPr>
              <w:spacing w:after="0"/>
              <w:rPr>
                <w:sz w:val="21"/>
                <w:szCs w:val="21"/>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IIF</w:t>
            </w:r>
          </w:p>
        </w:tc>
        <w:tc>
          <w:tcPr>
            <w:tcW w:w="4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NIW</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NIW</w:t>
            </w:r>
          </w:p>
        </w:tc>
        <w:tc>
          <w:tcPr>
            <w:tcW w:w="1100" w:type="dxa"/>
            <w:vAlign w:val="bottom"/>
          </w:tcPr>
          <w:p>
            <w:pPr>
              <w:spacing w:after="0"/>
              <w:rPr>
                <w:sz w:val="21"/>
                <w:szCs w:val="21"/>
                <w:color w:val="auto"/>
              </w:rPr>
            </w:pPr>
          </w:p>
        </w:tc>
      </w:tr>
      <w:tr>
        <w:trPr>
          <w:trHeight w:val="250"/>
        </w:trPr>
        <w:tc>
          <w:tcPr>
            <w:tcW w:w="28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3"/>
          </w:tcPr>
          <w:p>
            <w:pPr>
              <w:jc w:val="right"/>
              <w:ind w:right="853"/>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11,095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1,089</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3,900</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1,866</w:t>
            </w:r>
          </w:p>
        </w:tc>
      </w:tr>
      <w:tr>
        <w:trPr>
          <w:trHeight w:val="27"/>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2,549</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4,244</w:t>
            </w:r>
          </w:p>
        </w:tc>
      </w:tr>
      <w:tr>
        <w:trPr>
          <w:trHeight w:val="176"/>
        </w:trPr>
        <w:tc>
          <w:tcPr>
            <w:tcW w:w="2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27,623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11,666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2,549</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4,244</w:t>
            </w:r>
          </w:p>
        </w:tc>
      </w:tr>
      <w:tr>
        <w:trPr>
          <w:trHeight w:val="20"/>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quarter ended June 30, 2016, primary NIW increased 129% over the second quarter of 2015 as a result of continued growth in our customer base and primary flow business. In the second quarter of 2016, monthly premium NIW increased 153% over the second quarter of 2015 due to greater lender demand for our monthly premium MI products and the growth of our insurance business.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For the quarter ended</w:t>
            </w:r>
          </w:p>
        </w:tc>
      </w:tr>
      <w:tr>
        <w:trPr>
          <w:trHeight w:val="264"/>
        </w:trPr>
        <w:tc>
          <w:tcPr>
            <w:tcW w:w="7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2016</w:t>
            </w: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0"/>
              </w:rPr>
              <w:t>June 30, 2015</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ind w:left="1060"/>
              <w:spacing w:after="0"/>
              <w:rPr>
                <w:sz w:val="20"/>
                <w:szCs w:val="20"/>
                <w:color w:val="auto"/>
              </w:rPr>
            </w:pPr>
            <w:r>
              <w:rPr>
                <w:rFonts w:ascii="Arial" w:cs="Arial" w:eastAsia="Arial" w:hAnsi="Arial"/>
                <w:sz w:val="14"/>
                <w:szCs w:val="14"/>
                <w:i w:val="1"/>
                <w:iCs w:val="1"/>
                <w:color w:val="auto"/>
                <w:w w:val="93"/>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48,862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20,347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21"/>
                <w:szCs w:val="21"/>
                <w:color w:val="auto"/>
              </w:rPr>
            </w:pPr>
          </w:p>
        </w:tc>
        <w:tc>
          <w:tcPr>
            <w:tcW w:w="1440" w:type="dxa"/>
            <w:vAlign w:val="bottom"/>
          </w:tcPr>
          <w:p>
            <w:pPr>
              <w:ind w:left="820"/>
              <w:spacing w:after="0"/>
              <w:rPr>
                <w:sz w:val="20"/>
                <w:szCs w:val="20"/>
                <w:color w:val="auto"/>
              </w:rPr>
            </w:pPr>
            <w:r>
              <w:rPr>
                <w:rFonts w:ascii="Arial" w:cs="Arial" w:eastAsia="Arial" w:hAnsi="Arial"/>
                <w:sz w:val="18"/>
                <w:szCs w:val="18"/>
                <w:color w:val="auto"/>
              </w:rPr>
              <w:t>26,041</w:t>
            </w:r>
          </w:p>
        </w:tc>
        <w:tc>
          <w:tcPr>
            <w:tcW w:w="5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8,856</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quarter ended June 30, 2016, we had net premiums written of $48.9 million and premiums earned of $26.0 million, compared to net premiums written of $20.3 million and premiums earned of $8.9 million for the quarter ended June 30, 2015. Premiums written and earned are generally influenced by NIW, product mix, pricing and persistency. Additionally, premiums earned are influenced by the amortization of earnings on our single premium product over the policies' expected lives in accordance with the expiration of risk for policies covering more than one year. Pool premiums written and earned for the quarter ended June 30, 2016 were $1.1 million, compared to pool premiums written and earned of $1.2 million for the quarter ended June 30, 2015.</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industry, a "book" is a group of loans that an MI company insures in a particular period, normally a calendar year. In general, the majority of any underwriting profit (</w:t>
      </w:r>
      <w:r>
        <w:rPr>
          <w:rFonts w:ascii="Arial" w:cs="Arial" w:eastAsia="Arial" w:hAnsi="Arial"/>
          <w:sz w:val="18"/>
          <w:szCs w:val="18"/>
          <w:i w:val="1"/>
          <w:iCs w:val="1"/>
          <w:color w:val="auto"/>
        </w:rPr>
        <w:t>i.e.</w:t>
      </w:r>
      <w:r>
        <w:rPr>
          <w:rFonts w:ascii="Arial" w:cs="Arial" w:eastAsia="Arial" w:hAnsi="Arial"/>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 The earnings we record and the cash flow we receive vary based on the type of MI product (</w:t>
      </w:r>
      <w:r>
        <w:rPr>
          <w:rFonts w:ascii="Arial" w:cs="Arial" w:eastAsia="Arial" w:hAnsi="Arial"/>
          <w:sz w:val="18"/>
          <w:szCs w:val="18"/>
          <w:i w:val="1"/>
          <w:iCs w:val="1"/>
          <w:color w:val="auto"/>
        </w:rPr>
        <w:t>e.g.</w:t>
      </w:r>
      <w:r>
        <w:rPr>
          <w:rFonts w:ascii="Arial" w:cs="Arial" w:eastAsia="Arial" w:hAnsi="Arial"/>
          <w:sz w:val="18"/>
          <w:szCs w:val="18"/>
          <w:color w:val="auto"/>
        </w:rPr>
        <w:t>, BPMI or LPMI) and premium plan (</w:t>
      </w:r>
      <w:r>
        <w:rPr>
          <w:rFonts w:ascii="Arial" w:cs="Arial" w:eastAsia="Arial" w:hAnsi="Arial"/>
          <w:sz w:val="18"/>
          <w:szCs w:val="18"/>
          <w:i w:val="1"/>
          <w:iCs w:val="1"/>
          <w:color w:val="auto"/>
        </w:rPr>
        <w:t>e.g.</w:t>
      </w:r>
      <w:r>
        <w:rPr>
          <w:rFonts w:ascii="Arial" w:cs="Arial" w:eastAsia="Arial" w:hAnsi="Arial"/>
          <w:sz w:val="18"/>
          <w:szCs w:val="18"/>
          <w:color w:val="auto"/>
        </w:rPr>
        <w:t>, single or monthly) our customers select.</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premium rates for our products have changed substantially in response to the PMIERs financial requirements that became effective January 2016. In 2016, based on these requirements, we introduced new rates for monthly premium policies, which historically have represented 70-75% of industry NIW. To target a mid-teens return on PMIERs required assets, we generally increased rates on low FICO/high LTV loans and reduced rates on high FICO/low LTV loans. See, "</w:t>
      </w:r>
      <w:r>
        <w:rPr>
          <w:rFonts w:ascii="Arial" w:cs="Arial" w:eastAsia="Arial" w:hAnsi="Arial"/>
          <w:sz w:val="18"/>
          <w:szCs w:val="18"/>
          <w:i w:val="1"/>
          <w:iCs w:val="1"/>
          <w:color w:val="auto"/>
        </w:rPr>
        <w:t>- GSE Oversight,</w:t>
      </w:r>
      <w:r>
        <w:rPr>
          <w:rFonts w:ascii="Arial" w:cs="Arial" w:eastAsia="Arial" w:hAnsi="Arial"/>
          <w:sz w:val="18"/>
          <w:szCs w:val="18"/>
          <w:color w:val="auto"/>
        </w:rPr>
        <w:t>" below for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a discussion of the PMIERs required asset requirements. Most of the industry has since moved to similar rate cards for monthly premium policies.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Single-premium LPMI, which historically has represented 25-30% of industry NIW, has generally seen greater price competition. In January 2016, in response to the required assets provisions of PMIERs, including the additional capital charges applied to LPMI products, we implemented new LPMI single premium rates, which we expect will improve premium yields on our LPMI single premium policies.</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Through 2015, single premium policies had comprised a majority of our NIW, some of which were written at rates below our published rate card. In the first six months of 2016, we have seen reduced volume of LPMI single NIW, as compared with our volume for the last six months of 2015. As a result, during the first six months of 2016, our mix of MI products has shifted to a higher percentage of monthly premium policies. For the six months ended June 30, 2016, 61% of our NIW consisted of monthly premium policies. As our business matures, we expect our product mix to align with industry averages.</w:t>
      </w:r>
    </w:p>
    <w:p>
      <w:pPr>
        <w:spacing w:after="0" w:line="2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persistency rate is the percentage of IIF that remains on our books after any 12-month period. Because our insurance premiums are earned over the life of a policy, changes in persistency rates can have a significant impact on our earnings. The persistency rate on our portfolio was 83.3% at June 30, 2016. Persistency rates are sensitive to fluctuations in interest rates. Decreases in interest rates typically increase our portfolio's cancellation rate. When cancellations increase, we experience lower profitability and returns on our monthly premium business, and conversely, higher returns on our single premium business because, rather than amortizing the single premium over the expected life of the policy, upon cancellation, we immediately recognize all unamortized single premium as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trends, by quarter, for the last five quarters.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5"/>
          </w:tcPr>
          <w:p>
            <w:pPr>
              <w:jc w:val="right"/>
              <w:ind w:right="1231"/>
              <w:spacing w:after="0"/>
              <w:rPr>
                <w:sz w:val="20"/>
                <w:szCs w:val="20"/>
                <w:color w:val="auto"/>
              </w:rPr>
            </w:pPr>
            <w:r>
              <w:rPr>
                <w:rFonts w:ascii="Arial" w:cs="Arial" w:eastAsia="Arial" w:hAnsi="Arial"/>
                <w:sz w:val="14"/>
                <w:szCs w:val="14"/>
                <w:b w:val="1"/>
                <w:bCs w:val="1"/>
                <w:color w:val="auto"/>
              </w:rPr>
              <w:t>As of and for the quarter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June 30, 2016</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March 31, 2016</w:t>
            </w:r>
          </w:p>
        </w:tc>
        <w:tc>
          <w:tcPr>
            <w:tcW w:w="154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September 30, 2015</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June 30, 2015</w:t>
            </w:r>
          </w:p>
        </w:tc>
      </w:tr>
      <w:tr>
        <w:trPr>
          <w:trHeight w:val="250"/>
        </w:trPr>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240" w:type="dxa"/>
            <w:vAlign w:val="bottom"/>
          </w:tcPr>
          <w:p>
            <w:pPr>
              <w:jc w:val="right"/>
              <w:ind w:right="31"/>
              <w:spacing w:after="0"/>
              <w:rPr>
                <w:sz w:val="20"/>
                <w:szCs w:val="20"/>
                <w:color w:val="auto"/>
              </w:rPr>
            </w:pPr>
            <w:r>
              <w:rPr>
                <w:rFonts w:ascii="Arial" w:cs="Arial" w:eastAsia="Arial" w:hAnsi="Arial"/>
                <w:sz w:val="14"/>
                <w:szCs w:val="14"/>
                <w:i w:val="1"/>
                <w:iCs w:val="1"/>
                <w:color w:val="auto"/>
                <w:w w:val="96"/>
              </w:rPr>
              <w:t>Values In Millions)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4,254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2,549</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20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615</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23,624</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18,564</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14,824</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10,601</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7,190</w:t>
            </w:r>
          </w:p>
        </w:tc>
      </w:tr>
      <w:tr>
        <w:trPr>
          <w:trHeight w:val="270"/>
        </w:trPr>
        <w:tc>
          <w:tcPr>
            <w:tcW w:w="39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23"/>
                <w:szCs w:val="23"/>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4,487</w:t>
            </w:r>
          </w:p>
        </w:tc>
        <w:tc>
          <w:tcPr>
            <w:tcW w:w="3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3,586</w:t>
            </w:r>
          </w:p>
        </w:tc>
        <w:tc>
          <w:tcPr>
            <w:tcW w:w="180" w:type="dxa"/>
            <w:vAlign w:val="bottom"/>
          </w:tcPr>
          <w:p>
            <w:pPr>
              <w:spacing w:after="0"/>
              <w:rPr>
                <w:sz w:val="23"/>
                <w:szCs w:val="23"/>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2,553</w:t>
            </w:r>
          </w:p>
        </w:tc>
        <w:tc>
          <w:tcPr>
            <w:tcW w:w="26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1,715</w:t>
            </w:r>
          </w:p>
        </w:tc>
      </w:tr>
      <w:tr>
        <w:trPr>
          <w:trHeight w:val="270"/>
        </w:trPr>
        <w:tc>
          <w:tcPr>
            <w:tcW w:w="39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100,547</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79,700</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63,948</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46,175</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31,682</w:t>
            </w:r>
          </w:p>
        </w:tc>
      </w:tr>
      <w:tr>
        <w:trPr>
          <w:trHeight w:val="270"/>
        </w:trPr>
        <w:tc>
          <w:tcPr>
            <w:tcW w:w="39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Weighted-average coverage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in default (count)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Percentage of loans in default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Risk in force on defaulted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70"/>
        </w:trPr>
        <w:tc>
          <w:tcPr>
            <w:tcW w:w="39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0.45%</w:t>
            </w:r>
          </w:p>
        </w:tc>
        <w:tc>
          <w:tcPr>
            <w:tcW w:w="3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39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82.7%</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bl>
    <w:p>
      <w:pPr>
        <w:spacing w:after="0" w:line="14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Average premium yield is calculated by dividing primary net premiums earned by average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table below reflects a summary of the change in total primary IIF for the three and six months ended June 30, 2016 and 2015.</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NIW</w:t>
            </w:r>
          </w:p>
        </w:tc>
        <w:tc>
          <w:tcPr>
            <w:tcW w:w="2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4,244</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23,624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23,624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7,190</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 as of June 30, 2016 and 2015.</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June 30, 2016</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2015</w:t>
            </w:r>
          </w:p>
        </w:tc>
        <w:tc>
          <w:tcPr>
            <w:tcW w:w="100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9,951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11,348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998</w:t>
            </w: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2013</w:t>
            </w:r>
          </w:p>
        </w:tc>
        <w:tc>
          <w:tcPr>
            <w:tcW w:w="108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23,624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1,715</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utilize certain risk principles that form the basis of how we underwrite and originate primary NIW. We manage our portfolio credit risk by using several loan eligibility matrices which prescribe the maximum LTV, minimum borrower credit score,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riskier property types, such as investor properties, compared to owner-occupied properties. We monitor the concentrations of various risk attributes in our insurance portfolio. Generally, insuring loans made to borrowers with higher credit scores tends to result in a lower frequency of claims than with loans made to borrowers with lower credit scores.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tables below reflect our total primary NIW by FICO, LTV and purchase/refinance mix for the three and six months ended June 30, 2016 and 2015. We calculate the LTV of a loan as the percentage of the original loan amount to the original value of the property securing the loan. In general, the lower the LTV the lower the likelihood of a default, and for loans that default, a lower LTV generally results in lower severity for a resulting claim, as the borrower has more equity in the property.</w:t>
      </w: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3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740-759</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617</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700-719</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394</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&lt;=679</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200</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4,245</w:t>
            </w:r>
          </w:p>
        </w:tc>
      </w:tr>
      <w:tr>
        <w:trPr>
          <w:trHeight w:val="20"/>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1" w:name="page22"/>
    <w:bookmarkEnd w:id="21"/>
    <w:tbl>
      <w:tblPr>
        <w:tblLayout w:type="fixed"/>
        <w:tblInd w:w="80" w:type="dxa"/>
        <w:tblCellMar>
          <w:top w:w="0" w:type="dxa"/>
          <w:left w:w="0" w:type="dxa"/>
          <w:bottom w:w="0" w:type="dxa"/>
          <w:right w:w="0" w:type="dxa"/>
        </w:tblCellMar>
      </w:tblPr>
      <w:tr>
        <w:trPr>
          <w:trHeight w:val="192"/>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3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1,808</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858</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4,245</w:t>
            </w:r>
          </w:p>
        </w:tc>
      </w:tr>
      <w:tr>
        <w:trPr>
          <w:trHeight w:val="20"/>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548"/>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2,420</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1,825</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4,245</w:t>
            </w:r>
          </w:p>
        </w:tc>
      </w:tr>
      <w:tr>
        <w:trPr>
          <w:trHeight w:val="20"/>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tables below show the primary weighted average FICO and weighted average LTV, by policy type, for NIW in the quarters presented.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Weighted Average FICO</w:t>
            </w:r>
          </w:p>
        </w:tc>
        <w:tc>
          <w:tcPr>
            <w:tcW w:w="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6"/>
          </w:tcPr>
          <w:p>
            <w:pPr>
              <w:jc w:val="right"/>
              <w:ind w:right="833"/>
              <w:spacing w:after="0"/>
              <w:rPr>
                <w:sz w:val="20"/>
                <w:szCs w:val="20"/>
                <w:color w:val="auto"/>
              </w:rPr>
            </w:pPr>
            <w:r>
              <w:rPr>
                <w:rFonts w:ascii="Arial" w:cs="Arial" w:eastAsia="Arial" w:hAnsi="Arial"/>
                <w:sz w:val="14"/>
                <w:szCs w:val="14"/>
                <w:b w:val="1"/>
                <w:bCs w:val="1"/>
                <w:color w:val="auto"/>
                <w:w w:val="96"/>
              </w:rPr>
              <w:t>For the three months ended</w:t>
            </w:r>
          </w:p>
        </w:tc>
      </w:tr>
      <w:tr>
        <w:trPr>
          <w:trHeight w:val="276"/>
        </w:trPr>
        <w:tc>
          <w:tcPr>
            <w:tcW w:w="5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Single</w:t>
            </w:r>
          </w:p>
        </w:tc>
        <w:tc>
          <w:tcPr>
            <w:tcW w:w="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521"/>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Weighted Average LTV</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873"/>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264"/>
        </w:trPr>
        <w:tc>
          <w:tcPr>
            <w:tcW w:w="5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Single</w:t>
            </w:r>
          </w:p>
        </w:tc>
        <w:tc>
          <w:tcPr>
            <w:tcW w:w="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567"/>
        </w:trPr>
        <w:tc>
          <w:tcPr>
            <w:tcW w:w="8520" w:type="dxa"/>
            <w:vAlign w:val="bottom"/>
            <w:gridSpan w:val="6"/>
          </w:tcPr>
          <w:p>
            <w:pPr>
              <w:ind w:left="660"/>
              <w:spacing w:after="0"/>
              <w:rPr>
                <w:sz w:val="20"/>
                <w:szCs w:val="20"/>
                <w:color w:val="auto"/>
              </w:rPr>
            </w:pPr>
            <w:r>
              <w:rPr>
                <w:rFonts w:ascii="Arial" w:cs="Arial" w:eastAsia="Arial" w:hAnsi="Arial"/>
                <w:sz w:val="18"/>
                <w:szCs w:val="18"/>
                <w:color w:val="auto"/>
                <w:w w:val="97"/>
              </w:rPr>
              <w:t>The tables below reflect our total primary IIF and RIF by FICO, average loan size, LTV and loan type.</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4"/>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jc w:val="right"/>
              <w:ind w:right="933"/>
              <w:spacing w:after="0"/>
              <w:rPr>
                <w:sz w:val="20"/>
                <w:szCs w:val="20"/>
                <w:color w:val="auto"/>
              </w:rPr>
            </w:pPr>
            <w:r>
              <w:rPr>
                <w:rFonts w:ascii="Arial" w:cs="Arial" w:eastAsia="Arial" w:hAnsi="Arial"/>
                <w:sz w:val="14"/>
                <w:szCs w:val="14"/>
                <w:b w:val="1"/>
                <w:bCs w:val="1"/>
                <w:color w:val="auto"/>
                <w:w w:val="92"/>
              </w:rPr>
              <w:t>June 30, 2015</w:t>
            </w: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8"/>
          </w:tcPr>
          <w:p>
            <w:pPr>
              <w:jc w:val="right"/>
              <w:ind w:right="760"/>
              <w:spacing w:after="0"/>
              <w:rPr>
                <w:sz w:val="20"/>
                <w:szCs w:val="20"/>
                <w:color w:val="auto"/>
              </w:rPr>
            </w:pPr>
            <w:r>
              <w:rPr>
                <w:rFonts w:ascii="Arial" w:cs="Arial" w:eastAsia="Arial" w:hAnsi="Arial"/>
                <w:sz w:val="14"/>
                <w:szCs w:val="14"/>
                <w:i w:val="1"/>
                <w:iCs w:val="1"/>
                <w:color w:val="auto"/>
                <w:w w:val="96"/>
              </w:rPr>
              <w:t>($ Values In Millions)</w:t>
            </w:r>
          </w:p>
        </w:tc>
        <w:tc>
          <w:tcPr>
            <w:tcW w:w="148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11,929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3,323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740" w:type="dxa"/>
            <w:vAlign w:val="bottom"/>
          </w:tcPr>
          <w:p>
            <w:pPr>
              <w:jc w:val="right"/>
              <w:ind w:right="912"/>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21"/>
                <w:szCs w:val="21"/>
                <w:color w:val="auto"/>
              </w:rPr>
            </w:pP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1,153</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740" w:type="dxa"/>
            <w:vAlign w:val="bottom"/>
          </w:tcPr>
          <w:p>
            <w:pPr>
              <w:jc w:val="right"/>
              <w:ind w:right="912"/>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1"/>
                <w:szCs w:val="21"/>
                <w:color w:val="auto"/>
              </w:rPr>
            </w:pP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706</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595</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740" w:type="dxa"/>
            <w:vAlign w:val="bottom"/>
          </w:tcPr>
          <w:p>
            <w:pPr>
              <w:jc w:val="right"/>
              <w:ind w:right="912"/>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304</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23,624</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7,190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6"/>
          </w:tcPr>
          <w:p>
            <w:pPr>
              <w:jc w:val="right"/>
              <w:ind w:right="232"/>
              <w:spacing w:after="0"/>
              <w:rPr>
                <w:sz w:val="20"/>
                <w:szCs w:val="20"/>
                <w:color w:val="auto"/>
              </w:rPr>
            </w:pPr>
            <w:r>
              <w:rPr>
                <w:rFonts w:ascii="Arial" w:cs="Arial" w:eastAsia="Arial" w:hAnsi="Arial"/>
                <w:sz w:val="14"/>
                <w:szCs w:val="14"/>
                <w:i w:val="1"/>
                <w:iCs w:val="1"/>
                <w:color w:val="auto"/>
                <w:w w:val="96"/>
              </w:rPr>
              <w:t>($ Values 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772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276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&lt;=679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1"/>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Primary Average Loan Size by FICO</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gridSpan w:val="6"/>
          </w:tcPr>
          <w:p>
            <w:pPr>
              <w:ind w:left="20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&lt;=679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1"/>
                <w:szCs w:val="21"/>
                <w:color w:val="auto"/>
              </w:rPr>
            </w:pPr>
          </w:p>
        </w:tc>
      </w:tr>
      <w:tr>
        <w:trPr>
          <w:trHeight w:val="52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gridSpan w:val="7"/>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5"/>
          </w:tcPr>
          <w:p>
            <w:pPr>
              <w:spacing w:after="0"/>
              <w:rPr>
                <w:sz w:val="20"/>
                <w:szCs w:val="20"/>
                <w:color w:val="auto"/>
              </w:rPr>
            </w:pPr>
            <w:r>
              <w:rPr>
                <w:rFonts w:ascii="Arial" w:cs="Arial" w:eastAsia="Arial" w:hAnsi="Arial"/>
                <w:sz w:val="14"/>
                <w:szCs w:val="14"/>
                <w:i w:val="1"/>
                <w:iCs w:val="1"/>
                <w:color w:val="auto"/>
                <w:w w:val="96"/>
              </w:rPr>
              <w:t>($ Values In Millions)</w:t>
            </w: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jc w:val="center"/>
              <w:ind w:right="3600"/>
              <w:spacing w:after="0"/>
              <w:rPr>
                <w:sz w:val="20"/>
                <w:szCs w:val="20"/>
                <w:color w:val="auto"/>
              </w:rPr>
            </w:pPr>
            <w:r>
              <w:rPr>
                <w:rFonts w:ascii="Arial" w:cs="Arial" w:eastAsia="Arial" w:hAnsi="Arial"/>
                <w:sz w:val="18"/>
                <w:szCs w:val="18"/>
                <w:color w:val="auto"/>
                <w:w w:val="87"/>
              </w:rPr>
              <w:t>95.01% and above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1"/>
              </w:rPr>
              <w:t>90.01% to 95.00%</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10,574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80"/>
              <w:spacing w:after="0"/>
              <w:rPr>
                <w:sz w:val="20"/>
                <w:szCs w:val="20"/>
                <w:color w:val="auto"/>
              </w:rPr>
            </w:pPr>
            <w:r>
              <w:rPr>
                <w:rFonts w:ascii="Arial" w:cs="Arial" w:eastAsia="Arial" w:hAnsi="Arial"/>
                <w:sz w:val="18"/>
                <w:szCs w:val="18"/>
                <w:color w:val="auto"/>
                <w:w w:val="91"/>
              </w:rPr>
              <w:t>85.01% to 90.00%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0"/>
              </w:rPr>
              <w:t>85.00% and below</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23,624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 2016</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gridSpan w:val="7"/>
          </w:tcPr>
          <w:p>
            <w:pPr>
              <w:ind w:left="40"/>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5"/>
          </w:tcPr>
          <w:p>
            <w:pPr>
              <w:spacing w:after="0"/>
              <w:rPr>
                <w:sz w:val="20"/>
                <w:szCs w:val="20"/>
                <w:color w:val="auto"/>
              </w:rPr>
            </w:pPr>
            <w:r>
              <w:rPr>
                <w:rFonts w:ascii="Arial" w:cs="Arial" w:eastAsia="Arial" w:hAnsi="Arial"/>
                <w:sz w:val="14"/>
                <w:szCs w:val="14"/>
                <w:i w:val="1"/>
                <w:iCs w:val="1"/>
                <w:color w:val="auto"/>
                <w:w w:val="96"/>
              </w:rPr>
              <w:t>($ Values In Millions)</w:t>
            </w: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80" w:type="dxa"/>
            <w:vAlign w:val="bottom"/>
            <w:tcBorders>
              <w:bottom w:val="single" w:sz="8" w:color="CCEEFF"/>
            </w:tcBorders>
            <w:gridSpan w:val="2"/>
            <w:shd w:val="clear" w:color="auto" w:fill="CCEEFF"/>
          </w:tcPr>
          <w:p>
            <w:pPr>
              <w:jc w:val="center"/>
              <w:ind w:right="3600"/>
              <w:spacing w:after="0"/>
              <w:rPr>
                <w:sz w:val="20"/>
                <w:szCs w:val="20"/>
                <w:color w:val="auto"/>
              </w:rPr>
            </w:pPr>
            <w:r>
              <w:rPr>
                <w:rFonts w:ascii="Arial" w:cs="Arial" w:eastAsia="Arial" w:hAnsi="Arial"/>
                <w:sz w:val="18"/>
                <w:szCs w:val="18"/>
                <w:color w:val="auto"/>
                <w:w w:val="87"/>
              </w:rPr>
              <w:t>95.01% and above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1"/>
              </w:rPr>
              <w:t>90.01% to 95.00%</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80"/>
              <w:spacing w:after="0"/>
              <w:rPr>
                <w:sz w:val="20"/>
                <w:szCs w:val="20"/>
                <w:color w:val="auto"/>
              </w:rPr>
            </w:pPr>
            <w:r>
              <w:rPr>
                <w:rFonts w:ascii="Arial" w:cs="Arial" w:eastAsia="Arial" w:hAnsi="Arial"/>
                <w:sz w:val="18"/>
                <w:szCs w:val="18"/>
                <w:color w:val="auto"/>
                <w:w w:val="91"/>
              </w:rPr>
              <w:t>85.01% to 90.00%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jc w:val="center"/>
              <w:ind w:right="3580"/>
              <w:spacing w:after="0"/>
              <w:rPr>
                <w:sz w:val="20"/>
                <w:szCs w:val="20"/>
                <w:color w:val="auto"/>
              </w:rPr>
            </w:pPr>
            <w:r>
              <w:rPr>
                <w:rFonts w:ascii="Arial" w:cs="Arial" w:eastAsia="Arial" w:hAnsi="Arial"/>
                <w:sz w:val="18"/>
                <w:szCs w:val="18"/>
                <w:color w:val="auto"/>
                <w:w w:val="90"/>
              </w:rPr>
              <w:t>85.00% and below</w:t>
            </w: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5,721</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2015</w:t>
            </w:r>
          </w:p>
        </w:tc>
      </w:tr>
      <w:tr>
        <w:trPr>
          <w:trHeight w:val="32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98%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Adjustable rate mortgages:</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jc w:val="center"/>
              <w:ind w:right="3560"/>
              <w:spacing w:after="0"/>
              <w:rPr>
                <w:sz w:val="20"/>
                <w:szCs w:val="20"/>
                <w:color w:val="auto"/>
              </w:rPr>
            </w:pPr>
            <w:r>
              <w:rPr>
                <w:rFonts w:ascii="Arial" w:cs="Arial" w:eastAsia="Arial" w:hAnsi="Arial"/>
                <w:sz w:val="18"/>
                <w:szCs w:val="18"/>
                <w:color w:val="auto"/>
                <w:w w:val="89"/>
              </w:rPr>
              <w:t>Less than five years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Five years and longer</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5520" w:type="dxa"/>
            <w:vAlign w:val="bottom"/>
            <w:tcBorders>
              <w:bottom w:val="single" w:sz="8" w:color="CCEEFF"/>
            </w:tcBorders>
            <w:gridSpan w:val="3"/>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38" w:right="239"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8"/>
          <w:szCs w:val="18"/>
          <w:color w:val="auto"/>
        </w:rPr>
        <w:t>As of June 30, 2016 and June 30, 2015, 100% of our pool IIF and RIF was comprised of insurance on fixed rate mortgages.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primary portfolio statistics, by book year, as of June 30,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8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tcPr>
          <w:p>
            <w:pPr>
              <w:jc w:val="right"/>
              <w:ind w:right="58"/>
              <w:spacing w:after="0" w:line="153" w:lineRule="exact"/>
              <w:rPr>
                <w:sz w:val="20"/>
                <w:szCs w:val="20"/>
                <w:color w:val="auto"/>
              </w:rPr>
            </w:pPr>
            <w:r>
              <w:rPr>
                <w:rFonts w:ascii="Arial" w:cs="Arial" w:eastAsia="Arial" w:hAnsi="Arial"/>
                <w:sz w:val="14"/>
                <w:szCs w:val="14"/>
                <w:b w:val="1"/>
                <w:bCs w:val="1"/>
                <w:color w:val="auto"/>
              </w:rPr>
              <w:t>% Remaining of</w:t>
            </w:r>
          </w:p>
        </w:tc>
        <w:tc>
          <w:tcPr>
            <w:tcW w:w="10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Policies Ever</w:t>
            </w:r>
          </w:p>
        </w:tc>
        <w:tc>
          <w:tcPr>
            <w:tcW w:w="100" w:type="dxa"/>
            <w:vAlign w:val="bottom"/>
          </w:tcPr>
          <w:p>
            <w:pPr>
              <w:spacing w:after="0"/>
              <w:rPr>
                <w:sz w:val="13"/>
                <w:szCs w:val="13"/>
                <w:color w:val="auto"/>
              </w:rPr>
            </w:pPr>
          </w:p>
        </w:tc>
        <w:tc>
          <w:tcPr>
            <w:tcW w:w="12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Origination year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30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rPr>
              <w:t>Original</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Loans in</w:t>
            </w:r>
          </w:p>
        </w:tc>
        <w:tc>
          <w:tcPr>
            <w:tcW w:w="78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Force</w:t>
            </w:r>
          </w:p>
        </w:tc>
        <w:tc>
          <w:tcPr>
            <w:tcW w:w="13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Insurance</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 Force</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to Date) </w:t>
            </w:r>
            <w:r>
              <w:rPr>
                <w:rFonts w:ascii="Arial" w:cs="Arial" w:eastAsia="Arial" w:hAnsi="Arial"/>
                <w:sz w:val="8"/>
                <w:szCs w:val="8"/>
                <w:b w:val="1"/>
                <w:bCs w:val="1"/>
                <w:color w:val="auto"/>
                <w:w w:val="97"/>
              </w:rPr>
              <w:t>(1)</w:t>
            </w: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w w:val="97"/>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36%</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2,266</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66%</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14,786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10,640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2.0%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11,348</w:t>
            </w: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91%</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52,550</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49,180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1340" w:type="dxa"/>
            <w:vAlign w:val="bottom"/>
          </w:tcPr>
          <w:p>
            <w:pPr>
              <w:ind w:left="40"/>
              <w:spacing w:after="0"/>
              <w:rPr>
                <w:sz w:val="20"/>
                <w:szCs w:val="20"/>
                <w:color w:val="auto"/>
              </w:rPr>
            </w:pPr>
            <w:r>
              <w:rPr>
                <w:rFonts w:ascii="Arial" w:cs="Arial" w:eastAsia="Arial" w:hAnsi="Arial"/>
                <w:sz w:val="18"/>
                <w:szCs w:val="18"/>
                <w:color w:val="auto"/>
              </w:rPr>
              <w:t>2016 (through</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9,951</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99%</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40,862</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40,438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0.2%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26,127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23,624</w:t>
            </w:r>
          </w:p>
        </w:tc>
        <w:tc>
          <w:tcPr>
            <w:tcW w:w="1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108,853</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100,547</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The ratio of total losses incurred (paid and reserved) divided by cumulative premiums earned.</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5"/>
        </w:numPr>
        <w:rPr>
          <w:rFonts w:ascii="Arial" w:cs="Arial" w:eastAsia="Arial" w:hAnsi="Arial"/>
          <w:sz w:val="9"/>
          <w:szCs w:val="9"/>
          <w:color w:val="auto"/>
        </w:rPr>
      </w:pPr>
      <w:r>
        <w:rPr>
          <w:rFonts w:ascii="Arial" w:cs="Arial" w:eastAsia="Arial" w:hAnsi="Arial"/>
          <w:sz w:val="14"/>
          <w:szCs w:val="14"/>
          <w:color w:val="auto"/>
        </w:rPr>
        <w:t>The sum of claims paid ever to date and notices of default as of the end of the period divided by policies ever in force.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distribution by state of our primary RIF. As of June 30, 2016, our RIF continues to be relatively more concentrated in California, primarily as a result of the location and timing of the acquisition of new customers. The distribution of risk across the states as of June 30, 2016 is not necessarily representative of the geographic distribution we expect in the future. As we add new customers and receive greater allocations of business from our existing customers, we expect we will have increased flexibility to manage our state concentration levels.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 as of June 30, 2016</w:t>
            </w:r>
          </w:p>
        </w:tc>
        <w:tc>
          <w:tcPr>
            <w:tcW w:w="216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7.4</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4.8</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3.3</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2.1</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Reserve for Insurance Claims and Claims Expenses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Claims incurred is the expense that is booked within a particular period to reflect actual and estimated claim payments that we believe will ultimately be made as a result of insured loans that are in default. We do not recognize an estimate of claim expense for loans that are not in default. As of June 30, 2016, we have established reserves for insurance claims of $1.5 million for 79 primary loans in default, compared to a reserve of $181 thousand for 9 primary loans in default as of June 30, 2015. We also establish reserves for the related claims expenses, which are the estimated costs to adjust and settle claims. We have not established any pool reserves for claims or IBNR to date. For additional discussion of our reserves, see, Item 1, "</w:t>
      </w:r>
      <w:r>
        <w:rPr>
          <w:rFonts w:ascii="Arial" w:cs="Arial" w:eastAsia="Arial" w:hAnsi="Arial"/>
          <w:sz w:val="16"/>
          <w:szCs w:val="16"/>
          <w:i w:val="1"/>
          <w:iCs w:val="1"/>
          <w:color w:val="auto"/>
        </w:rPr>
        <w:t>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 - Notes to Condensed Consolidated Financial Statements - Note 5. Reserves for Insurance Claims and Claims Expenses.</w:t>
      </w:r>
      <w:r>
        <w:rPr>
          <w:rFonts w:ascii="Arial" w:cs="Arial" w:eastAsia="Arial" w:hAnsi="Arial"/>
          <w:sz w:val="16"/>
          <w:szCs w:val="16"/>
          <w:color w:val="auto"/>
        </w:rPr>
        <w: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Claims incurred is affected by a variety of factors, including the state of the economy, declines in housing values, product mix of IIF, the size of loans insured and the percentage of coverage on insured loans. Policies with higher loan amounts and coverage percentages tend to result in higher incurred claim amounts.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claims incurred will be relatively low in the foreseeable future for the following reasons:</w:t>
      </w:r>
    </w:p>
    <w:p>
      <w:pPr>
        <w:spacing w:after="0" w:line="171" w:lineRule="exact"/>
        <w:rPr>
          <w:sz w:val="20"/>
          <w:szCs w:val="20"/>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typical distribution of claims over the life of a book results in fewer defaults during the first two years after loans are originated, usually peaking in years three through six and declining thereafter;</w:t>
      </w:r>
    </w:p>
    <w:p>
      <w:pPr>
        <w:spacing w:after="0" w:line="62" w:lineRule="exact"/>
        <w:rPr>
          <w:rFonts w:ascii="Arial" w:cs="Arial" w:eastAsia="Arial" w:hAnsi="Arial"/>
          <w:sz w:val="18"/>
          <w:szCs w:val="18"/>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pool insurance agreement between NMIC and Fannie Mae, NMIC is responsible for claims only to the extent they exceed a deductible; and</w:t>
      </w:r>
    </w:p>
    <w:p>
      <w:pPr>
        <w:spacing w:after="0" w:line="116" w:lineRule="exact"/>
        <w:rPr>
          <w:rFonts w:ascii="Arial" w:cs="Arial" w:eastAsia="Arial" w:hAnsi="Arial"/>
          <w:sz w:val="18"/>
          <w:szCs w:val="18"/>
          <w:color w:val="auto"/>
        </w:rPr>
      </w:pPr>
    </w:p>
    <w:p>
      <w:pPr>
        <w:ind w:left="840" w:hanging="332"/>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NIW in our early years of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our portfolio matures, we expect our reported loss ratio will be less than 10%, due to loss development being generally insignificant in the early years of a loan cycle combined with strong growth in earned premiums on a year-over-year basis. We expect that the frequency of claims on our initial primary books of business should be between 2% and 3% of mortgages insured over the life of the book. For claims that we may receive, we expect the severity of the claim to be between 85% and 95% of the coverage amount. Based on these expectations, we estimate that the loss ratio over the life of each book will be between 20% and 25% of earned premiums.</w:t>
      </w:r>
    </w:p>
    <w:p>
      <w:pPr>
        <w:spacing w:after="0" w:line="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 To date, our loss experience is developing at a slower pace than historical trends have shown, as a result of high quality underwriting and a favorable housing market.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64"/>
        </w:trPr>
        <w:tc>
          <w:tcPr>
            <w:tcW w:w="4700" w:type="dxa"/>
            <w:vAlign w:val="bottom"/>
          </w:tcPr>
          <w:p>
            <w:pPr>
              <w:spacing w:after="0"/>
              <w:rPr>
                <w:sz w:val="22"/>
                <w:szCs w:val="22"/>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w w:val="97"/>
              </w:rPr>
              <w:t>(In Thousands)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324"/>
        </w:trPr>
        <w:tc>
          <w:tcPr>
            <w:tcW w:w="4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318"/>
        </w:trPr>
        <w:tc>
          <w:tcPr>
            <w:tcW w:w="47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year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Prior years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18"/>
        </w:trPr>
        <w:tc>
          <w:tcPr>
            <w:tcW w:w="47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w:t>
            </w:r>
          </w:p>
        </w:tc>
        <w:tc>
          <w:tcPr>
            <w:tcW w:w="110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08"/>
        </w:trPr>
        <w:tc>
          <w:tcPr>
            <w:tcW w:w="4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2016</w:t>
            </w: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w w:val="92"/>
              </w:rPr>
              <w:t>June 30, 2015</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0"/>
        </w:trPr>
        <w:tc>
          <w:tcPr>
            <w:tcW w:w="5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the number of defaults at June 30, 2016 compared to June 30, 2015 was primarily due to an increase in the number of policies in force and the increasing maturity of our portfolio.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claims paid for the three and six months ended June 30, 2016 and June 30,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2016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2015</w:t>
            </w:r>
          </w:p>
        </w:tc>
      </w:tr>
      <w:tr>
        <w:trPr>
          <w:trHeight w:val="244"/>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gridSpan w:val="3"/>
          </w:tcPr>
          <w:p>
            <w:pPr>
              <w:jc w:val="right"/>
              <w:ind w:right="836"/>
              <w:spacing w:after="0"/>
              <w:rPr>
                <w:sz w:val="20"/>
                <w:szCs w:val="20"/>
                <w:color w:val="auto"/>
              </w:rPr>
            </w:pPr>
            <w:r>
              <w:rPr>
                <w:rFonts w:ascii="Arial" w:cs="Arial" w:eastAsia="Arial" w:hAnsi="Arial"/>
                <w:sz w:val="14"/>
                <w:szCs w:val="14"/>
                <w:i w:val="1"/>
                <w:iCs w:val="1"/>
                <w:color w:val="auto"/>
              </w:rPr>
              <w:t>($ Values In Thousands)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5"/>
        </w:trPr>
        <w:tc>
          <w:tcPr>
            <w:tcW w:w="5080" w:type="dxa"/>
            <w:vAlign w:val="bottom"/>
          </w:tcPr>
          <w:p>
            <w:pPr>
              <w:ind w:left="40"/>
              <w:spacing w:after="0"/>
              <w:rPr>
                <w:sz w:val="20"/>
                <w:szCs w:val="20"/>
                <w:color w:val="auto"/>
              </w:rPr>
            </w:pPr>
            <w:r>
              <w:rPr>
                <w:rFonts w:ascii="Arial" w:cs="Arial" w:eastAsia="Arial" w:hAnsi="Arial"/>
                <w:sz w:val="18"/>
                <w:szCs w:val="18"/>
                <w:color w:val="auto"/>
              </w:rPr>
              <w:t>Number of claims paid</w:t>
            </w:r>
          </w:p>
        </w:tc>
        <w:tc>
          <w:tcPr>
            <w:tcW w:w="220" w:type="dxa"/>
            <w:vAlign w:val="bottom"/>
          </w:tcPr>
          <w:p>
            <w:pPr>
              <w:spacing w:after="0"/>
              <w:rPr>
                <w:sz w:val="22"/>
                <w:szCs w:val="22"/>
                <w:color w:val="auto"/>
              </w:rPr>
            </w:pP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2"/>
                <w:szCs w:val="22"/>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2"/>
                <w:szCs w:val="22"/>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amount paid for claims</w:t>
            </w: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BFE4FF"/>
            </w:tcBorders>
            <w:shd w:val="clear" w:color="auto" w:fill="BFE4FF"/>
          </w:tcPr>
          <w:p>
            <w:pPr>
              <w:jc w:val="right"/>
              <w:ind w:right="156"/>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BFE4FF"/>
            </w:tcBorders>
            <w:shd w:val="clear" w:color="auto" w:fill="BFE4FF"/>
          </w:tcPr>
          <w:p>
            <w:pPr>
              <w:jc w:val="right"/>
              <w:ind w:right="136"/>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FE4FF"/>
            </w:tcBorders>
            <w:shd w:val="clear" w:color="auto" w:fill="BFE4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Average amount paid per claim</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80" w:type="dxa"/>
            <w:vAlign w:val="bottom"/>
            <w:shd w:val="clear" w:color="auto" w:fill="BFE4FF"/>
          </w:tcPr>
          <w:p>
            <w:pPr>
              <w:ind w:left="40"/>
              <w:spacing w:after="0" w:line="270" w:lineRule="exact"/>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(1)</w:t>
            </w:r>
          </w:p>
        </w:tc>
        <w:tc>
          <w:tcPr>
            <w:tcW w:w="220" w:type="dxa"/>
            <w:vAlign w:val="bottom"/>
            <w:shd w:val="clear" w:color="auto" w:fill="BFE4FF"/>
          </w:tcPr>
          <w:p>
            <w:pPr>
              <w:spacing w:after="0"/>
              <w:rPr>
                <w:sz w:val="23"/>
                <w:szCs w:val="23"/>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BFE4FF"/>
          </w:tcPr>
          <w:p>
            <w:pPr>
              <w:spacing w:after="0"/>
              <w:rPr>
                <w:sz w:val="23"/>
                <w:szCs w:val="23"/>
                <w:color w:val="auto"/>
              </w:rPr>
            </w:pPr>
          </w:p>
        </w:tc>
        <w:tc>
          <w:tcPr>
            <w:tcW w:w="1260" w:type="dxa"/>
            <w:vAlign w:val="bottom"/>
            <w:shd w:val="clear" w:color="auto" w:fill="BFE4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BFE4FF"/>
          </w:tcPr>
          <w:p>
            <w:pPr>
              <w:spacing w:after="0"/>
              <w:rPr>
                <w:sz w:val="23"/>
                <w:szCs w:val="23"/>
                <w:color w:val="auto"/>
              </w:rPr>
            </w:pPr>
          </w:p>
        </w:tc>
        <w:tc>
          <w:tcPr>
            <w:tcW w:w="13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BFE4FF"/>
          </w:tcPr>
          <w:p>
            <w:pPr>
              <w:spacing w:after="0"/>
              <w:rPr>
                <w:sz w:val="23"/>
                <w:szCs w:val="23"/>
                <w:color w:val="auto"/>
              </w:rPr>
            </w:pPr>
          </w:p>
        </w:tc>
        <w:tc>
          <w:tcPr>
            <w:tcW w:w="1260" w:type="dxa"/>
            <w:vAlign w:val="bottom"/>
            <w:shd w:val="clear" w:color="auto" w:fill="BFE4FF"/>
          </w:tcPr>
          <w:p>
            <w:pPr>
              <w:ind w:left="980"/>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Severity represents the total amount of claims paid divided by the related RIF on the loans.</w:t>
      </w:r>
    </w:p>
    <w:p>
      <w:pPr>
        <w:spacing w:after="0" w:line="16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increase in the number of claims paid for the three and six months ended June 30, 2016 compared to the same periods ended June 30, 2015 was primarily due to an increase in the number of NODs outstanding as well as the increasing age of the delinquencies.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June 30, 2016</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3"/>
              </w:rPr>
              <w:t>As of June 30, 2015</w:t>
            </w:r>
          </w:p>
        </w:tc>
      </w:tr>
      <w:tr>
        <w:trPr>
          <w:trHeight w:val="250"/>
        </w:trPr>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300" w:type="dxa"/>
            <w:vAlign w:val="bottom"/>
          </w:tcPr>
          <w:p>
            <w:pPr>
              <w:spacing w:after="0"/>
              <w:rPr>
                <w:sz w:val="21"/>
                <w:szCs w:val="21"/>
                <w:color w:val="auto"/>
              </w:rPr>
            </w:pPr>
          </w:p>
        </w:tc>
        <w:tc>
          <w:tcPr>
            <w:tcW w:w="18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0"/>
        </w:trPr>
        <w:tc>
          <w:tcPr>
            <w:tcW w:w="6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Defined as the reserve per insured loan in default.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GSEs are the principal purchasers of mortgages insured by MI companies. As a result, the practices of the private MI industry in the U.S. are driven in large part by the requirements and practices of the GSEs.</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December 31, 2015, the GSEs' final updated PMIERs went into effect for existing, GSE-approved private mortgage insurers, i.e.,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Insurers</w:t>
      </w:r>
      <w:r>
        <w:rPr>
          <w:rFonts w:ascii="Arial" w:cs="Arial" w:eastAsia="Arial" w:hAnsi="Arial"/>
          <w:sz w:val="17"/>
          <w:szCs w:val="17"/>
          <w:color w:val="auto"/>
        </w:rPr>
        <w:t>. (</w:t>
      </w:r>
      <w:r>
        <w:rPr>
          <w:rFonts w:ascii="Arial" w:cs="Arial" w:eastAsia="Arial" w:hAnsi="Arial"/>
          <w:sz w:val="17"/>
          <w:szCs w:val="17"/>
          <w:i w:val="1"/>
          <w:iCs w:val="1"/>
          <w:color w:val="auto"/>
        </w:rPr>
        <w:t xml:space="preserve">Italicized </w:t>
      </w:r>
      <w:r>
        <w:rPr>
          <w:rFonts w:ascii="Arial" w:cs="Arial" w:eastAsia="Arial" w:hAnsi="Arial"/>
          <w:sz w:val="17"/>
          <w:szCs w:val="17"/>
          <w:color w:val="auto"/>
        </w:rPr>
        <w:t>terms have the same meaning that such terms have in the PMIERs, as described below.) The PMIERs establish operational,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new financial requirements prescribe a risk-based capital methodology whereby the amount of capital required to be held against each insured loan is determined based on certain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and other risk features. An asset charge is calculated for each insured loan based on its risk profile. In general, higher quality loans carry lower capital charges.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PMIERs financial requirements,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net RIF, calculated by applying on a loan-by-loan basis certain risk-based factors derived from tables set out in the PMIERs to the net RIF.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primary insurance is subject to a floor of 5.6% of total, performing, primary RIF, and the </w:t>
      </w:r>
      <w:r>
        <w:rPr>
          <w:rFonts w:ascii="Arial" w:cs="Arial" w:eastAsia="Arial" w:hAnsi="Arial"/>
          <w:sz w:val="18"/>
          <w:szCs w:val="18"/>
          <w:i w:val="1"/>
          <w:iCs w:val="1"/>
          <w:color w:val="auto"/>
        </w:rPr>
        <w:t>risk-based required asset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i w:val="1"/>
          <w:iCs w:val="1"/>
          <w:color w:val="auto"/>
        </w:rPr>
        <w:t xml:space="preserve">amount </w:t>
      </w:r>
      <w:r>
        <w:rPr>
          <w:rFonts w:ascii="Arial" w:cs="Arial" w:eastAsia="Arial" w:hAnsi="Arial"/>
          <w:sz w:val="18"/>
          <w:szCs w:val="18"/>
          <w:color w:val="auto"/>
        </w:rPr>
        <w:t>for pool insurance considers both the factors in the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 The PMIERs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also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must be held by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loans originated on or after January 1, 2016 that are insured under LPMI policies not subject to automatic termination under the Home Owners Protection Act of 1998.</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in 2016, by April 15th of each year, NMIC must certify it met all PMIERs requirements as of December 31st of the prior year. We certified to the GSEs that NMIC fully complies with the PMIERs as of December 31, 2015. NMIC also has an ongoing obligation to immediately notify the GSEs in writing upon discovery of its failure to meet one or more of the PMIERs requirements. We will continue to monitor our compliance with the PMIERs going forward.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trended comparison of the PMIERs financial requirements as reported by NMIC.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6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March 31, 2016</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6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center"/>
              <w:ind w:right="159"/>
              <w:spacing w:after="0"/>
              <w:rPr>
                <w:sz w:val="20"/>
                <w:szCs w:val="20"/>
                <w:color w:val="auto"/>
              </w:rPr>
            </w:pPr>
            <w:r>
              <w:rPr>
                <w:rFonts w:ascii="Arial" w:cs="Arial" w:eastAsia="Arial" w:hAnsi="Arial"/>
                <w:sz w:val="14"/>
                <w:szCs w:val="14"/>
                <w:i w:val="1"/>
                <w:iCs w:val="1"/>
                <w:color w:val="auto"/>
                <w:w w:val="93"/>
              </w:rPr>
              <w:t>(In thousands)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62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BFE4FF"/>
            </w:tcBorders>
            <w:shd w:val="clear" w:color="auto" w:fill="BFE4FF"/>
          </w:tcPr>
          <w:p>
            <w:pPr>
              <w:jc w:val="right"/>
              <w:ind w:right="134"/>
              <w:spacing w:after="0"/>
              <w:rPr>
                <w:sz w:val="20"/>
                <w:szCs w:val="20"/>
                <w:color w:val="auto"/>
              </w:rPr>
            </w:pPr>
            <w:r>
              <w:rPr>
                <w:rFonts w:ascii="Arial" w:cs="Arial" w:eastAsia="Arial" w:hAnsi="Arial"/>
                <w:sz w:val="18"/>
                <w:szCs w:val="18"/>
                <w:color w:val="auto"/>
              </w:rPr>
              <w:t>432,074</w:t>
            </w:r>
          </w:p>
        </w:tc>
        <w:tc>
          <w:tcPr>
            <w:tcW w:w="3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8"/>
                <w:szCs w:val="18"/>
                <w:color w:val="auto"/>
              </w:rPr>
              <w:t>434,138</w:t>
            </w:r>
          </w:p>
        </w:tc>
        <w:tc>
          <w:tcPr>
            <w:tcW w:w="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BFE4FF"/>
            </w:tcBorders>
            <w:shd w:val="clear" w:color="auto" w:fill="BFE4FF"/>
          </w:tcPr>
          <w:p>
            <w:pPr>
              <w:jc w:val="right"/>
              <w:ind w:right="94"/>
              <w:spacing w:after="0"/>
              <w:rPr>
                <w:sz w:val="20"/>
                <w:szCs w:val="20"/>
                <w:color w:val="auto"/>
              </w:rPr>
            </w:pPr>
            <w:r>
              <w:rPr>
                <w:rFonts w:ascii="Arial" w:cs="Arial" w:eastAsia="Arial" w:hAnsi="Arial"/>
                <w:sz w:val="18"/>
                <w:szCs w:val="18"/>
                <w:color w:val="auto"/>
              </w:rPr>
              <w:t>431,411</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260" w:type="dxa"/>
            <w:vAlign w:val="bottom"/>
          </w:tcPr>
          <w:p>
            <w:pPr>
              <w:spacing w:after="0"/>
              <w:rPr>
                <w:sz w:val="21"/>
                <w:szCs w:val="21"/>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377,468</w:t>
            </w:r>
          </w:p>
        </w:tc>
        <w:tc>
          <w:tcPr>
            <w:tcW w:w="300" w:type="dxa"/>
            <w:vAlign w:val="bottom"/>
          </w:tcPr>
          <w:p>
            <w:pPr>
              <w:spacing w:after="0"/>
              <w:rPr>
                <w:sz w:val="21"/>
                <w:szCs w:val="21"/>
                <w:color w:val="auto"/>
              </w:rPr>
            </w:pPr>
          </w:p>
        </w:tc>
        <w:tc>
          <w:tcPr>
            <w:tcW w:w="1480" w:type="dxa"/>
            <w:vAlign w:val="bottom"/>
          </w:tcPr>
          <w:p>
            <w:pPr>
              <w:jc w:val="right"/>
              <w:ind w:right="159"/>
              <w:spacing w:after="0"/>
              <w:rPr>
                <w:sz w:val="20"/>
                <w:szCs w:val="20"/>
                <w:color w:val="auto"/>
              </w:rPr>
            </w:pPr>
            <w:r>
              <w:rPr>
                <w:rFonts w:ascii="Arial" w:cs="Arial" w:eastAsia="Arial" w:hAnsi="Arial"/>
                <w:sz w:val="18"/>
                <w:szCs w:val="18"/>
                <w:color w:val="auto"/>
              </w:rPr>
              <w:t>302,852</w:t>
            </w:r>
          </w:p>
        </w:tc>
        <w:tc>
          <w:tcPr>
            <w:tcW w:w="240" w:type="dxa"/>
            <w:vAlign w:val="bottom"/>
          </w:tcPr>
          <w:p>
            <w:pPr>
              <w:spacing w:after="0"/>
              <w:rPr>
                <w:sz w:val="21"/>
                <w:szCs w:val="21"/>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249,805</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62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44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148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1480" w:type="dxa"/>
            <w:vAlign w:val="bottom"/>
            <w:shd w:val="clear" w:color="auto" w:fill="BFE4FF"/>
          </w:tcPr>
          <w:p>
            <w:pPr>
              <w:spacing w:after="0"/>
              <w:rPr>
                <w:sz w:val="24"/>
                <w:szCs w:val="24"/>
                <w:color w:val="auto"/>
              </w:rPr>
            </w:pPr>
          </w:p>
        </w:tc>
      </w:tr>
      <w:tr>
        <w:trPr>
          <w:trHeight w:val="341"/>
        </w:trPr>
        <w:tc>
          <w:tcPr>
            <w:tcW w:w="6220" w:type="dxa"/>
            <w:vAlign w:val="bottom"/>
          </w:tcPr>
          <w:p>
            <w:pPr>
              <w:ind w:left="40"/>
              <w:spacing w:after="0"/>
              <w:rPr>
                <w:sz w:val="20"/>
                <w:szCs w:val="20"/>
                <w:color w:val="auto"/>
              </w:rPr>
            </w:pPr>
            <w:r>
              <w:rPr>
                <w:rFonts w:ascii="Arial" w:cs="Arial" w:eastAsia="Arial" w:hAnsi="Arial"/>
                <w:sz w:val="18"/>
                <w:szCs w:val="18"/>
                <w:color w:val="auto"/>
              </w:rPr>
              <w:t xml:space="preserve">Asset charge %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6.17%</w:t>
            </w:r>
          </w:p>
        </w:tc>
      </w:tr>
    </w:tbl>
    <w:p>
      <w:pPr>
        <w:spacing w:after="0" w:line="72" w:lineRule="exact"/>
        <w:rPr>
          <w:sz w:val="20"/>
          <w:szCs w:val="20"/>
          <w:color w:val="auto"/>
        </w:rPr>
      </w:pPr>
    </w:p>
    <w:p>
      <w:pPr>
        <w:jc w:val="center"/>
        <w:ind w:right="4240"/>
        <w:spacing w:after="0"/>
        <w:rPr>
          <w:sz w:val="20"/>
          <w:szCs w:val="20"/>
          <w:color w:val="auto"/>
        </w:rPr>
      </w:pPr>
      <w:r>
        <w:rPr>
          <w:rFonts w:ascii="Arial" w:cs="Arial" w:eastAsia="Arial" w:hAnsi="Arial"/>
          <w:sz w:val="8"/>
          <w:szCs w:val="8"/>
          <w:color w:val="auto"/>
        </w:rPr>
        <w:t>(1)</w:t>
      </w:r>
      <w:r>
        <w:rPr>
          <w:rFonts w:ascii="Arial" w:cs="Arial" w:eastAsia="Arial" w:hAnsi="Arial"/>
          <w:sz w:val="13"/>
          <w:szCs w:val="13"/>
          <w:color w:val="auto"/>
        </w:rPr>
        <w:t>Asset charge represents the</w:t>
      </w:r>
      <w:r>
        <w:rPr>
          <w:rFonts w:ascii="Arial" w:cs="Arial" w:eastAsia="Arial" w:hAnsi="Arial"/>
          <w:sz w:val="8"/>
          <w:szCs w:val="8"/>
          <w:color w:val="auto"/>
        </w:rPr>
        <w:t xml:space="preserve"> </w:t>
      </w:r>
      <w:r>
        <w:rPr>
          <w:rFonts w:ascii="Arial" w:cs="Arial" w:eastAsia="Arial" w:hAnsi="Arial"/>
          <w:sz w:val="13"/>
          <w:szCs w:val="13"/>
          <w:i w:val="1"/>
          <w:iCs w:val="1"/>
          <w:color w:val="auto"/>
        </w:rPr>
        <w:t>risk based required asset amount</w:t>
      </w:r>
      <w:r>
        <w:rPr>
          <w:rFonts w:ascii="Arial" w:cs="Arial" w:eastAsia="Arial" w:hAnsi="Arial"/>
          <w:sz w:val="8"/>
          <w:szCs w:val="8"/>
          <w:color w:val="auto"/>
        </w:rPr>
        <w:t xml:space="preserve"> </w:t>
      </w:r>
      <w:r>
        <w:rPr>
          <w:rFonts w:ascii="Arial" w:cs="Arial" w:eastAsia="Arial" w:hAnsi="Arial"/>
          <w:sz w:val="13"/>
          <w:szCs w:val="13"/>
          <w:color w:val="auto"/>
        </w:rPr>
        <w:t>divided by the outstanding RIF on performing primary loans.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GSE-imposed capital requirements, NMIC is also subject to state regulatory minimum capital requirements based on its insured RIF.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While formulations of this minimum capital may vary in each jurisdiction, the most common measure allows for a maximum permitted RTC ratio of 25:1.</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2016, NMIC's primary gross RIF was approximately $5.7 billion, representing insurance on a total of 100,547 policies in force, and pool RIF was approximately $93.1 million, representing insurance on a total of 18,148 loans. Based on NMIC's total statutory surplus of $395.7 million as of June 30, 2016, NMIC's RTC ratio was 13.2:1. Re One had total statutory capital of $29.9 million as of June 30, 2016, with a RTC ratio of 19:1. We plan to contribute capital as needed to maintain compliance with state capital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2015, Standard &amp; Poor's (S&amp;P) Ratings Services assigned its "BBB-" financial strength and long-term counter-party credit ratings for NMIC. At the same time, S&amp;P assigned its "BB-" long-term counter-party credit rating to NMIH. S&amp;P's outlook for both companies is "stable." In November 2015, Moody's Investors Service (Moody's) assigned a financial strength rating of "Ba2" for NMIC. Also at that time, Moody's assigned a B2 rating to the $150 million Term Loan held by NMIH. Moody's outlook for both companies is "stable."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 industry is highly competitive and currently consists of seven private mortgage insurers, including NMIC, as well as governmental agencies like the FHA and the VA.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MI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companies compete based on service, customer relationships, underwriting, and other factors including price. In the recent past, lenders have pressured MIs to offer discounted rates, primarily on single premium LPMI. Higher capital requirements imposed by the PMIERs have also had an effect on premium rates. We expect the MI market to remain highly competitive, with pressure for industry participants to grow or maintain their market share in the coming years. Our competitors' respective shares of the private MI market for the quarter ended March 31, 2016 ranged from single percentage points penetration to a high of approximately 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Competition with FHA</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recede to historical levels. In 2015, the FHA reduced some of its single-family annual mortgage insurance premiums. To date, the impact from the FHA's premium reduction has not had a significant impact on our continued growth in the market. We believe our pricing continues to be more attractive than the FHA's pricing for a substantial majority of borrowers with credit and loan characteristics similar to those whose loans we insure. It is difficult to predict whether the FHA will further reduce its premium rates in the future, and if it does, we do not believe that any such reductions would have a material impact on our business. There are factors beyond premium rate that influence a lender's decision to choose private MI over FHA insurance, including among others, the FHA's loan eligibility requirements, loan size limits and the relative ease of use of private MI products compared to FHA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0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June 30, 2015</w:t>
            </w:r>
          </w:p>
        </w:tc>
      </w:tr>
      <w:tr>
        <w:trPr>
          <w:trHeight w:val="251"/>
        </w:trPr>
        <w:tc>
          <w:tcPr>
            <w:tcW w:w="4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written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48,862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20,347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86,991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33,268</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28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(22,821)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(41,143)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(17,476)</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8,856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15,792</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3,283</w:t>
            </w: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967</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29,481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10,898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51,666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20,042</w:t>
            </w: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80" w:type="dxa"/>
            <w:vAlign w:val="bottom"/>
          </w:tcPr>
          <w:p>
            <w:pPr>
              <w:spacing w:after="0"/>
              <w:rPr>
                <w:sz w:val="21"/>
                <w:szCs w:val="21"/>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color w:val="auto"/>
              </w:rPr>
              <w:t>23,234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20,910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45,906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39,259</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20,904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46,834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39,357</w:t>
            </w: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liability</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1,142</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(18,173)</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(18,173)</w:t>
            </w:r>
          </w:p>
        </w:tc>
      </w:tr>
      <w:tr>
        <w:trPr>
          <w:trHeight w:val="20"/>
        </w:trPr>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11"/>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0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claims expenses by net premiums earned.</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June 30, 2016, we had net premiums written of $48.9 million and premiums earned of $26.0 million, compared to net premiums written of $20.3 million and premiums earned of $8.9 million for the three months ended June 30, 2015. For the six months ended June 30, 2016, we had net premiums written of $87.0 million and premiums earned of $45.8 million, compared to net premiums written of $33.3 million and premiums earned of $15.8 million for the six months ended June 30, 2015. The principal drivers of the increases in premiums written and earned for the periods presented were the continued growth of our NIW and IIF, primarily related to our monthly products, and the significant development of our customer base, including higher allocations of business to us from existing customers. Additionally, we had $5.8 million of earned premiums in the six months ended June 30, 2016 related to cancellations of single premium policies, compared to $1.4 million for the six months ended June 30, 2015. We believe we will continue to experience higher than expected earnings from cancellations of single premium policies if interest rates remain low and expect single premium policy cancellations to decrease if interest rates rise.</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investment income was higher for the three and six months ended June 30, 2016 compared to the three and six months ended June 30, 2015, as a result of an increase in the size of our consolidated securities portfolio. We realized a loss on investments of $0.8 million for the six months ended June 30, 2016, compared to a gain of $1.0 million for the six months ended June 30, 2015.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expenses have historically been related to business development and operating activities. Although we expect our year-over-year expenses to increase as we continue to grow our business, we ultimately expect that the majority of our operating expenses will be relatively fixed in the long term. Until our business matures, our expense ratio is expected to be significantly higher than the industry given the low levels of premium written compared to our "fixed" costs customary to operating a mortgage insurance company. We expect to see a continued decrease in our expense ratio as our business matures.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Insurance claims and claims expenses increased for the three and six months ended June 30, 2016 compared to the three and six months ended June 30, 2015, as a result of an increase in our NODs, primarily due to an increase in the number of policies in force year-over-year.</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compensation represents the majority of our operating expense, which includes both cash and share-based compensation. Our underwriting and operating expenses grew primarily as the result of hiring new employees and expanding our operations and sales activities. Our headcount grew from 209 as of June 30, 2015 to 263 as of June 30, 2016. Underwriting and operating expenses also include costs related to policy acquisition, technology, professional services and facilities.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incurred interest expense of $7.3 million for the six months ended June 30, 2016 related to the Term Loan entered into during the fourth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2015.</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$241 thousand of income tax expense for the quarter ended June 30,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recognized net income of $2.0 million for the three months ended June 30, 2016 compared to a net loss of $10.4 million for the three months ended June 30, 2015. The primary driver of the profitable quarter ended June 30, 2016, compared to the quarter ended June 30, 2015, was the significant increase in premiums earned from our IIF as a result of the addition of new customers and higher allocations of business to us from existing customers, slightly offset by the continued hiring of management and staff personnel and external and professional costs.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portfolio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559,235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46,827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57,317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15,201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13,168</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716,428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662,451</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131,916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90,773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claims expenses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293,993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259,720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422,435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402,731</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716,428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662,451</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2016, we had approximately $654.1 million in cash and investments, including $78.3 million held at NMIH. The increase in cash and investments from year-end 2015 is the result of premiums collected in the first half of 2016.</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deferred policy acquisition costs asset was $25.1 million as of June 30, 2016, compared to $17.5 million at December 31, 2015. The increase was driven by the deferrable costs associated with premiums written during the six months ended June 30, 2016 of $87.0 million.</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65" w:right="239" w:bottom="1440" w:gutter="0" w:footer="0" w:header="0"/>
          <w:type w:val="continuous"/>
        </w:sectPr>
      </w:pPr>
    </w:p>
    <w:bookmarkStart w:id="30" w:name="page31"/>
    <w:bookmarkEnd w:id="30"/>
    <w:p>
      <w:pPr>
        <w:jc w:val="both"/>
        <w:ind w:right="20" w:firstLine="648"/>
        <w:spacing w:after="0" w:line="277" w:lineRule="auto"/>
        <w:rPr>
          <w:sz w:val="20"/>
          <w:szCs w:val="20"/>
          <w:color w:val="auto"/>
        </w:rPr>
      </w:pPr>
      <w:r>
        <w:rPr>
          <w:rFonts w:ascii="Arial" w:cs="Arial" w:eastAsia="Arial" w:hAnsi="Arial"/>
          <w:sz w:val="18"/>
          <w:szCs w:val="18"/>
          <w:color w:val="auto"/>
        </w:rPr>
        <w:t>Our other assets balance increased from $13.2 million as of December 31, 2015 to $17.5 million as of June 30, 2016, primarily as a result of the increase in our premiums receivable balance related to the growth in IIF of our monthly policies.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unearned premiums balance increased to $131.9 million as of June 30, 2016 from $90.8 million as of December 31, 2015 due to single premiums written in the quarter ended June 30, 2016, offset by cancellations of lender paid single premium policies and earnings of existing unearned premiums in accordance with the expiration of risk in the related policies.</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accounts payable and accrued expenses decreased to $15.5 million as of June 30, 2016, from $22.7 million at December 31, 2015. The decrease reflects the payment of accrued liabilities at year-end, offset by accruals for liabilities related to increased headcount, accrued premium taxes and IT costs.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50"/>
        </w:trPr>
        <w:tc>
          <w:tcPr>
            <w:tcW w:w="79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27,562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(36,675)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(38,720)</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provided by operating activities was $27.6 million for the six months ended June 30, 2016, compared to net cash used in operating activities in the same period in 2015 of $1.4 million. Positive cash flow from operating activities for the six months ended June 30, 2016 compared to cash used in operating activities for the same period ended June 30, 2015 was the result of an increase in premiums written, partially offset by increased personnel costs.</w:t>
      </w: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2016 and June 30, 2015 was due to portfolio re-balancing in the first quarters of 2015 and 2016.</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for the six months ended June 30, 2016 consisted of taxes paid related to net share settlement of equity awards and payments of principal on the Term Loan. Cash used in financing activities for the six months ended June 30, 2015 consisted primarily of taxes paid related to the net share settlement of equity awards offset by the proceeds from the issuance of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subsidiaries; (iii) potential tax payments to the Internal Revenue Service (IRS); (iv) the payment of principal and interest related to the Term Loan; and (v)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June 30, 2016, NMIH's shareholders' equity was approximately $422 million.</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2016, NMIH had $78 million of cash and investments. NMIH's principal source of operating cash is investment income and could include future dividends from NMIC, if available and permitted under law and by the GSEs.</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NMIH's future capital requirements depend on many factors, including NMIC's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We expect NMIH may make additional capital contributions to its insurance subsidiaries to support their applicable capital adequacy requirements from time-to-time.</w:t>
      </w:r>
    </w:p>
    <w:p>
      <w:pPr>
        <w:spacing w:after="0" w:line="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In order to continue to grow our business and to manage our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under PMIERs, we entered into a quota share reinsurance agreement with a panel of third-party reinsurance providers (Reinsurance Agreement). Effective September 1, 2016, the Reinsurance Agreement covers the following components of our portfolio, subject to certain limitations and conditions:</w:t>
      </w:r>
    </w:p>
    <w:p>
      <w:pPr>
        <w:spacing w:after="0" w:line="100" w:lineRule="exact"/>
        <w:rPr>
          <w:sz w:val="20"/>
          <w:szCs w:val="20"/>
          <w:color w:val="auto"/>
        </w:rPr>
      </w:pPr>
    </w:p>
    <w:p>
      <w:pPr>
        <w:jc w:val="right"/>
        <w:ind w:left="5620" w:right="5580" w:hanging="5288"/>
        <w:spacing w:after="0" w:line="529"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Approximately 25% of existing policies written as of August 31, 2016; 31</w:t>
      </w:r>
    </w:p>
    <w:p>
      <w:pPr>
        <w:sectPr>
          <w:pgSz w:w="11900" w:h="16838" w:orient="portrait"/>
          <w:cols w:equalWidth="0" w:num="1">
            <w:col w:w="11420"/>
          </w:cols>
          <w:pgMar w:left="240" w:top="665" w:right="239" w:bottom="1440" w:gutter="0" w:footer="0" w:header="0"/>
        </w:sectPr>
      </w:pPr>
    </w:p>
    <w:bookmarkStart w:id="31" w:name="page32"/>
    <w:bookmarkEnd w:id="31"/>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100% of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25% of policies written from September 1, 2016 through December 31, 2017.</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NMIC will receive a 20% ceding commission for ceded premiums related to this transaction, as well as a profit commission, provided that the loss ratio on the loans covered under the Reinsurance Agreement generally remains below 60%. For risk ceded under the Reinsurance Agreement, the implied after-tax cost of capital is expected to be approximately 3%.</w:t>
      </w:r>
    </w:p>
    <w:p>
      <w:pPr>
        <w:spacing w:after="0" w:line="12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expect to receive full capital credit under PMIERs for the risk ceded under the Reinsurance Agreement. With coverage on our future policies written from September 1, 2016 through December 31, 2017, we expect to have capacity to scale up to approximately $50 billion of IIF. Wisconsin OCI has approved the Reinsurance Agreement; however, it remains subject to approval by each of the GSEs, which we expect to receive shortly. We can provide no assurance that the GSEs will give us full capital credit under PMIERs for the risk ceded under the Reinsurance Agreement. If the GSEs do not grant full credit, we would likely need to seek other sources of capital sooner than we would have expected with full capital credit under PMIERs. Future sources of capital will depend on the cost, availability and terms and conditions that are acceptable to us, our regulators and the GSEs.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has entered into expense-sharing agreements with its insurance subsidiaries which have been approved by the Wisconsin OCI, but such approval may be changed or revoked at any time. NMIC's ability to pay dividends to NMIH is subject to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2015, NMIC cannot pay any dividends to NMIH through December 31, 2016 without the prior approval of the Wisconsin OCI. Certain other states in which NMIC is licensed also have statutes or regulations that restrict its ability to pay dividends.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 We anticipate that as our IIF grows, the premium revenue we receive will increase. We expect to manage our fixed operating expenses so that they grow at a slower rate than NIW over the coming years.</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fourth quarter of 2015, NMIH entered into the Credit Agreement for the Term Loan to support the continued growth of its IIF. The Credit Agreement contains various restrictive covenants and required financial ratios and tests that we are required to meet or maintain. These covenants include, but are not limited to the following: a maximum debt-to-total capitalization ratio (as defined) of 35%, maximum RTC ratio of 22.0:1.0, liquidity (as defined) of $32 million as of June 30, 2016, compliance with PMIERs financial requirements (subject to any GSE-approved waivers), and equity requirements. The Term Loan bears interest at the Eurodollar Rate (1%) plus an annual margin rate of 7.5% (an all-in rate of 8.5% from inception through June 30, 2016), payable quarterly. The Company recorded $7.3 million of interest expense for the six months ended June 30, 2016. The Term Loan matures on November 10,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investment income for the six months ended June 30, 2016 was $6.6 million, compared to $3.3 million for the six months ended June 30, 2015. As of June 30, 2016,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operations, such as net premiums received, and investment earnings.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pre-tax book yield on our portfolio as of June 30, 2016 was 2.0%, excluding unrealized gains and losses. The book yield is calculated on our year-to-date net investment income over our average portfolio book value as of June 30, 2016. We believe that the yield on our investment portfolio likely will change over time based on potential changes to the interest rate environment, the duration or mix of our investment portfolio or other factors.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sectors of our investment portfolio, including cash and cash equivalents appear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2016</w:t>
            </w:r>
          </w:p>
        </w:tc>
        <w:tc>
          <w:tcPr>
            <w:tcW w:w="178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2.</w:t>
            </w:r>
          </w:p>
        </w:tc>
        <w:tc>
          <w:tcPr>
            <w:tcW w:w="7440" w:type="dxa"/>
            <w:vAlign w:val="bottom"/>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4.</w:t>
            </w:r>
          </w:p>
        </w:tc>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The ratings of our investment portfolio were:</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Investment portfolio ratings</w:t>
            </w: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2016</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AA</w:t>
            </w:r>
          </w:p>
        </w:tc>
        <w:tc>
          <w:tcPr>
            <w:tcW w:w="744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7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BBB</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ratings above are provided by one or more of: Moody's, S&amp;P and Fitch Ratings. If three ratings are available, we assign the middle rating for classification purposes, otherwise we assign the lowest 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U.S. taxpayer and are subject to a statutory U.S. federal corporate income tax rate of 35%. Our holding company files a consolidated U.S. federal and various state income tax returns on behalf of itself and its subsidiaries. We currently pay no federal income tax, and had a federal net operating loss carryforward as of December 31, 2015 of $139.4 million. Our effective income tax rate on our pre-tax income was 0.0% for the three months ended June 30, 2016 and (2.4)% for the comparable 2015 period. Our effective income tax rate on our pre-tax loss was 0.0% for the six months ended June 30, 2016 and 0.0% for the comparable 2015 period.</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reflect a valuation allowance with respect to our net deferred tax assets. We evaluate the realizability of our net deferred tax assets based on all available evidence, both positive and negative. The realization of net deferred tax assets is dependent on the Company's ability to generate sufficient future taxable income during periods prior to the expiration of tax attributes.</w:t>
      </w:r>
    </w:p>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recorded our first profitable quarter for the three months ended June 30, 2016. However, given the cumulative loss in recent years, we currently believe there is not yet sufficient positive evidence to change our judgment regarding the need for a full valuation allowance. The continued trend in operating results and approaching cumulative profit over three years would provide additional positive evidence in determining the need for the valuation allowance and could lead to the reversal of substantially all of the valuation allowance on our deferred tax assets. If we conclude there is sufficient positive evidence to release the valuation allowance associated primarily with the carry forward of federal net operating losses and future tax deductions from share-based compensation, we would recognize a material increase to net income in the period such conclusion is made.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no off-balance sheet arrangements as of June 30, 2016. There are no material changes outside the ordinary course of business in the contractual obligations specified in our 2015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2015 10-K.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(e.g.,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June 30, 2016 and December 31, 2015 was $607 million and $559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2016, the duration of our fixed income portfolio, including cash and cash equivalents, was 3.85 years, which means that an instantaneous parallel shift (movement up or down) in the yield curve of 100 basis points would result in a change of 3.85% in fair value of our fixed income portfolio. Excluding cash, our fixed income portfolio duration was 4.28 years, which means that an instantaneous parallel shift (movement up or down) in the yield curve of 100 basis points would result in a change of 4.28%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Term Loan. As discussed in Item 1,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Term Loan,</w:t>
      </w:r>
      <w:r>
        <w:rPr>
          <w:rFonts w:ascii="Arial" w:cs="Arial" w:eastAsia="Arial" w:hAnsi="Arial"/>
          <w:sz w:val="18"/>
          <w:szCs w:val="18"/>
          <w:color w:val="auto"/>
        </w:rPr>
        <w:t>" the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2016,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2016,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2015 10-K. You should carefully consider the risks and uncertainties described herein and in the above referenced filing, which have the potential to affect our business, financial condition, results of operations, cash flows or prospects in a material and adverse manner. The risks described herein and in the above referenced filing are not the only risks we face, as there are additional risks and uncertainties not currently known to us or that we currently deem to be immaterial which may in the future adversely affect our business, financial condition and/or operating results. As of the date of this report, we are not aware of any material changes in the risk factors set forth in our 2015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August 8, 2016</w:t>
      </w:r>
      <w:r>
        <w:rPr>
          <w:sz w:val="20"/>
          <w:szCs w:val="20"/>
          <w:color w:val="auto"/>
        </w:rPr>
        <w:tab/>
      </w:r>
      <w:r>
        <w:rPr>
          <w:rFonts w:ascii="Arial" w:cs="Arial" w:eastAsia="Arial" w:hAnsi="Arial"/>
          <w:sz w:val="17"/>
          <w:szCs w:val="17"/>
          <w:color w:val="auto"/>
        </w:rPr>
        <w:t>By: /s/ Glenn M. Farrell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Glenn M. Farrell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240" w:top="1013" w:right="7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24"/>
                <w:szCs w:val="24"/>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202" w:lineRule="exact"/>
        <w:rPr>
          <w:sz w:val="20"/>
          <w:szCs w:val="20"/>
          <w:color w:val="auto"/>
        </w:rPr>
      </w:pPr>
    </w:p>
    <w:p>
      <w:pPr>
        <w:jc w:val="center"/>
        <w:ind w:right="140"/>
        <w:spacing w:after="0" w:line="298" w:lineRule="auto"/>
        <w:rPr>
          <w:sz w:val="20"/>
          <w:szCs w:val="20"/>
          <w:color w:val="auto"/>
        </w:rPr>
      </w:pPr>
      <w:r>
        <w:rPr>
          <w:rFonts w:ascii="Arial" w:cs="Arial" w:eastAsia="Arial" w:hAnsi="Arial"/>
          <w:sz w:val="17"/>
          <w:szCs w:val="17"/>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160" w:right="260" w:hanging="760"/>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(incorporated herein by reference to Exhibit 3.1 to our Form S-1 Registration Statement (Registration No. 333-191635), filed on October 9, 2013)</w:t>
      </w:r>
    </w:p>
    <w:p>
      <w:pPr>
        <w:spacing w:after="0" w:line="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77"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Class A common stock certificate (incorporated herein by reference to Exhibit 4.1 to our Form S-1 Registration Statement (Registration No. 333-191635), filed on October 9, 2013)</w:t>
      </w:r>
    </w:p>
    <w:p>
      <w:pPr>
        <w:spacing w:after="0" w:line="8" w:lineRule="exact"/>
        <w:rPr>
          <w:sz w:val="20"/>
          <w:szCs w:val="20"/>
          <w:color w:val="auto"/>
        </w:rPr>
      </w:pPr>
    </w:p>
    <w:p>
      <w:pPr>
        <w:ind w:left="1160" w:right="100" w:hanging="760"/>
        <w:spacing w:after="0" w:line="298"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98"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1" w:lineRule="exact"/>
        <w:rPr>
          <w:sz w:val="20"/>
          <w:szCs w:val="20"/>
          <w:color w:val="auto"/>
        </w:rPr>
      </w:pPr>
    </w:p>
    <w:p>
      <w:pPr>
        <w:jc w:val="both"/>
        <w:ind w:left="1160" w:right="120" w:hanging="760"/>
        <w:spacing w:after="0" w:line="264" w:lineRule="auto"/>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9" w:lineRule="exact"/>
        <w:rPr>
          <w:sz w:val="20"/>
          <w:szCs w:val="20"/>
          <w:color w:val="auto"/>
        </w:rPr>
      </w:pPr>
    </w:p>
    <w:p>
      <w:pPr>
        <w:jc w:val="both"/>
        <w:ind w:left="1160" w:right="100" w:hanging="760"/>
        <w:spacing w:after="0" w:line="317"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ind w:left="1160" w:right="380" w:hanging="760"/>
        <w:spacing w:after="0" w:line="317"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ind w:left="1160" w:right="220" w:hanging="760"/>
        <w:spacing w:after="0" w:line="298"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Credit Agreement, dated November 10, 2015, between NMI Holdings, Inc., the lenders party thereto and JPMorgan Chase Bank, N.A., as administrative agent (incorporated herein by reference to Exhibit 4.1 to our Form 8-K, filed on November 10, 2015)</w:t>
      </w:r>
    </w:p>
    <w:p>
      <w:pPr>
        <w:spacing w:after="0" w:line="1" w:lineRule="exact"/>
        <w:rPr>
          <w:sz w:val="20"/>
          <w:szCs w:val="20"/>
          <w:color w:val="auto"/>
        </w:rPr>
      </w:pPr>
    </w:p>
    <w:p>
      <w:pPr>
        <w:ind w:left="1160" w:right="320" w:hanging="876"/>
        <w:spacing w:after="0" w:line="277" w:lineRule="auto"/>
        <w:tabs>
          <w:tab w:leader="none" w:pos="114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NMI Holdings, Inc. 2012 Stock Incentive Plan (incorporated herein by reference to Exhibit 10.1 to our Form S-1 Registration Statement (Registration No. 333-191635), filed on October 9, 2013)</w:t>
      </w:r>
    </w:p>
    <w:p>
      <w:pPr>
        <w:spacing w:after="0" w:line="8"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7"/>
          <w:szCs w:val="17"/>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76"/>
        <w:spacing w:after="0" w:line="264" w:lineRule="auto"/>
        <w:tabs>
          <w:tab w:leader="none" w:pos="1140" w:val="left"/>
        </w:tabs>
        <w:rPr>
          <w:sz w:val="20"/>
          <w:szCs w:val="20"/>
          <w:color w:val="auto"/>
        </w:rPr>
      </w:pPr>
      <w:r>
        <w:rPr>
          <w:rFonts w:ascii="Arial" w:cs="Arial" w:eastAsia="Arial" w:hAnsi="Arial"/>
          <w:sz w:val="18"/>
          <w:szCs w:val="18"/>
          <w:color w:val="auto"/>
        </w:rPr>
        <w:t>10.5 ~</w:t>
      </w:r>
      <w:r>
        <w:rPr>
          <w:sz w:val="20"/>
          <w:szCs w:val="20"/>
          <w:color w:val="auto"/>
        </w:rPr>
        <w:tab/>
      </w:r>
      <w:r>
        <w:rPr>
          <w:rFonts w:ascii="Arial" w:cs="Arial" w:eastAsia="Arial" w:hAnsi="Arial"/>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9"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10.6 ~</w:t>
      </w:r>
      <w:r>
        <w:rPr>
          <w:sz w:val="20"/>
          <w:szCs w:val="20"/>
          <w:color w:val="auto"/>
        </w:rPr>
        <w:tab/>
      </w:r>
      <w:r>
        <w:rPr>
          <w:rFonts w:ascii="Arial" w:cs="Arial" w:eastAsia="Arial" w:hAnsi="Arial"/>
          <w:sz w:val="17"/>
          <w:szCs w:val="17"/>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98" w:lineRule="auto"/>
        <w:tabs>
          <w:tab w:leader="none" w:pos="1140" w:val="left"/>
        </w:tabs>
        <w:rPr>
          <w:sz w:val="20"/>
          <w:szCs w:val="20"/>
          <w:color w:val="auto"/>
        </w:rPr>
      </w:pPr>
      <w:r>
        <w:rPr>
          <w:rFonts w:ascii="Arial" w:cs="Arial" w:eastAsia="Arial" w:hAnsi="Arial"/>
          <w:sz w:val="18"/>
          <w:szCs w:val="18"/>
          <w:color w:val="auto"/>
        </w:rPr>
        <w:t>10.7 ~</w:t>
      </w:r>
      <w:r>
        <w:rPr>
          <w:sz w:val="20"/>
          <w:szCs w:val="20"/>
          <w:color w:val="auto"/>
        </w:rPr>
        <w:tab/>
      </w:r>
      <w:r>
        <w:rPr>
          <w:rFonts w:ascii="Arial" w:cs="Arial" w:eastAsia="Arial" w:hAnsi="Arial"/>
          <w:sz w:val="17"/>
          <w:szCs w:val="17"/>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1" w:lineRule="exact"/>
        <w:rPr>
          <w:sz w:val="20"/>
          <w:szCs w:val="20"/>
          <w:color w:val="auto"/>
        </w:rPr>
      </w:pPr>
    </w:p>
    <w:p>
      <w:pPr>
        <w:jc w:val="both"/>
        <w:ind w:left="1160" w:right="40" w:hanging="876"/>
        <w:spacing w:after="0" w:line="277" w:lineRule="auto"/>
        <w:tabs>
          <w:tab w:leader="none" w:pos="1140" w:val="left"/>
        </w:tabs>
        <w:rPr>
          <w:sz w:val="20"/>
          <w:szCs w:val="20"/>
          <w:color w:val="auto"/>
        </w:rPr>
      </w:pPr>
      <w:r>
        <w:rPr>
          <w:rFonts w:ascii="Arial" w:cs="Arial" w:eastAsia="Arial" w:hAnsi="Arial"/>
          <w:sz w:val="18"/>
          <w:szCs w:val="18"/>
          <w:color w:val="auto"/>
        </w:rPr>
        <w:t>10.8 ~</w:t>
      </w:r>
      <w:r>
        <w:rPr>
          <w:sz w:val="20"/>
          <w:szCs w:val="20"/>
          <w:color w:val="auto"/>
        </w:rPr>
        <w:tab/>
      </w:r>
      <w:r>
        <w:rPr>
          <w:rFonts w:ascii="Arial" w:cs="Arial" w:eastAsia="Arial" w:hAnsi="Arial"/>
          <w:sz w:val="18"/>
          <w:szCs w:val="18"/>
          <w:color w:val="auto"/>
        </w:rPr>
        <w:t>Amended and Restated Employment Agreement by and between NMI Holdings, Inc. and Bradley M. Shuster, dated December 23, 2015 (incorporated herein by reference to Exhibit 10.1 to our Form 8-K, filed on December 29, 2015)</w:t>
      </w:r>
    </w:p>
    <w:p>
      <w:pPr>
        <w:spacing w:after="0" w:line="8" w:lineRule="exact"/>
        <w:rPr>
          <w:sz w:val="20"/>
          <w:szCs w:val="20"/>
          <w:color w:val="auto"/>
        </w:rPr>
      </w:pPr>
    </w:p>
    <w:p>
      <w:pPr>
        <w:jc w:val="both"/>
        <w:ind w:left="1160" w:right="20" w:hanging="876"/>
        <w:spacing w:after="0" w:line="277" w:lineRule="auto"/>
        <w:tabs>
          <w:tab w:leader="none" w:pos="114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8"/>
          <w:szCs w:val="18"/>
          <w:color w:val="auto"/>
        </w:rPr>
        <w:t>Offer Letter by and between NMI Holdings, Inc. and Glenn Farrell, effective December 4, 2014 (incorporated herein by reference to Exhibit 10.1 to our Form 8-K, filed on December 9, 2014)</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320" w:top="580"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40" w:type="dxa"/>
            <w:vAlign w:val="bottom"/>
          </w:tcPr>
          <w:p>
            <w:pPr>
              <w:spacing w:after="0"/>
              <w:rPr>
                <w:sz w:val="18"/>
                <w:szCs w:val="18"/>
                <w:color w:val="auto"/>
              </w:rPr>
            </w:pPr>
          </w:p>
        </w:tc>
      </w:tr>
      <w:tr>
        <w:trPr>
          <w:trHeight w:val="234"/>
        </w:trPr>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22"/>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10.10 ~</w:t>
            </w:r>
          </w:p>
        </w:tc>
        <w:tc>
          <w:tcPr>
            <w:tcW w:w="12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Offer Letter by and between NMI Holdings, Inc. and William Leatherberry, dated July 11, 2014 (incorporated herein by reference to Exhibit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10.10 to our Form 10-Q, filed on April 28,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10.11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Indemnification Agreement between NMI Holdings, Inc. and its directors and certain executive officers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 to our Form 8-K, filed on November 25,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10.12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0001-01 (incorporated herein by reference to Exhibit 10.14 to our Form S-1 Registration Statement (Registration No. 333-191635), filed on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October 9, 2013)</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10.13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NMI Holdings, Inc. 2014 Omnibus Incentive Plan (incorporated herein by reference to Appendix A to our 2014 Annual Proxy Statement,</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filed on March 26, 2014)</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10.14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Form of NMI Holdings, Inc. 2014 Omnibus Incentive Plan Restricted Stock Unit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10.15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Restricted Stock Unit Award Agreement for Executive Officers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10.16 to our Form 10-K, filed on February 19, 2016)</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10.16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Restricted Stock Unit Award Agreement for Employees (incorporated herein by</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reference to Exhibit 10.19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10.17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NMI Holdings, Inc. 2014 Omnibus Incentive Plan Restricted Stock Unit Award Agreement for Independent Directors</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10.20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10.18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Form of NMI Holdings, Inc. 2014 Omnibus Incentive Plan Nonqualified Stock Option Award Agreement for Chief Executive Officer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President (incorporated herein by reference to Exhibit 10.21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10.19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Form of NMI Holdings, Inc. 2014 Omnibus Incentive Plan Nonqualified Stock Option Award Agreement for Employees (incorporated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herein by reference to Exhibit 10.22 to our Form 10-K, filed on February 20, 2015)</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10.20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Form of NMI Holdings, Inc. 2014 Omnibus Incentive Plan Phantom Unit Award Agreement for Independent Directors (incorporated herein</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by reference to Exhibit 10.21 to our Form 10-Q, filed on August 5,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10.21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2"/>
              </w:rPr>
              <w:t>NMI Holdings, Inc. Severance Benefit Plan (incorporated herein by reference to Exhibit 10.1 to our Form 8-K, filed on February 17, 2016)</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Subsidiaries of NMI Holdings, Inc. (incorporated herein by reference to Exhibit 21.1 to our Form 10-Q, filed on October 30, 2015)</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Certifications of CEO and CFO Pursuant to 18 U.S.C. Section 1350, as Adopted Pursuant to Section 906 of the Sarbanes-Oxley Act of</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2002</w:t>
            </w:r>
          </w:p>
        </w:tc>
      </w:tr>
      <w:tr>
        <w:trPr>
          <w:trHeight w:val="256"/>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 *</w:t>
            </w:r>
          </w:p>
        </w:tc>
        <w:tc>
          <w:tcPr>
            <w:tcW w:w="120" w:type="dxa"/>
            <w:vAlign w:val="bottom"/>
          </w:tcPr>
          <w:p>
            <w:pPr>
              <w:spacing w:after="0"/>
              <w:rPr>
                <w:sz w:val="22"/>
                <w:szCs w:val="22"/>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The following financial information from NMI Holdings, Inc.'s Quarterly Report on Form 10-Q for the quarter ended June 30, 2016</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formatted in XBRL (eXtensible Business Reporting Language):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 Consolidated Balance Sheets as of June 30, 2016 and December 31, 2015</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(ii) Consolidated Statements of Comprehensive Income (Loss) for the three months ended June 30, 2016 and 2015</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(iii) Consolidated Statements of Changes in Shareholders' Equity for the three months ended June 30, 2016</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560"/>
              <w:spacing w:after="0"/>
              <w:rPr>
                <w:sz w:val="20"/>
                <w:szCs w:val="20"/>
                <w:color w:val="auto"/>
              </w:rPr>
            </w:pPr>
            <w:r>
              <w:rPr>
                <w:rFonts w:ascii="Arial" w:cs="Arial" w:eastAsia="Arial" w:hAnsi="Arial"/>
                <w:sz w:val="18"/>
                <w:szCs w:val="18"/>
                <w:color w:val="auto"/>
              </w:rPr>
              <w:t>and the year ended December 31, 2015</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(iv) Consolidated Statements of Cash Flows for the three months ended June 30, 2016 and 2015, and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(v) Notes to Consolidated Financial Statements</w:t>
            </w:r>
          </w:p>
        </w:tc>
      </w:tr>
    </w:tbl>
    <w:p>
      <w:pPr>
        <w:spacing w:after="0" w:line="368"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500" w:right="40" w:hanging="221"/>
        <w:spacing w:after="0" w:line="27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2" w:lineRule="exact"/>
        <w:rPr>
          <w:sz w:val="20"/>
          <w:szCs w:val="20"/>
          <w:color w:val="auto"/>
        </w:rPr>
      </w:pPr>
    </w:p>
    <w:p>
      <w:pPr>
        <w:jc w:val="both"/>
        <w:ind w:left="500" w:right="60" w:hanging="221"/>
        <w:spacing w:after="0" w:line="278"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320" w:top="742" w:right="299" w:bottom="1440" w:gutter="0" w:footer="0" w:header="0"/>
        </w:sectPr>
      </w:pPr>
    </w:p>
    <w:bookmarkStart w:id="40" w:name="page41"/>
    <w:bookmarkEnd w:id="40"/>
    <w:p>
      <w:pPr>
        <w:ind w:left="1028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SECTION302 OF THE SARBANES-OXLEY ACT OF 2002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8"/>
        <w:spacing w:after="0" w:line="465"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6"/>
          <w:szCs w:val="16"/>
          <w:color w:val="auto"/>
        </w:rPr>
      </w:pPr>
    </w:p>
    <w:p>
      <w:pPr>
        <w:ind w:firstLine="8"/>
        <w:spacing w:after="0" w:line="38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4" w:lineRule="exact"/>
        <w:rPr>
          <w:rFonts w:ascii="Arial" w:cs="Arial" w:eastAsia="Arial" w:hAnsi="Arial"/>
          <w:sz w:val="18"/>
          <w:szCs w:val="18"/>
          <w:color w:val="auto"/>
        </w:rPr>
      </w:pPr>
    </w:p>
    <w:p>
      <w:pPr>
        <w:jc w:val="both"/>
        <w:ind w:firstLine="8"/>
        <w:spacing w:after="0" w:line="373"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8"/>
          <w:szCs w:val="18"/>
          <w:color w:val="auto"/>
        </w:rPr>
      </w:pPr>
    </w:p>
    <w:p>
      <w:pPr>
        <w:ind w:left="660" w:right="20" w:hanging="4"/>
        <w:spacing w:after="0" w:line="424" w:lineRule="auto"/>
        <w:tabs>
          <w:tab w:leader="none" w:pos="8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7"/>
          <w:szCs w:val="17"/>
          <w:color w:val="auto"/>
        </w:rPr>
      </w:pPr>
    </w:p>
    <w:p>
      <w:pPr>
        <w:jc w:val="both"/>
        <w:ind w:left="660" w:hanging="4"/>
        <w:spacing w:after="0" w:line="373" w:lineRule="auto"/>
        <w:tabs>
          <w:tab w:leader="none" w:pos="8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rFonts w:ascii="Arial" w:cs="Arial" w:eastAsia="Arial" w:hAnsi="Arial"/>
          <w:sz w:val="18"/>
          <w:szCs w:val="18"/>
          <w:color w:val="auto"/>
        </w:rPr>
      </w:pPr>
    </w:p>
    <w:p>
      <w:pPr>
        <w:ind w:firstLine="8"/>
        <w:spacing w:after="0" w:line="424"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7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7" w:lineRule="exact"/>
        <w:rPr>
          <w:sz w:val="20"/>
          <w:szCs w:val="20"/>
          <w:color w:val="auto"/>
        </w:rPr>
      </w:pPr>
    </w:p>
    <w:p>
      <w:pPr>
        <w:ind w:left="600" w:right="20" w:hanging="4"/>
        <w:spacing w:after="0" w:line="387" w:lineRule="auto"/>
        <w:tabs>
          <w:tab w:leader="none" w:pos="7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4" w:lineRule="exact"/>
        <w:rPr>
          <w:rFonts w:ascii="Arial" w:cs="Arial" w:eastAsia="Arial" w:hAnsi="Arial"/>
          <w:sz w:val="18"/>
          <w:szCs w:val="18"/>
          <w:color w:val="auto"/>
        </w:rPr>
      </w:pPr>
    </w:p>
    <w:p>
      <w:pPr>
        <w:ind w:left="600" w:hanging="4"/>
        <w:spacing w:after="0" w:line="387" w:lineRule="auto"/>
        <w:tabs>
          <w:tab w:leader="none" w:pos="8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31750</wp:posOffset>
            </wp:positionV>
            <wp:extent cx="3601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60"/>
          </w:cols>
          <w:pgMar w:left="300" w:top="175" w:right="239" w:bottom="1440" w:gutter="0" w:footer="0" w:header="0"/>
        </w:sectPr>
      </w:pPr>
    </w:p>
    <w:bookmarkStart w:id="42" w:name="page43"/>
    <w:bookmarkEnd w:id="42"/>
    <w:p>
      <w:pPr>
        <w:ind w:left="1028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Glenn M. Farrell, certify that:</w:t>
      </w:r>
    </w:p>
    <w:p>
      <w:pPr>
        <w:spacing w:after="0" w:line="200" w:lineRule="exact"/>
        <w:rPr>
          <w:sz w:val="20"/>
          <w:szCs w:val="20"/>
          <w:color w:val="auto"/>
        </w:rPr>
      </w:pPr>
    </w:p>
    <w:p>
      <w:pPr>
        <w:spacing w:after="0" w:line="21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8"/>
        <w:spacing w:after="0" w:line="465"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6"/>
          <w:szCs w:val="16"/>
          <w:color w:val="auto"/>
        </w:rPr>
      </w:pPr>
    </w:p>
    <w:p>
      <w:pPr>
        <w:ind w:firstLine="8"/>
        <w:spacing w:after="0" w:line="38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4" w:lineRule="exact"/>
        <w:rPr>
          <w:rFonts w:ascii="Arial" w:cs="Arial" w:eastAsia="Arial" w:hAnsi="Arial"/>
          <w:sz w:val="18"/>
          <w:szCs w:val="18"/>
          <w:color w:val="auto"/>
        </w:rPr>
      </w:pPr>
    </w:p>
    <w:p>
      <w:pPr>
        <w:ind w:firstLine="8"/>
        <w:spacing w:after="0" w:line="38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jc w:val="both"/>
        <w:ind w:left="660" w:hanging="4"/>
        <w:spacing w:after="0" w:line="373" w:lineRule="auto"/>
        <w:tabs>
          <w:tab w:leader="none" w:pos="8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7" w:lineRule="exact"/>
        <w:rPr>
          <w:rFonts w:ascii="Arial" w:cs="Arial" w:eastAsia="Arial" w:hAnsi="Arial"/>
          <w:sz w:val="18"/>
          <w:szCs w:val="18"/>
          <w:color w:val="auto"/>
        </w:rPr>
      </w:pPr>
    </w:p>
    <w:p>
      <w:pPr>
        <w:jc w:val="both"/>
        <w:ind w:left="660" w:hanging="4"/>
        <w:spacing w:after="0" w:line="373"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7" w:lineRule="exact"/>
        <w:rPr>
          <w:rFonts w:ascii="Arial" w:cs="Arial" w:eastAsia="Arial" w:hAnsi="Arial"/>
          <w:sz w:val="18"/>
          <w:szCs w:val="18"/>
          <w:color w:val="auto"/>
        </w:rPr>
      </w:pPr>
    </w:p>
    <w:p>
      <w:pPr>
        <w:ind w:left="660" w:right="20" w:hanging="4"/>
        <w:spacing w:after="0" w:line="424" w:lineRule="auto"/>
        <w:tabs>
          <w:tab w:leader="none" w:pos="8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7"/>
          <w:szCs w:val="17"/>
          <w:color w:val="auto"/>
        </w:rPr>
      </w:pPr>
    </w:p>
    <w:p>
      <w:pPr>
        <w:jc w:val="both"/>
        <w:ind w:left="660" w:hanging="4"/>
        <w:spacing w:after="0" w:line="373" w:lineRule="auto"/>
        <w:tabs>
          <w:tab w:leader="none" w:pos="87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rFonts w:ascii="Arial" w:cs="Arial" w:eastAsia="Arial" w:hAnsi="Arial"/>
          <w:sz w:val="18"/>
          <w:szCs w:val="18"/>
          <w:color w:val="auto"/>
        </w:rPr>
      </w:pPr>
    </w:p>
    <w:p>
      <w:pPr>
        <w:ind w:firstLine="8"/>
        <w:spacing w:after="0" w:line="424" w:lineRule="auto"/>
        <w:tabs>
          <w:tab w:leader="none" w:pos="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7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7" w:lineRule="exact"/>
        <w:rPr>
          <w:sz w:val="20"/>
          <w:szCs w:val="20"/>
          <w:color w:val="auto"/>
        </w:rPr>
      </w:pPr>
    </w:p>
    <w:p>
      <w:pPr>
        <w:ind w:left="600" w:right="20" w:hanging="4"/>
        <w:spacing w:after="0" w:line="387" w:lineRule="auto"/>
        <w:tabs>
          <w:tab w:leader="none" w:pos="7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4" w:lineRule="exact"/>
        <w:rPr>
          <w:rFonts w:ascii="Arial" w:cs="Arial" w:eastAsia="Arial" w:hAnsi="Arial"/>
          <w:sz w:val="18"/>
          <w:szCs w:val="18"/>
          <w:color w:val="auto"/>
        </w:rPr>
      </w:pPr>
    </w:p>
    <w:p>
      <w:pPr>
        <w:ind w:left="600" w:hanging="4"/>
        <w:spacing w:after="0" w:line="387" w:lineRule="auto"/>
        <w:tabs>
          <w:tab w:leader="none" w:pos="8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31750</wp:posOffset>
            </wp:positionV>
            <wp:extent cx="3601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360"/>
          </w:cols>
          <w:pgMar w:left="300" w:top="17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2015,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60"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8, 2016</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8, 2016</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Glenn M.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Glenn M. Farrell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ind w:right="40"/>
        <w:spacing w:after="0" w:line="37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2019-12-29T10:03:06Z</dcterms:created>
  <dcterms:modified xsi:type="dcterms:W3CDTF">2019-12-29T10:03:06Z</dcterms:modified>
</cp:coreProperties>
</file>