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tbl>
      <w:tblPr>
        <w:tblW w:w="8350" w:type="dxa"/>
        <w:jc w:val="center"/>
        <w:tblInd w:w="0" w:type="dxa"/>
        <w:tblLayout w:type="fixed"/>
        <w:tblCellMar>
          <w:top w:w="28" w:type="dxa"/>
          <w:left w:w="28" w:type="dxa"/>
          <w:bottom w:w="28" w:type="dxa"/>
          <w:right w:w="28" w:type="dxa"/>
        </w:tblCellMar>
      </w:tblPr>
      <w:tblGrid>
        <w:gridCol w:w="124"/>
        <w:gridCol w:w="109"/>
        <w:gridCol w:w="109"/>
        <w:gridCol w:w="1242"/>
        <w:gridCol w:w="1242"/>
        <w:gridCol w:w="1242"/>
        <w:gridCol w:w="1242"/>
        <w:gridCol w:w="1242"/>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8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0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For the fiscal year ended</w:t>
            </w:r>
            <w:r>
              <w:rPr>
                <w:color w:val="000000"/>
              </w:rPr>
              <w:t xml:space="preserve"> </w:t>
            </w:r>
          </w:p>
        </w:tc>
        <w:tc>
          <w:tcPr>
            <w:tcW w:w="42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December 31, 2025</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8652" w:type="dxa"/>
        <w:jc w:val="center"/>
        <w:tblInd w:w="0" w:type="dxa"/>
        <w:tblLayout w:type="fixed"/>
        <w:tblCellMar>
          <w:top w:w="28" w:type="dxa"/>
          <w:left w:w="28" w:type="dxa"/>
          <w:bottom w:w="28" w:type="dxa"/>
          <w:right w:w="28" w:type="dxa"/>
        </w:tblCellMar>
      </w:tblPr>
      <w:tblGrid>
        <w:gridCol w:w="124"/>
        <w:gridCol w:w="109"/>
        <w:gridCol w:w="109"/>
        <w:gridCol w:w="2430"/>
        <w:gridCol w:w="2430"/>
        <w:gridCol w:w="3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TRANSITION REPORT PURSUANT TO SECTION 13 OR 15(d) OF THE SECURITIES EXCHANGE ACT OF 1934</w:t>
            </w:r>
          </w:p>
          <w:p>
            <w:pPr>
              <w:pStyle w:val="TableContents"/>
              <w:bidi w:val="0"/>
              <w:spacing w:lineRule="auto" w:line="240" w:before="0" w:after="0"/>
              <w:jc w:val="both"/>
              <w:rPr/>
            </w:pPr>
            <w:r>
              <w:rPr>
                <w:rFonts w:ascii="Times New Roman;serif" w:hAnsi="Times New Roman;serif"/>
                <w:b w:val="false"/>
                <w:color w:val="000000"/>
                <w:sz w:val="16"/>
              </w:rPr>
              <w:t xml:space="preserve">For the transition period from </w:t>
            </w:r>
            <w:r>
              <w:rPr>
                <w:color w:val="000000"/>
              </w:rPr>
              <w:t> </w:t>
            </w:r>
            <w:r>
              <w:rPr>
                <w:rFonts w:ascii="Times New Roman;serif" w:hAnsi="Times New Roman;serif"/>
                <w:b w:val="false"/>
                <w:color w:val="000000"/>
                <w:sz w:val="16"/>
              </w:rPr>
              <w:t xml:space="preserve">to </w:t>
            </w:r>
            <w:r>
              <w:rPr>
                <w:color w:val="000000"/>
              </w:rPr>
              <w:t> </w:t>
            </w:r>
          </w:p>
        </w:tc>
      </w:tr>
    </w:tbl>
    <w:p>
      <w:pPr>
        <w:pStyle w:val="TextBody"/>
        <w:bidi w:val="0"/>
        <w:spacing w:lineRule="auto" w:line="288" w:before="0" w:after="0"/>
        <w:jc w:val="center"/>
        <w:rPr/>
      </w:pPr>
      <w:r>
        <w:rPr>
          <w:rFonts w:ascii="Times New Roman;serif" w:hAnsi="Times New Roman;serif"/>
          <w:b w:val="false"/>
          <w:color w:val="000000"/>
          <w:sz w:val="16"/>
        </w:rPr>
        <w:t xml:space="preserve">Commission file number </w:t>
      </w:r>
      <w:r>
        <w:rPr>
          <w:rFonts w:ascii="Times New Roman;serif" w:hAnsi="Times New Roman;serif"/>
          <w:b/>
          <w:color w:val="000000"/>
          <w:sz w:val="16"/>
        </w:rPr>
        <w:t>001-36174</w:t>
      </w:r>
      <w:r>
        <w:rPr>
          <w:color w:val="000000"/>
        </w:rPr>
        <w:t xml:space="preserve"> </w:t>
      </w:r>
    </w:p>
    <w:p>
      <w:pPr>
        <w:pStyle w:val="TextBody"/>
        <w:bidi w:val="0"/>
        <w:spacing w:lineRule="auto" w:line="288" w:before="0" w:after="0"/>
        <w:jc w:val="center"/>
        <w:rPr>
          <w:color w:val="000000"/>
        </w:rPr>
      </w:pPr>
      <w:r>
        <w:rPr>
          <w:color w:val="000000"/>
        </w:rPr>
        <w:t> </w:t>
      </w:r>
    </w:p>
    <w:tbl>
      <w:tblPr>
        <w:tblW w:w="3134" w:type="dxa"/>
        <w:jc w:val="center"/>
        <w:tblInd w:w="0" w:type="dxa"/>
        <w:tblLayout w:type="fixed"/>
        <w:tblCellMar>
          <w:top w:w="28" w:type="dxa"/>
          <w:left w:w="28" w:type="dxa"/>
          <w:bottom w:w="28" w:type="dxa"/>
          <w:right w:w="28" w:type="dxa"/>
        </w:tblCellMar>
      </w:tblPr>
      <w:tblGrid>
        <w:gridCol w:w="1004"/>
        <w:gridCol w:w="881"/>
        <w:gridCol w:w="1249"/>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NMI Holdings, Inc.</w:t>
            </w:r>
          </w:p>
        </w:tc>
      </w:tr>
      <w:tr>
        <w:trPr/>
        <w:tc>
          <w:tcPr>
            <w:tcW w:w="3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c>
      </w:tr>
    </w:tbl>
    <w:tbl>
      <w:tblPr>
        <w:tblW w:w="7169" w:type="dxa"/>
        <w:jc w:val="center"/>
        <w:tblInd w:w="0" w:type="dxa"/>
        <w:tblLayout w:type="fixed"/>
        <w:tblCellMar>
          <w:top w:w="28" w:type="dxa"/>
          <w:left w:w="28" w:type="dxa"/>
          <w:bottom w:w="28" w:type="dxa"/>
          <w:right w:w="28" w:type="dxa"/>
        </w:tblCellMar>
      </w:tblPr>
      <w:tblGrid>
        <w:gridCol w:w="538"/>
        <w:gridCol w:w="473"/>
        <w:gridCol w:w="473"/>
        <w:gridCol w:w="247"/>
        <w:gridCol w:w="247"/>
        <w:gridCol w:w="247"/>
        <w:gridCol w:w="295"/>
        <w:gridCol w:w="295"/>
        <w:gridCol w:w="296"/>
        <w:gridCol w:w="247"/>
        <w:gridCol w:w="247"/>
        <w:gridCol w:w="247"/>
        <w:gridCol w:w="247"/>
        <w:gridCol w:w="247"/>
        <w:gridCol w:w="247"/>
        <w:gridCol w:w="109"/>
        <w:gridCol w:w="109"/>
        <w:gridCol w:w="109"/>
        <w:gridCol w:w="657"/>
        <w:gridCol w:w="657"/>
        <w:gridCol w:w="935"/>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45-4914248</w:t>
            </w:r>
          </w:p>
        </w:tc>
      </w:tr>
      <w:tr>
        <w:trPr/>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2100 Powell Street</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Emeryville</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94608</w:t>
            </w:r>
          </w:p>
        </w:tc>
      </w:tr>
      <w:tr>
        <w:trPr/>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(855) 530-6642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tbl>
      <w:tblPr>
        <w:tblW w:w="7739" w:type="dxa"/>
        <w:jc w:val="center"/>
        <w:tblInd w:w="0" w:type="dxa"/>
        <w:tblLayout w:type="fixed"/>
        <w:tblCellMar>
          <w:top w:w="28" w:type="dxa"/>
          <w:left w:w="28" w:type="dxa"/>
          <w:bottom w:w="28" w:type="dxa"/>
          <w:right w:w="28" w:type="dxa"/>
        </w:tblCellMar>
      </w:tblPr>
      <w:tblGrid>
        <w:gridCol w:w="1076"/>
        <w:gridCol w:w="947"/>
        <w:gridCol w:w="947"/>
        <w:gridCol w:w="485"/>
        <w:gridCol w:w="485"/>
        <w:gridCol w:w="485"/>
        <w:gridCol w:w="971"/>
        <w:gridCol w:w="971"/>
        <w:gridCol w:w="1372"/>
      </w:tblGrid>
      <w:tr>
        <w:trPr/>
        <w:tc>
          <w:tcPr>
            <w:tcW w:w="10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$.01 par value per share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NMIH</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w:t>
            </w:r>
          </w:p>
        </w:tc>
      </w:tr>
      <w:tr>
        <w:trPr/>
        <w:tc>
          <w:tcPr>
            <w:tcW w:w="7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r>
    </w:tbl>
    <w:p>
      <w:pPr>
        <w:pStyle w:val="TextBody"/>
        <w:bidi w:val="0"/>
        <w:spacing w:lineRule="auto" w:line="288" w:before="0" w:after="60"/>
        <w:jc w:val="both"/>
        <w:rPr/>
      </w:pPr>
      <w:r>
        <w:rPr>
          <w:rFonts w:ascii="Times New Roman;serif" w:hAnsi="Times New Roman;serif"/>
          <w:b w:val="false"/>
          <w:color w:val="000000"/>
          <w:sz w:val="16"/>
        </w:rPr>
        <w:t xml:space="preserve">Indicate by check mark if the registrant is a well-known seasoned issuer, as defined in Rule 405 of the Securities Act.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if the registrant is not required to file reports pursuant to Section 13 or 15(d) of the Act.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is a shell company (as defined in Rule 12b-2 of the Act). </w:t>
      </w:r>
      <w:r>
        <w:rPr>
          <w:rFonts w:ascii="Times New Roman;serif" w:hAnsi="Times New Roman;serif"/>
          <w:b/>
          <w:color w:val="000000"/>
          <w:sz w:val="16"/>
        </w:rPr>
        <w:t xml:space="preserve">Yes </w:t>
      </w:r>
      <w:r>
        <w:rPr>
          <w:color w:val="000000"/>
        </w:rPr>
        <w:t xml:space="preserve">☐ </w:t>
      </w:r>
      <w:r>
        <w:rPr>
          <w:rFonts w:ascii="Times New Roman;serif" w:hAnsi="Times New Roman;serif"/>
          <w:b/>
          <w:color w:val="000000"/>
          <w:sz w:val="16"/>
        </w:rPr>
        <w:t xml:space="preserve">No </w:t>
      </w:r>
      <w:r>
        <w:rPr>
          <w:color w:val="000000"/>
        </w:rPr>
        <w:t>☒ </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the registrant's most recently completed second fiscal quarter, the calculated aggregate market value of common stock held by non-affiliates was $2,710,628,478.</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The number of shares of common stock, $0.01 par value per share, of the registrant outstanding on February 6, 2026 was 76,032,627 shares.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drawing>
          <wp:inline distT="0" distB="0" distL="0" distR="0">
            <wp:extent cx="7772400" cy="10048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10048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852"/>
        <w:gridCol w:w="691"/>
        <w:gridCol w:w="691"/>
        <w:gridCol w:w="2588"/>
        <w:gridCol w:w="2446"/>
        <w:gridCol w:w="2467"/>
        <w:gridCol w:w="136"/>
        <w:gridCol w:w="136"/>
        <w:gridCol w:w="198"/>
      </w:tblGrid>
      <w:tr>
        <w:trPr/>
        <w:tc>
          <w:tcPr>
            <w:tcW w:w="8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Glossary of Abbreviations and Acronyms</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3">
              <w:r>
                <w:rPr>
                  <w:rStyle w:val="InternetLink"/>
                  <w:rFonts w:ascii="Times New Roman;serif" w:hAnsi="Times New Roman;serif"/>
                  <w:b w:val="false"/>
                  <w:color w:val="0000FF"/>
                  <w:sz w:val="20"/>
                  <w:u w:val="single"/>
                </w:rPr>
                <w:t>2</w:t>
              </w:r>
            </w:hyperlink>
          </w:p>
        </w:tc>
      </w:tr>
      <w:tr>
        <w:trPr/>
        <w:tc>
          <w:tcPr>
            <w:tcW w:w="9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6">
              <w:r>
                <w:rPr>
                  <w:rStyle w:val="InternetLink"/>
                  <w:rFonts w:ascii="Times New Roman;serif" w:hAnsi="Times New Roman;serif"/>
                  <w:b w:val="false"/>
                  <w:color w:val="0000FF"/>
                  <w:sz w:val="20"/>
                  <w:u w:val="single"/>
                </w:rPr>
                <w:t>5</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PART I </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9">
              <w:r>
                <w:rPr>
                  <w:rStyle w:val="InternetLink"/>
                  <w:rFonts w:ascii="Times New Roman;serif" w:hAnsi="Times New Roman;serif"/>
                  <w:b w:val="false"/>
                  <w:color w:val="0000FF"/>
                  <w:sz w:val="20"/>
                  <w:u w:val="single"/>
                </w:rPr>
                <w:t>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22">
              <w:r>
                <w:rPr>
                  <w:rStyle w:val="InternetLink"/>
                  <w:rFonts w:ascii="Times New Roman;serif" w:hAnsi="Times New Roman;serif"/>
                  <w:b w:val="false"/>
                  <w:color w:val="0000FF"/>
                  <w:sz w:val="20"/>
                  <w:u w:val="single"/>
                </w:rPr>
                <w:t>Business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2">
              <w:r>
                <w:rPr>
                  <w:rStyle w:val="InternetLink"/>
                  <w:rFonts w:ascii="Times New Roman;serif" w:hAnsi="Times New Roman;serif"/>
                  <w:b w:val="false"/>
                  <w:color w:val="0000FF"/>
                  <w:sz w:val="20"/>
                  <w:u w:val="single"/>
                </w:rPr>
                <w:t>7</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30">
              <w:r>
                <w:rPr>
                  <w:rStyle w:val="InternetLink"/>
                  <w:rFonts w:ascii="Times New Roman;serif" w:hAnsi="Times New Roman;serif"/>
                  <w:b w:val="false"/>
                  <w:color w:val="0000FF"/>
                  <w:sz w:val="20"/>
                  <w:u w:val="single"/>
                </w:rPr>
                <w:t>Risk Factors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30">
              <w:r>
                <w:rPr>
                  <w:rStyle w:val="InternetLink"/>
                  <w:rFonts w:ascii="Times New Roman;serif" w:hAnsi="Times New Roman;serif"/>
                  <w:b w:val="false"/>
                  <w:color w:val="0000FF"/>
                  <w:sz w:val="20"/>
                  <w:u w:val="single"/>
                </w:rPr>
                <w:t>29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33">
              <w:r>
                <w:rPr>
                  <w:rStyle w:val="InternetLink"/>
                  <w:rFonts w:ascii="Times New Roman;serif" w:hAnsi="Times New Roman;serif"/>
                  <w:b w:val="false"/>
                  <w:color w:val="0000FF"/>
                  <w:sz w:val="20"/>
                  <w:u w:val="single"/>
                </w:rPr>
                <w:t>Unresolved Staff Comments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33">
              <w:r>
                <w:rPr>
                  <w:rStyle w:val="InternetLink"/>
                  <w:rFonts w:ascii="Times New Roman;serif" w:hAnsi="Times New Roman;serif"/>
                  <w:b w:val="false"/>
                  <w:color w:val="0000FF"/>
                  <w:sz w:val="20"/>
                  <w:u w:val="single"/>
                </w:rPr>
                <w:t>52</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36">
              <w:r>
                <w:rPr>
                  <w:rStyle w:val="InternetLink"/>
                  <w:rFonts w:ascii="Times New Roman;serif" w:hAnsi="Times New Roman;serif"/>
                  <w:b w:val="false"/>
                  <w:color w:val="0000FF"/>
                  <w:sz w:val="20"/>
                  <w:u w:val="single"/>
                </w:rPr>
                <w:t>Cybersecurity</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36">
              <w:r>
                <w:rPr>
                  <w:rStyle w:val="InternetLink"/>
                  <w:rFonts w:ascii="Times New Roman;serif" w:hAnsi="Times New Roman;serif"/>
                  <w:b w:val="false"/>
                  <w:color w:val="0000FF"/>
                  <w:sz w:val="20"/>
                  <w:u w:val="single"/>
                </w:rPr>
                <w:t>52</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39">
              <w:r>
                <w:rPr>
                  <w:rStyle w:val="InternetLink"/>
                  <w:rFonts w:ascii="Times New Roman;serif" w:hAnsi="Times New Roman;serif"/>
                  <w:b w:val="false"/>
                  <w:color w:val="0000FF"/>
                  <w:sz w:val="20"/>
                  <w:u w:val="single"/>
                </w:rPr>
                <w:t>Properties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39">
              <w:r>
                <w:rPr>
                  <w:rStyle w:val="InternetLink"/>
                  <w:rFonts w:ascii="Times New Roman;serif" w:hAnsi="Times New Roman;serif"/>
                  <w:b w:val="false"/>
                  <w:color w:val="0000FF"/>
                  <w:sz w:val="20"/>
                  <w:u w:val="single"/>
                </w:rPr>
                <w:t>52</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42">
              <w:r>
                <w:rPr>
                  <w:rStyle w:val="InternetLink"/>
                  <w:rFonts w:ascii="Times New Roman;serif" w:hAnsi="Times New Roman;serif"/>
                  <w:b w:val="false"/>
                  <w:color w:val="0000FF"/>
                  <w:sz w:val="20"/>
                  <w:u w:val="single"/>
                </w:rPr>
                <w:t>Legal Proceedings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42">
              <w:r>
                <w:rPr>
                  <w:rStyle w:val="InternetLink"/>
                  <w:rFonts w:ascii="Times New Roman;serif" w:hAnsi="Times New Roman;serif"/>
                  <w:b w:val="false"/>
                  <w:color w:val="0000FF"/>
                  <w:sz w:val="20"/>
                  <w:u w:val="single"/>
                </w:rPr>
                <w:t>53</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45">
              <w:r>
                <w:rPr>
                  <w:rStyle w:val="InternetLink"/>
                  <w:rFonts w:ascii="Times New Roman;serif" w:hAnsi="Times New Roman;serif"/>
                  <w:b w:val="false"/>
                  <w:color w:val="0000FF"/>
                  <w:sz w:val="20"/>
                  <w:u w:val="single"/>
                </w:rPr>
                <w:t>Mine Safety Disclosures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45">
              <w:r>
                <w:rPr>
                  <w:rStyle w:val="InternetLink"/>
                  <w:rFonts w:ascii="Times New Roman;serif" w:hAnsi="Times New Roman;serif"/>
                  <w:b w:val="false"/>
                  <w:color w:val="0000FF"/>
                  <w:sz w:val="20"/>
                  <w:u w:val="single"/>
                </w:rPr>
                <w:t>53</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48">
              <w:r>
                <w:rPr>
                  <w:rStyle w:val="InternetLink"/>
                  <w:rFonts w:ascii="Times New Roman;serif" w:hAnsi="Times New Roman;serif"/>
                  <w:b w:val="false"/>
                  <w:color w:val="0000FF"/>
                  <w:sz w:val="20"/>
                  <w:u w:val="single"/>
                </w:rPr>
                <w:t>54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51">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51">
              <w:r>
                <w:rPr>
                  <w:rStyle w:val="InternetLink"/>
                  <w:rFonts w:ascii="Times New Roman;serif" w:hAnsi="Times New Roman;serif"/>
                  <w:b w:val="false"/>
                  <w:color w:val="0000FF"/>
                  <w:sz w:val="20"/>
                  <w:u w:val="single"/>
                </w:rPr>
                <w:t>54</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54">
              <w:r>
                <w:rPr>
                  <w:rStyle w:val="InternetLink"/>
                  <w:rFonts w:ascii="Times New Roman;serif" w:hAnsi="Times New Roman;serif"/>
                  <w:b w:val="false"/>
                  <w:color w:val="0000FF"/>
                  <w:sz w:val="20"/>
                  <w:u w:val="single"/>
                </w:rPr>
                <w:t>[Reserved]</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54">
              <w:r>
                <w:rPr>
                  <w:rStyle w:val="InternetLink"/>
                  <w:rFonts w:ascii="Times New Roman;serif" w:hAnsi="Times New Roman;serif"/>
                  <w:b w:val="false"/>
                  <w:color w:val="0000FF"/>
                  <w:sz w:val="20"/>
                  <w:u w:val="single"/>
                </w:rPr>
                <w:t>55</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16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160">
              <w:r>
                <w:rPr>
                  <w:rStyle w:val="InternetLink"/>
                  <w:rFonts w:ascii="Times New Roman;serif" w:hAnsi="Times New Roman;serif"/>
                  <w:b w:val="false"/>
                  <w:color w:val="0000FF"/>
                  <w:sz w:val="20"/>
                  <w:u w:val="single"/>
                </w:rPr>
                <w:t>56</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244">
              <w:r>
                <w:rPr>
                  <w:rStyle w:val="InternetLink"/>
                  <w:rFonts w:ascii="Times New Roman;serif" w:hAnsi="Times New Roman;serif"/>
                  <w:b w:val="false"/>
                  <w:color w:val="0000FF"/>
                  <w:sz w:val="20"/>
                  <w:u w:val="single"/>
                </w:rPr>
                <w:t>Quantitative and Qualitative Disclosures About Market Risk</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44">
              <w:r>
                <w:rPr>
                  <w:rStyle w:val="InternetLink"/>
                  <w:rFonts w:ascii="Times New Roman;serif" w:hAnsi="Times New Roman;serif"/>
                  <w:b w:val="false"/>
                  <w:color w:val="0000FF"/>
                  <w:sz w:val="20"/>
                  <w:u w:val="single"/>
                </w:rPr>
                <w:t>79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247">
              <w:r>
                <w:rPr>
                  <w:rStyle w:val="InternetLink"/>
                  <w:rFonts w:ascii="Times New Roman;serif" w:hAnsi="Times New Roman;serif"/>
                  <w:b w:val="false"/>
                  <w:color w:val="0000FF"/>
                  <w:sz w:val="20"/>
                  <w:u w:val="single"/>
                </w:rPr>
                <w:t>Financial Statements and Supplementary Data</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47">
              <w:r>
                <w:rPr>
                  <w:rStyle w:val="InternetLink"/>
                  <w:rFonts w:ascii="Times New Roman;serif" w:hAnsi="Times New Roman;serif"/>
                  <w:b w:val="false"/>
                  <w:color w:val="0000FF"/>
                  <w:sz w:val="20"/>
                  <w:u w:val="single"/>
                </w:rPr>
                <w:t>80</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5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52">
              <w:r>
                <w:rPr>
                  <w:rStyle w:val="InternetLink"/>
                  <w:rFonts w:ascii="Times New Roman;serif" w:hAnsi="Times New Roman;serif"/>
                  <w:b w:val="false"/>
                  <w:color w:val="0000FF"/>
                  <w:sz w:val="20"/>
                  <w:u w:val="single"/>
                </w:rPr>
                <w:t>115</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55">
              <w:r>
                <w:rPr>
                  <w:rStyle w:val="InternetLink"/>
                  <w:rFonts w:ascii="Times New Roman;serif" w:hAnsi="Times New Roman;serif"/>
                  <w:b w:val="false"/>
                  <w:color w:val="0000FF"/>
                  <w:sz w:val="20"/>
                  <w:u w:val="single"/>
                </w:rPr>
                <w:t>Controls and Procedures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55">
              <w:r>
                <w:rPr>
                  <w:rStyle w:val="InternetLink"/>
                  <w:rFonts w:ascii="Times New Roman;serif" w:hAnsi="Times New Roman;serif"/>
                  <w:b w:val="false"/>
                  <w:color w:val="0000FF"/>
                  <w:sz w:val="20"/>
                  <w:u w:val="single"/>
                </w:rPr>
                <w:t>115</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61">
              <w:r>
                <w:rPr>
                  <w:rStyle w:val="InternetLink"/>
                  <w:rFonts w:ascii="Times New Roman;serif" w:hAnsi="Times New Roman;serif"/>
                  <w:b w:val="false"/>
                  <w:color w:val="0000FF"/>
                  <w:sz w:val="20"/>
                  <w:u w:val="single"/>
                </w:rPr>
                <w:t>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61">
              <w:r>
                <w:rPr>
                  <w:rStyle w:val="InternetLink"/>
                  <w:rFonts w:ascii="Times New Roman;serif" w:hAnsi="Times New Roman;serif"/>
                  <w:b w:val="false"/>
                  <w:color w:val="0000FF"/>
                  <w:sz w:val="20"/>
                  <w:u w:val="single"/>
                </w:rPr>
                <w:t>117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64">
              <w:r>
                <w:rPr>
                  <w:rStyle w:val="InternetLink"/>
                  <w:rFonts w:ascii="Times New Roman;serif" w:hAnsi="Times New Roman;serif"/>
                  <w:b w:val="false"/>
                  <w:color w:val="0000FF"/>
                  <w:sz w:val="20"/>
                  <w:u w:val="single"/>
                </w:rPr>
                <w:t>Disclosure Regarding Foreign Jurisdictions that Prevent Inspections.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64">
              <w:r>
                <w:rPr>
                  <w:rStyle w:val="InternetLink"/>
                  <w:rFonts w:ascii="Times New Roman;serif" w:hAnsi="Times New Roman;serif"/>
                  <w:b w:val="false"/>
                  <w:color w:val="0000FF"/>
                  <w:sz w:val="20"/>
                  <w:u w:val="single"/>
                </w:rPr>
                <w:t>117</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67">
              <w:r>
                <w:rPr>
                  <w:rStyle w:val="InternetLink"/>
                  <w:rFonts w:ascii="Times New Roman;serif" w:hAnsi="Times New Roman;serif"/>
                  <w:b w:val="false"/>
                  <w:color w:val="0000FF"/>
                  <w:sz w:val="20"/>
                  <w:u w:val="single"/>
                </w:rPr>
                <w:t>118</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70">
              <w:r>
                <w:rPr>
                  <w:rStyle w:val="InternetLink"/>
                  <w:rFonts w:ascii="Times New Roman;serif" w:hAnsi="Times New Roman;serif"/>
                  <w:b w:val="false"/>
                  <w:color w:val="0000FF"/>
                  <w:sz w:val="20"/>
                  <w:u w:val="single"/>
                </w:rPr>
                <w:t>Directors, Executive Officers and Corporate Governance</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70">
              <w:r>
                <w:rPr>
                  <w:rStyle w:val="InternetLink"/>
                  <w:rFonts w:ascii="Times New Roman;serif" w:hAnsi="Times New Roman;serif"/>
                  <w:b w:val="false"/>
                  <w:color w:val="0000FF"/>
                  <w:sz w:val="20"/>
                  <w:u w:val="single"/>
                </w:rPr>
                <w:t>118</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73">
              <w:r>
                <w:rPr>
                  <w:rStyle w:val="InternetLink"/>
                  <w:rFonts w:ascii="Times New Roman;serif" w:hAnsi="Times New Roman;serif"/>
                  <w:b w:val="false"/>
                  <w:color w:val="0000FF"/>
                  <w:sz w:val="20"/>
                  <w:u w:val="single"/>
                </w:rPr>
                <w:t>Executive Compensation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73">
              <w:r>
                <w:rPr>
                  <w:rStyle w:val="InternetLink"/>
                  <w:rFonts w:ascii="Times New Roman;serif" w:hAnsi="Times New Roman;serif"/>
                  <w:b w:val="false"/>
                  <w:color w:val="0000FF"/>
                  <w:sz w:val="20"/>
                  <w:u w:val="single"/>
                </w:rPr>
                <w:t>118</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7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76">
              <w:r>
                <w:rPr>
                  <w:rStyle w:val="InternetLink"/>
                  <w:rFonts w:ascii="Times New Roman;serif" w:hAnsi="Times New Roman;serif"/>
                  <w:b w:val="false"/>
                  <w:color w:val="0000FF"/>
                  <w:sz w:val="20"/>
                  <w:u w:val="single"/>
                </w:rPr>
                <w:t>118</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79">
              <w:r>
                <w:rPr>
                  <w:rStyle w:val="InternetLink"/>
                  <w:rFonts w:ascii="Times New Roman;serif" w:hAnsi="Times New Roman;serif"/>
                  <w:b w:val="false"/>
                  <w:color w:val="0000FF"/>
                  <w:sz w:val="20"/>
                  <w:u w:val="single"/>
                </w:rPr>
                <w:t>Certain Relationships and Related Transactions, and Director Independence</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79">
              <w:r>
                <w:rPr>
                  <w:rStyle w:val="InternetLink"/>
                  <w:rFonts w:ascii="Times New Roman;serif" w:hAnsi="Times New Roman;serif"/>
                  <w:b w:val="false"/>
                  <w:color w:val="0000FF"/>
                  <w:sz w:val="20"/>
                  <w:u w:val="single"/>
                </w:rPr>
                <w:t>118</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82">
              <w:r>
                <w:rPr>
                  <w:rStyle w:val="InternetLink"/>
                  <w:rFonts w:ascii="Times New Roman;serif" w:hAnsi="Times New Roman;serif"/>
                  <w:b w:val="false"/>
                  <w:color w:val="0000FF"/>
                  <w:sz w:val="20"/>
                  <w:u w:val="single"/>
                </w:rPr>
                <w:t>Principal Accountant Fees and Services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82">
              <w:r>
                <w:rPr>
                  <w:rStyle w:val="InternetLink"/>
                  <w:rFonts w:ascii="Times New Roman;serif" w:hAnsi="Times New Roman;serif"/>
                  <w:b w:val="false"/>
                  <w:color w:val="0000FF"/>
                  <w:sz w:val="20"/>
                  <w:u w:val="single"/>
                </w:rPr>
                <w:t>118</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85">
              <w:r>
                <w:rPr>
                  <w:rStyle w:val="InternetLink"/>
                  <w:rFonts w:ascii="Times New Roman;serif" w:hAnsi="Times New Roman;serif"/>
                  <w:b w:val="false"/>
                  <w:color w:val="0000FF"/>
                  <w:sz w:val="20"/>
                  <w:u w:val="single"/>
                </w:rPr>
                <w:t>119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88">
              <w:r>
                <w:rPr>
                  <w:rStyle w:val="InternetLink"/>
                  <w:rFonts w:ascii="Times New Roman;serif" w:hAnsi="Times New Roman;serif"/>
                  <w:b w:val="false"/>
                  <w:color w:val="0000FF"/>
                  <w:sz w:val="20"/>
                  <w:u w:val="single"/>
                </w:rPr>
                <w:t>Exhibits and Financial Statement Schedules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88">
              <w:r>
                <w:rPr>
                  <w:rStyle w:val="InternetLink"/>
                  <w:rFonts w:ascii="Times New Roman;serif" w:hAnsi="Times New Roman;serif"/>
                  <w:b w:val="false"/>
                  <w:color w:val="0000FF"/>
                  <w:sz w:val="20"/>
                  <w:u w:val="single"/>
                </w:rPr>
                <w:t>119</w:t>
              </w:r>
            </w:hyperlink>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91">
              <w:r>
                <w:rPr>
                  <w:rStyle w:val="InternetLink"/>
                  <w:rFonts w:ascii="Times New Roman;serif" w:hAnsi="Times New Roman;serif"/>
                  <w:b w:val="false"/>
                  <w:color w:val="0000FF"/>
                  <w:sz w:val="20"/>
                  <w:u w:val="single"/>
                </w:rPr>
                <w:t>Form 10-K Summary</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91">
              <w:r>
                <w:rPr>
                  <w:rStyle w:val="InternetLink"/>
                  <w:rFonts w:ascii="Times New Roman;serif" w:hAnsi="Times New Roman;serif"/>
                  <w:b w:val="false"/>
                  <w:color w:val="0000FF"/>
                  <w:sz w:val="20"/>
                  <w:u w:val="single"/>
                </w:rPr>
                <w:t>122</w:t>
              </w:r>
            </w:hyperlink>
          </w:p>
        </w:tc>
      </w:tr>
      <w:tr>
        <w:trPr/>
        <w:tc>
          <w:tcPr>
            <w:tcW w:w="9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94">
              <w:r>
                <w:rPr>
                  <w:rStyle w:val="InternetLink"/>
                  <w:rFonts w:ascii="Times New Roman;serif" w:hAnsi="Times New Roman;serif"/>
                  <w:b/>
                  <w:color w:val="0000FF"/>
                  <w:sz w:val="20"/>
                  <w:u w:val="single"/>
                </w:rPr>
                <w:t>Signatures</w:t>
              </w:r>
            </w:hyperlink>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94">
              <w:r>
                <w:rPr>
                  <w:rStyle w:val="InternetLink"/>
                  <w:rFonts w:ascii="Times New Roman;serif" w:hAnsi="Times New Roman;serif"/>
                  <w:b w:val="false"/>
                  <w:color w:val="0000FF"/>
                  <w:sz w:val="20"/>
                  <w:u w:val="single"/>
                </w:rPr>
                <w:t>123</w:t>
              </w:r>
            </w:hyperlink>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5912e4d3e514221a54044ba2adc2e6d_397">
              <w:r>
                <w:rPr>
                  <w:rStyle w:val="InternetLink"/>
                  <w:rFonts w:ascii="Times New Roman;serif" w:hAnsi="Times New Roman;serif"/>
                  <w:b/>
                  <w:color w:val="0000FF"/>
                  <w:sz w:val="20"/>
                  <w:u w:val="single"/>
                </w:rPr>
                <w:t>Index to Financial Statement Schedules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397">
              <w:r>
                <w:rPr>
                  <w:rStyle w:val="InternetLink"/>
                  <w:rFonts w:ascii="Times New Roman;serif" w:hAnsi="Times New Roman;serif"/>
                  <w:b w:val="false"/>
                  <w:color w:val="0000FF"/>
                  <w:sz w:val="20"/>
                  <w:u w:val="single"/>
                </w:rPr>
                <w:t>124</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Glossary of Abbreviations and Acronyms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list defines various abbreviations and acronyms used throughout this report.</w:t>
      </w:r>
    </w:p>
    <w:tbl>
      <w:tblPr>
        <w:tblW w:w="7259" w:type="dxa"/>
        <w:jc w:val="left"/>
        <w:tblInd w:w="0" w:type="dxa"/>
        <w:tblLayout w:type="fixed"/>
        <w:tblCellMar>
          <w:top w:w="28" w:type="dxa"/>
          <w:left w:w="28" w:type="dxa"/>
          <w:bottom w:w="28" w:type="dxa"/>
          <w:right w:w="28" w:type="dxa"/>
        </w:tblCellMar>
      </w:tblPr>
      <w:tblGrid>
        <w:gridCol w:w="509"/>
        <w:gridCol w:w="451"/>
        <w:gridCol w:w="464"/>
        <w:gridCol w:w="1705"/>
        <w:gridCol w:w="1705"/>
        <w:gridCol w:w="2425"/>
      </w:tblGrid>
      <w:tr>
        <w:trPr/>
        <w:tc>
          <w:tcPr>
            <w:tcW w:w="5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5835"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ARMs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Adjustable-rate mortgages</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Updated</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ATR</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Ability to repay</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BPMI</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Borrower-paid mortgage insurance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CFPD</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Consumer Financial Protection Bureau</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CISO</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information security officer</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COSO Criteria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Committee of Sponsoring Organizations of the Treadway Commission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CRT</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transfer</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DAR</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Delegated assurance review</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DTI</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Debt-to-income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Dodd-Frank Act</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Dodd-Frank Wall Street Reform and Consumer Protection Act of 2010</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Equal Credit Opportunity Act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ERCF</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Enterprise regulatory capital framework</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Fannie Mae </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National Mortgage Association</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FCRA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Fair Credit Reporting Act of 1970</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FDCPA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Fair Debt Collection Practices Act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FEMA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Emergency Management Agency</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Housing Administration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FHFA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Housing Finance Agency</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FICO</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Freddie Mac</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Home Loan Mortgage Corporation</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FTC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Trade Commission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GCC</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Group capital calculation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GLBA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Gramm-Leach-Bliley Act of 1999</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GSAM</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Goldman Sachs Asset Management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GSEs</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Enterprises (Fannie Mae and Freddie Mac)</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HOPA</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Homeowners Protection Act of 1998</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HUD</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Housing and Urban Development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IBNR</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Incurred but not reported</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IIF </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Insurance-in-force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ILN</w:t>
            </w:r>
          </w:p>
        </w:tc>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Insurance-linked notes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Inflation Reduction Act</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9883" w:type="dxa"/>
        <w:jc w:val="left"/>
        <w:tblInd w:w="0" w:type="dxa"/>
        <w:tblLayout w:type="fixed"/>
        <w:tblCellMar>
          <w:top w:w="28" w:type="dxa"/>
          <w:left w:w="28" w:type="dxa"/>
          <w:bottom w:w="28" w:type="dxa"/>
          <w:right w:w="28" w:type="dxa"/>
        </w:tblCellMar>
      </w:tblPr>
      <w:tblGrid>
        <w:gridCol w:w="483"/>
        <w:gridCol w:w="424"/>
        <w:gridCol w:w="442"/>
        <w:gridCol w:w="2496"/>
        <w:gridCol w:w="2496"/>
        <w:gridCol w:w="3542"/>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IRC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revenue code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LTV</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Loan-to-value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LPMI</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Lender-paid mortgage insurance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insurance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NAIC</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Association of Insurance Commissioners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NIST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Institute of Standards and Technology</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insurance written</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Mortgage Insurance Corporation, a subsidiary of NMI Holdings, Inc.</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NMIH</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NMI Holdings, Inc.</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Mortgage Insurance Services, Inc., a subsidiary of NMI Holding, Inc.</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PCAOB</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Company Accounting Oversight Board</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PMIERs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mortgage insurer eligibility requirements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PSPAs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preferred stock purchase agreements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Quality control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QM</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Qualified mortgage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QSR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Quota share reinsurance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Rate card</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fixed schedule of mortgage insurance premium rates applied uniformly across defined loan categories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Rate GPS</w:t>
            </w:r>
            <w:r>
              <w:rPr>
                <w:rFonts w:ascii="Times New Roman;serif" w:hAnsi="Times New Roman;serif"/>
                <w:b w:val="false"/>
                <w:color w:val="000000"/>
                <w:sz w:val="13"/>
              </w:rPr>
              <w: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proprietary risk-based pricing platform</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 One</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Mortgage Reinsurance Inc. One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RESPA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Settlement Procedures Act of 1974</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RIF</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Risk-in-force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RRP</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Rescission relief principles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ROU</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RTC</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Risk-to-capital</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SAFE Act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Secure and Fair Enforcement for Mortgage Licensing Act of 2008 </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SAP </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accounting principles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TCJA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Cuts and Jobs Act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TCS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Tata Consultancy Services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TILA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Truth in Lending Act</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USDA</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Agriculture</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USMI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Mortgage Insurers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USP</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Underwriting service provider</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Department of Veterans Affairs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Wisconsin OCI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Wisconsin Office of the Commissioner of Insurance</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XOL</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Excess-of-loss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bookmarkStart w:id="0" w:name="iea917dd519f341dba6a1666ef78b92cf_7973"/>
      <w:bookmarkEnd w:id="0"/>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remain an eligible mortgage insurer under the private mortgage insurer eligibility requirements (PMIERs) and other requirements imposed by the GSEs, which they may change at any time;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retention of our existing certificates of authority in each state and the District of Columbia (D.C.) and our ability to remain a mortgage insurer in good standing in each state and D.C.;</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future profitability, liquidity and capital resources;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federal tax reform and other potential changes in tax law and their impact on us and our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legislative or regulatory changes to the GSEs' role in the secondary mortgage market or other changes that could affect the residential mortgage industry generally or mortgage insurance industry in particular;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legal and regulatory claims, investigations, actions, audits or inquiries that could result in adverse judgments, settlements, fines or other reliefs that could require significant expenditures or have other negative effects on our business;</w:t>
      </w: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lenders, the GSEs, or other market participants seeking alternatives to private mortgage insurance;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attract and retain a diverse customer base, including the largest mortgage originators;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failure of risk management or pricing or investment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emergence of unexpected claim and coverage issues, including claims exceeding our reserves or amounts we had expected to experience;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adverse impacts arising from natural disasters including, with respect to affected areas, a decline in new business, adverse effects on home prices, and an increase in notices of default on insured mortgages;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climate risk and efforts to manage or regulate climate risk by government agencies could affect our business and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potential adverse impacts arising from the occurrence of any man-made disasters or public health emergencies, including pandemics;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inability of our counter-parties, including third-party reinsurers, to meet their obligations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failure to maintain, improve and continue to develop necessary information technology (IT) systems or the failure of technology providers to perform;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ability to recruit, train and retain key personnel.</w:t>
      </w:r>
    </w:p>
    <w:p>
      <w:pPr>
        <w:pStyle w:val="TextBody"/>
        <w:bidi w:val="0"/>
        <w:spacing w:lineRule="auto" w:line="288" w:before="0" w:after="198"/>
        <w:ind w:left="0" w:right="0" w:firstLine="720"/>
        <w:jc w:val="both"/>
        <w:rPr/>
      </w:pPr>
      <w:r>
        <w:rPr>
          <w:rFonts w:ascii="Times New Roman;serif" w:hAnsi="Times New Roman;serif"/>
          <w:b w:val="false"/>
          <w:color w:val="000000"/>
          <w:sz w:val="20"/>
        </w:rPr>
        <w:t xml:space="preserve">For further information regarding these risks and uncertainties as well as certain additional risks that we face, you should refer to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described in this report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elsewhere in this report, including the exhibits hereto.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“we,” “our,” “us,” “Company” and “NMI” in this document refer to NMI Holdings, Inc., a Delaware corporation, and its wholly-owned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0" w:after="180"/>
        <w:jc w:val="left"/>
        <w:rPr/>
      </w:pPr>
      <w:r>
        <w:rPr>
          <w:rFonts w:ascii="Times New Roman;serif" w:hAnsi="Times New Roman;serif"/>
          <w:b w:val="false"/>
          <w:color w:val="000000"/>
          <w:sz w:val="20"/>
        </w:rPr>
        <w:t>See the “</w:t>
      </w:r>
      <w:r>
        <w:rPr>
          <w:rFonts w:ascii="Times New Roman;serif" w:hAnsi="Times New Roman;serif"/>
          <w:b w:val="false"/>
          <w:i/>
          <w:color w:val="000000"/>
          <w:sz w:val="20"/>
        </w:rPr>
        <w:t>Glossary of Abbreviations and Acronyms</w:t>
      </w:r>
      <w:r>
        <w:rPr>
          <w:color w:val="000000"/>
        </w:rPr>
        <w:t xml:space="preserve">” </w:t>
      </w:r>
      <w:r>
        <w:rPr>
          <w:rFonts w:ascii="Times New Roman;serif" w:hAnsi="Times New Roman;serif"/>
          <w:b w:val="false"/>
          <w:color w:val="000000"/>
          <w:sz w:val="20"/>
        </w:rPr>
        <w:t>for descriptions of terms used through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mortgage insurance (referred to as mortgage insurance or MI) through our wholly-owned insurance subsidiaries, NMIC and Re One. NMIC and Re One are domiciled in Wisconsin and principally regulated by the Wisconsin OCI. NMIC is our primary insurance subsidiary, and is approved as an MI provider by the GSEs and is licensed to write MI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w:t>
      </w:r>
    </w:p>
    <w:p>
      <w:pPr>
        <w:pStyle w:val="TextBody"/>
        <w:bidi w:val="0"/>
        <w:spacing w:lineRule="auto" w:line="288" w:before="0" w:after="180"/>
        <w:ind w:left="0" w:right="0" w:firstLine="720"/>
        <w:jc w:val="both"/>
        <w:rPr/>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2025, we had issued master policies with 2,193 customers, including national and regional mortgage banks, money center banks, credit unions, community banks, builder-owned mortgage lenders, internet-sourced lenders and other non-bank lenders. As of December 31, 2025, we had $221.4 billion of primary IIF and $59.3 billion of primary RIF. For the year ended December 31, 2025, we generated NIW of $48.9 billion. As of December 31, 2025, we had 225 full-time and part-time employees.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borrowers achieve their homeownership goals, ensure that we remain a strong and credible counter-party, deliver a high-quality customer service experience, establish a differentiated risk management approach, utilize our proprietary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pricing platform to dynamically evaluate risk and price our policies, and foster a culture of collaboration and excellence that helps us attract and retain experienced industry leaders.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and financial strength and profitability.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Nasdaq under the symbol “NMIH.”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 of Residential Mortgage Finance and the Role of the Private MI Industry in the Current Operating Environment</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U.S. Residential Mortgage Market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statistics published by the U.S. Federal Reserve, the U.S. residential mortgage market is one of the largest in the world, with approximately $14 trillion of mortgage debt outstanding as of December 31, 2025,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 institutions, credit unions, real estate investment trusts and other financial institutions. Government participants include </w:t>
      </w: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government agencies such as the government MIs (</w:t>
      </w:r>
      <w:r>
        <w:rPr>
          <w:rFonts w:ascii="Times New Roman;serif" w:hAnsi="Times New Roman;serif"/>
          <w:b w:val="false"/>
          <w:i/>
          <w:color w:val="000000"/>
          <w:sz w:val="20"/>
        </w:rPr>
        <w:t>e.g.</w:t>
      </w:r>
      <w:r>
        <w:rPr>
          <w:rFonts w:ascii="Times New Roman;serif" w:hAnsi="Times New Roman;serif"/>
          <w:b w:val="false"/>
          <w:color w:val="000000"/>
          <w:sz w:val="20"/>
        </w:rPr>
        <w:t>, FHA, USDA and VA) and Ginnie Mae, as well as government-sponsored enterprises, such as Fannie Mae and Freddie Mac.</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Times New Roman;serif" w:hAnsi="Times New Roman;serif"/>
          <w:b w:val="false"/>
          <w:i/>
          <w:color w:val="000000"/>
          <w:sz w:val="20"/>
        </w:rPr>
        <w:t>Business - U.S. Mortgage Insurance Regulation - GSE Oversight</w:t>
      </w:r>
      <w:r>
        <w:rPr>
          <w:rFonts w:ascii="Times New Roman;serif" w:hAnsi="Times New Roman;serif"/>
          <w:b w:val="false"/>
          <w:color w:val="000000"/>
          <w:sz w:val="20"/>
        </w:rPr>
        <w:t xml:space="preserve">,” below. </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is approved to insure loans guaranteed by the GSEs and is subject to the PMIERs. As of December 31, 2025, our PMIERs available assets exceeded our risk-based required assets by 70% (the 'PMIERs sufficiency ratio'). See Part II, Item 7, “</w:t>
      </w:r>
      <w:r>
        <w:rPr>
          <w:rFonts w:ascii="Times New Roman;serif" w:hAnsi="Times New Roman;serif"/>
          <w:b w:val="false"/>
          <w:i/>
          <w:color w:val="000000"/>
          <w:sz w:val="20"/>
        </w:rPr>
        <w:t>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Mortgage 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360"/>
        <w:jc w:val="left"/>
        <w:rPr/>
      </w:pPr>
      <w:r>
        <w:rPr>
          <w:rFonts w:ascii="Times New Roman;serif" w:hAnsi="Times New Roman;serif"/>
          <w:b/>
          <w:i/>
          <w:color w:val="000000"/>
          <w:sz w:val="20"/>
        </w:rPr>
        <w:t>Competition</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competition includes other private mortgage insurers, government-run MI programs, and other alternatives designed to eliminate the need for MI, such as piggy-back loans or front-end risk sharing arrangements that do not require private MI on loans sold to the GSEs.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MI industry is highly competitive and currently consists of six approved participants, including us, Arch Capital Group Ltd., Essent Group Ltd. (Essent), Enact Holdings,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other private mortgage insurers also compete with government-run MI programs, including those managed by the FHA, USDA or VA. A range of factors influence a lender or borrower’s decision to choose private MI over government-run MI alternatives, including, among others, GSE demand, policies and loan delivery pricing, mortgage insurance premium rates and other charges, loan eligibility requirements, cancelability, loan size limits and the relative ease of use of private MI products compared to government MI alternatives. Private MI and government-run MI programs are estimated to have accounted for 38% and 62% of total high-LTV loan origination volume in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Primary Mortgage Insurance</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offer primary mortgage insurance, which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Lenders select specific coverage levels for each loan insured on a primary basis. For loans sold to a GSE, the coverage level must comply with the requirements established by that GSE. For other loans, lenders determine their desired coverage levels.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pStyle w:val="TextBody"/>
        <w:bidi w:val="0"/>
        <w:spacing w:lineRule="auto" w:line="288" w:before="0" w:after="180"/>
        <w:ind w:left="0" w:right="0" w:firstLine="720"/>
        <w:jc w:val="both"/>
        <w:rPr/>
      </w:pPr>
      <w:r>
        <w:rPr>
          <w:rFonts w:ascii="Times New Roman;serif" w:hAnsi="Times New Roman;serif"/>
          <w:b w:val="false"/>
          <w:color w:val="000000"/>
          <w:sz w:val="20"/>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Times New Roman;serif" w:hAnsi="Times New Roman;serif"/>
          <w:b w:val="false"/>
          <w:i/>
          <w:color w:val="000000"/>
          <w:sz w:val="20"/>
        </w:rPr>
        <w:t>Business - Defaults and Claims; Loss Mitigation - Defaults and Claims</w:t>
      </w:r>
      <w:r>
        <w:rPr>
          <w:rFonts w:ascii="Times New Roman;serif" w:hAnsi="Times New Roman;serif"/>
          <w:b w:val="false"/>
          <w:color w:val="000000"/>
          <w:sz w:val="20"/>
        </w:rPr>
        <w:t>,” below for a description of our claim settlement processes.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our current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RRPs.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 </w:t>
      </w:r>
    </w:p>
    <w:p>
      <w:pPr>
        <w:pStyle w:val="TextBody"/>
        <w:bidi w:val="0"/>
        <w:spacing w:lineRule="auto" w:line="256" w:before="0" w:after="180"/>
        <w:ind w:left="0" w:right="0" w:firstLine="720"/>
        <w:jc w:val="both"/>
        <w:rPr/>
      </w:pPr>
      <w:r>
        <w:rPr>
          <w:rFonts w:ascii="Times New Roman;serif" w:hAnsi="Times New Roman;serif"/>
          <w:b w:val="false"/>
          <w:color w:val="000000"/>
          <w:sz w:val="20"/>
        </w:rPr>
        <w:t>Upon receipt of an insurable loan, we issue a certificate of insurance that extends coverage for such loan under the applicable Master Policy. See “</w:t>
      </w:r>
      <w:r>
        <w:rPr>
          <w:rFonts w:ascii="Times New Roman;serif" w:hAnsi="Times New Roman;serif"/>
          <w:b w:val="false"/>
          <w:i/>
          <w:color w:val="000000"/>
          <w:sz w:val="20"/>
        </w:rPr>
        <w:t>Business - Underwriting</w:t>
      </w:r>
      <w:r>
        <w:rPr>
          <w:rFonts w:ascii="Times New Roman;serif" w:hAnsi="Times New Roman;serif"/>
          <w:b w:val="false"/>
          <w:color w:val="000000"/>
          <w:sz w:val="20"/>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BPMI and those with premium payments made by the lender are referred to as LPMI. Lenders may structure loans to recover LPMI premiums from borrowers, including through increases in mortgage note rates or higher origination fees.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DTI and credit score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 </w:t>
      </w:r>
    </w:p>
    <w:p>
      <w:pPr>
        <w:pStyle w:val="TextBody"/>
        <w:bidi w:val="0"/>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premiums are calculated as a percentage of the original principal balance of an insured loan. We have four premium plans: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single — entire premium is paid upfront at the time the coverage is placed;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 — premiums are paid in advance for a subsequent twelve-month period over the life of a policy;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monthly — premiums are paid in advance on a monthly basis over the life of the policy;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Monthly Advantage</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premiums are billed upon our receipt of notice of a mortgage close and then paid in arrears on a monthly basis over the life of the policy.</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general, we may not terminate MI coverage except when an insured fails to pay premiums as due or for certain material violations of our Master Policies; although, as discussed below in “</w:t>
      </w:r>
      <w:r>
        <w:rPr>
          <w:rFonts w:ascii="Times New Roman;serif" w:hAnsi="Times New Roman;serif"/>
          <w:b w:val="false"/>
          <w:i/>
          <w:color w:val="000000"/>
          <w:sz w:val="20"/>
        </w:rPr>
        <w:t xml:space="preserve">Business </w:t>
      </w:r>
      <w:r>
        <w:rPr>
          <w:rFonts w:ascii="Times New Roman;serif" w:hAnsi="Times New Roman;serif"/>
          <w:b w:val="false"/>
          <w:color w:val="000000"/>
          <w:sz w:val="20"/>
        </w:rPr>
        <w:t xml:space="preserve">- </w:t>
      </w:r>
      <w:r>
        <w:rPr>
          <w:rFonts w:ascii="Times New Roman;serif" w:hAnsi="Times New Roman;serif"/>
          <w:b w:val="false"/>
          <w:i/>
          <w:color w:val="000000"/>
          <w:sz w:val="20"/>
        </w:rPr>
        <w:t>Underwriting - Independent Validation and Rescission Relief</w:t>
      </w:r>
      <w:r>
        <w:rPr>
          <w:rFonts w:ascii="Times New Roman;serif" w:hAnsi="Times New Roman;serif"/>
          <w:b w:val="false"/>
          <w:color w:val="000000"/>
          <w:sz w:val="20"/>
        </w:rPr>
        <w:t>,” the terms of our Master Policies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Loan Review Services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We offer outsourced loan review services to mortgage originators through NMIS.</w:t>
      </w:r>
      <w:r>
        <w:rPr>
          <w:color w:val="000000"/>
        </w:rPr>
        <w:t xml:space="preserve"> </w:t>
      </w:r>
      <w:r>
        <w:rPr>
          <w:rFonts w:ascii="Times New Roman;serif" w:hAnsi="Times New Roman;serif"/>
          <w:b w:val="false"/>
          <w:color w:val="000000"/>
          <w:sz w:val="20"/>
          <w:shd w:fill="FFFFFF" w:val="clear"/>
        </w:rPr>
        <w:t xml:space="preserve">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w:t>
      </w:r>
      <w:r>
        <w:rPr>
          <w:rFonts w:ascii="Times New Roman;serif" w:hAnsi="Times New Roman;serif"/>
          <w:b w:val="false"/>
          <w:color w:val="000000"/>
          <w:sz w:val="20"/>
        </w:rPr>
        <w:t>reviews</w:t>
      </w:r>
      <w:r>
        <w:rPr>
          <w:rFonts w:ascii="Times New Roman;serif" w:hAnsi="Times New Roman;serif"/>
          <w:b w:val="false"/>
          <w:color w:val="000000"/>
          <w:sz w:val="20"/>
          <w:shd w:fill="FFFFFF" w:val="clear"/>
        </w:rPr>
        <w:t xml:space="preserve">. NMIS third parties have represented and warranted to NMIS that they comply with the requirements of the SAFE Act in all applicable jurisdictions. </w:t>
      </w:r>
      <w:r>
        <w:rPr>
          <w:rFonts w:ascii="Times New Roman;serif" w:hAnsi="Times New Roman;serif"/>
          <w:b w:val="false"/>
          <w:color w:val="000000"/>
          <w:sz w:val="20"/>
        </w:rPr>
        <w:t>See “</w:t>
      </w:r>
      <w:r>
        <w:rPr>
          <w:rFonts w:ascii="Times New Roman;serif" w:hAnsi="Times New Roman;serif"/>
          <w:b w:val="false"/>
          <w:i/>
          <w:color w:val="000000"/>
          <w:sz w:val="20"/>
        </w:rPr>
        <w:t>Business - U.S. Mortgage Insurance Regulation - Other U.S. Regulation - SAFE Act</w:t>
      </w:r>
      <w:r>
        <w:rPr>
          <w:rFonts w:ascii="Times New Roman;serif" w:hAnsi="Times New Roman;serif"/>
          <w:b w:val="false"/>
          <w:color w:val="000000"/>
          <w:sz w:val="20"/>
        </w:rPr>
        <w:t xml:space="preserve">,”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Customers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sought to establish customer relationships with a broad group of mortgage lenders. As of December 31, 2025, we had issued Master Policies with 2,193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GSEs, as major purchasers of conventional mortgage loans in the U.S., are the primary beneficiaries of our mortgage insurance coverage. Revenues from our customers have been generated in the U.S. only.</w:t>
      </w:r>
    </w:p>
    <w:p>
      <w:pPr>
        <w:pStyle w:val="TextBody"/>
        <w:bidi w:val="0"/>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Customers exceeding 10% of consolidated 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individual customer accounted for greater than 10% of our consolidated revenues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Underwriting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loans and issue policies through two underwriting platforms: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Non-Delegated</w:t>
      </w:r>
      <w:r>
        <w:rPr>
          <w:rFonts w:ascii="Times New Roman;serif" w:hAnsi="Times New Roman;serif"/>
          <w:b w:val="false"/>
          <w:color w:val="000000"/>
          <w:sz w:val="20"/>
        </w:rPr>
        <w:t xml:space="preserve">: Customers submit loan information and documentation to us so that we may individually underwrite each application to reach a decision as to whether we will insure a loan. On receipt of a non-delegated submission, we review the information, documentation and data provided by the lender to underwrite the MI application.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Delegated</w:t>
      </w:r>
      <w:r>
        <w:rPr>
          <w:rFonts w:ascii="Times New Roman;serif" w:hAnsi="Times New Roman;serif"/>
          <w:b w:val="false"/>
          <w:color w:val="000000"/>
          <w:sz w:val="20"/>
        </w:rPr>
        <w:t>: We provide eligible customers who have been vetted and approved, and comply with a defined set of delegated underwriting program requirements with the ability to directly underwrite our policies and bind our coverage based on pre-established eligibility rules, approved underwriting guidelines and according to the terms of our Master Policy.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employ a team of experienced underwriters who review and evaluate our non-delegated loan submissions. Our underwriters are located remotely, providing us the ability to efficiently service our customers nationwide across different time zones. We also engage third-party USPs who provide us with incremental underwriting capacity. We train and require our USPs to follow the same processes and underwriting guidelines that our own employees follow when rendering insurance decisions.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w:t>
      </w:r>
    </w:p>
    <w:p>
      <w:pPr>
        <w:pStyle w:val="TextBody"/>
        <w:bidi w:val="0"/>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has been subject to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Fluctuations in refinancing volume (driven by changes in prevailing mortgage rates) may serve to mute or magnify the seasonal effect of home purchase patterns on mortgage insurance NIW.</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Independent Validation and Rescission Relief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offer post-close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2018, the GSEs issued revised RRPs that outline the rescission relief provisions that are generally required to be included in the master policies of GSE-approved mortgage insurers. Under our 2020 Master Policy, which incorporates the revised RRPs, a loan may be eligible for early rescission relief following our satisfactory completion of an independent validation, with no set requirement for a minimum number of timely mortgage payments by the borrower.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Insured loans that do not qualify for early rescission relief may still achieve rescission relief based on a borrower's payment history at the 36th or 60th month, provided that certain conditions outlined in the 2020 Master Policy are satisfied. Under the 2020 Master Policy, if a lender has elected not to pursue independent validation and early rescission relief, a policy is still eligible for rescission relief if the insured loan is current at the 36-month anniversary of the inception of coverage and the borrower has had no more than two 30-day delinquencies and no 60-day or greater delinquencies during such 36-month period. The 2020 Master Policy further provides for rescission relief on or after the 60-month anniversary of the inception of coverage, provided such loan is then current and all payments due on the loan have been made with a borrower's own funds.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post-close that allows us to independently validate such loans, including a loan's closing disclosures, note, executed mortgage, borrower authorization form and title insurance commitment. Our 2020 Master Policy provides for a “closing document exception,” which permits eligible non-delegated lenders to obtain early rescission relief without post-close independent validations of qualifying loans, if the borrower makes the first 12 mortgage payments from their own funds in a timely manner.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post-close documentation) after a loan's coverage effective date. We refer to our independent validation of delegated loans as our “DAR” process. Through DAR, we assess and validate the MI underwriting process and decisions made by our delegated customers on an individual loan level basis. Loans from delegated lenders who do not pursue or submit the documentation necessary for us to complete our DAR process remain eligible for 36- or 60-month rescission relief in accordance with the terms of the applicable Master Policy. </w:t>
      </w:r>
    </w:p>
    <w:p>
      <w:pPr>
        <w:pStyle w:val="TextBody"/>
        <w:bidi w:val="0"/>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loans, whether included in our post-close validation processes or not, are eligible for review under our QC process, and such QC reviews qualify as independent validations for such loans, making them eligible for early rescission relief.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engage USPs to perform the majority of our delegated independent validation work and periodically assist with our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Policy Pricing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utilize a proprietary risk-based pricing platform, which we refer to as Rate GPS</w:t>
      </w:r>
      <w:r>
        <w:rPr>
          <w:rFonts w:ascii="sans-serif" w:hAnsi="sans-serif"/>
          <w:b w:val="false"/>
          <w:color w:val="000000"/>
          <w:sz w:val="22"/>
        </w:rPr>
        <w:t>®</w:t>
      </w:r>
      <w:r>
        <w:rPr>
          <w:rFonts w:ascii="Times New Roman;serif" w:hAnsi="Times New Roman;serif"/>
          <w:b w:val="false"/>
          <w:color w:val="000000"/>
          <w:sz w:val="20"/>
        </w:rPr>
        <w:t>, to establish individualized premium rates for most new loans that we insure based on our modeled view of the relative risk and anticipated performance of each loan.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Our pricing approach targets through-the-cycle returns that exceed our cost of capital. We believe that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it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maintain documented model governance and fair-lending controls over Rate GPS</w:t>
      </w:r>
      <w:r>
        <w:rPr>
          <w:rFonts w:ascii="Times New Roman;serif" w:hAnsi="Times New Roman;serif"/>
          <w:b w:val="false"/>
          <w:color w:val="000000"/>
          <w:sz w:val="13"/>
        </w:rPr>
        <w:t>®</w:t>
      </w:r>
      <w:r>
        <w:rPr>
          <w:rFonts w:ascii="Times New Roman;serif" w:hAnsi="Times New Roman;serif"/>
          <w:b w:val="false"/>
          <w:color w:val="000000"/>
          <w:sz w:val="20"/>
        </w:rPr>
        <w:t>, including periodic validation and outcome monitoring, to help ensure consistent, risk-appropriate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Policy Servicing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Policy Servicing Department is responsible for various servicing activities related to our Master Policies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ICE Mortgage Technology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Defaults and Claims; Loss Mitigation</w:t>
      </w:r>
    </w:p>
    <w:p>
      <w:pPr>
        <w:pStyle w:val="TextBody"/>
        <w:bidi w:val="0"/>
        <w:spacing w:lineRule="auto" w:line="288" w:before="0" w:after="180"/>
        <w:ind w:left="0" w:right="0" w:firstLine="360"/>
        <w:jc w:val="both"/>
        <w:rPr/>
      </w:pPr>
      <w:r>
        <w:rPr>
          <w:rFonts w:ascii="Times New Roman;serif" w:hAnsi="Times New Roman;serif"/>
          <w:b/>
          <w:i/>
          <w:color w:val="000000"/>
          <w:sz w:val="20"/>
        </w:rPr>
        <w:t>Defaults and Claims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 claim cycle begins with the receipt of a default notice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w:t>
      </w:r>
    </w:p>
    <w:p>
      <w:pPr>
        <w:pStyle w:val="TextBody"/>
        <w:bidi w:val="0"/>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our Master Policies, our insureds are generally required to file claims within 60 days of the transfer of the title to a property securing an insured loan (typically through foreclosure).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(iii) the loss an insured is reasonably expected to experience upon a future sale of the property to a third party, or (iv) the insured's claim amount (as calculated in the applicable Master Policy) in exchange for the insured's conveyance of good and marketable title to the property to us. If we elect to receive title to a property, we will market and sell the acquired property and retain all proceeds.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Loss Mitigation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Reinsurance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Third-Party Reinsurance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third-party reinsurance to actively manage our risk, ensure compliance with PMIERs, state regulatory and other applicable capital requirements, and support the growth of our business. We currently have both quota share and excess of loss reinsurance agreements in place. </w:t>
      </w:r>
    </w:p>
    <w:p>
      <w:pPr>
        <w:pStyle w:val="TextBody"/>
        <w:bidi w:val="0"/>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2016, we have entered into the following types of reinsurance transactions which provide risk protection on both a retrospective and prospective basis: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QSR arrangements in which third-party reinsurers agree to prospectively reinsure a portion of the risk on mortgage insurance policies that we write;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XOL reinsurance arrangements with third-party reinsurers on mortgage insurance policies that we have already issued;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fully collateralized ILN coverage on mortgage insurance policies that we have already issued with special purpose insurers funding such reinsurance obligations through the issuance of insurance-linked notes.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reinsurance programs offer us a number of benefits,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hedging against adverse losses in times of stress and mitigation of portfolio risk and volatility through the housing and economic cycle;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providing capital relief under the various state insurance risk to capital framework, rating agency capital requirements and GSE PMIERs available asset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providing a diversified source of capital to support and grow our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enhancing our counterparty strength and improving the sustainability of our franchise.</w:t>
      </w:r>
    </w:p>
    <w:p>
      <w:pPr>
        <w:pStyle w:val="TextBody"/>
        <w:bidi w:val="0"/>
        <w:spacing w:lineRule="auto" w:line="288" w:before="0" w:after="180"/>
        <w:ind w:left="0" w:right="0" w:firstLine="720"/>
        <w:jc w:val="left"/>
        <w:rPr/>
      </w:pPr>
      <w:r>
        <w:rPr>
          <w:rFonts w:ascii="Times New Roman;serif" w:hAnsi="Times New Roman;serif"/>
          <w:b w:val="false"/>
          <w:color w:val="000000"/>
          <w:sz w:val="20"/>
        </w:rPr>
        <w:t>For further information, see Part II, Item 8, “</w:t>
      </w:r>
      <w:r>
        <w:rPr>
          <w:rFonts w:ascii="Times New Roman;serif" w:hAnsi="Times New Roman;serif"/>
          <w:b w:val="false"/>
          <w:i/>
          <w:color w:val="000000"/>
          <w:sz w:val="20"/>
        </w:rPr>
        <w:t>Financial Statements and Supplementary Data - Notes to Consolidated Financial Statements - Note 6, Reinsurance.</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Enterprise Risk Management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established enterprise wide policies, procedures and processes to allow us to identify, assess, monitor and manage credit market and operational risks in our business, as well as other risks discussed below in Item 1A, “</w:t>
      </w:r>
      <w:r>
        <w:rPr>
          <w:rFonts w:ascii="Times New Roman;serif" w:hAnsi="Times New Roman;serif"/>
          <w:b w:val="false"/>
          <w:i/>
          <w:color w:val="000000"/>
          <w:sz w:val="20"/>
        </w:rPr>
        <w:t>Risk Factors</w:t>
      </w:r>
      <w:r>
        <w:rPr>
          <w:rFonts w:ascii="Times New Roman;serif" w:hAnsi="Times New Roman;serif"/>
          <w:b w:val="false"/>
          <w:color w:val="000000"/>
          <w:sz w:val="20"/>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Credit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implemented a complementary range of strategies to actively monitor and manage the credit performance of our insured portfolio,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pStyle w:val="TextBody"/>
        <w:bidi w:val="0"/>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individually underwriting the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developing and deploying Rate GPS</w:t>
      </w:r>
      <w:r>
        <w:rPr>
          <w:rFonts w:ascii="sans-serif" w:hAnsi="sans-serif"/>
          <w:b w:val="false"/>
          <w:color w:val="000000"/>
          <w:sz w:val="22"/>
        </w:rPr>
        <w:t>®</w:t>
      </w:r>
      <w:r>
        <w:rPr>
          <w:rFonts w:ascii="Times New Roman;serif" w:hAnsi="Times New Roman;serif"/>
          <w:b w:val="false"/>
          <w:color w:val="000000"/>
          <w:sz w:val="20"/>
        </w:rPr>
        <w:t>, our proprietary risk-based pricing platform, to dynamically consider a granular set of risk attributes in our policy pricing process and assign individualized premium rates based on the relative risk and anticipated performance of each loan we insure;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further utilizing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to actively manage the flow of business into our portfolio and target loans with higher-quality risk characteristics that typically experience lower volatility and loss across market cycles;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securing reinsurance coverage under quota share and excess-of-loss transactions that are structured to absorb losses in periods of economic and/or housing market stress and, in doing so, mitigate the impact of credit volatility on our financial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Operational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Technology Systems and Intellectual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initial development of AXIS, we have continued to upgrade and enhance our systems and technical capabilities,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deploying technology that enables our customers to transact business faster and easier, whether via a secure internet connection or through a secure system-to-system interface;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integrating our platform with third-party technology providers used by our customers in their loan origination process to price and order our MI and in their servicing processes for servicing and maintaining their MI policies;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implementing advanced document and business process management software that focuses on improving our underwriting productivity and that may also be used to improve our quality assurance and loss management functions;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launching our award-winning mobile applications, which enable customers to view and access information through mobile devices, including our premium rate calculators, guideline updates and other resources and information notices;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designing, developing and deploying Rate GPS</w:t>
      </w:r>
      <w:r>
        <w:rPr>
          <w:rFonts w:ascii="sans-serif" w:hAnsi="sans-serif"/>
          <w:b w:val="false"/>
          <w:color w:val="000000"/>
          <w:sz w:val="22"/>
        </w:rPr>
        <w:t>®</w:t>
      </w:r>
      <w:r>
        <w:rPr>
          <w:rFonts w:ascii="Times New Roman;serif" w:hAnsi="Times New Roman;serif"/>
          <w:b w:val="false"/>
          <w:color w:val="000000"/>
          <w:sz w:val="20"/>
        </w:rPr>
        <w:t>, our risk-based pricing platform, which allows us to dynamically consider a granular set of risk attributes in our policy pricing process and assign individualized rates based on the relative risk and anticipated performance of each loan we insure.</w:t>
      </w:r>
    </w:p>
    <w:p>
      <w:pPr>
        <w:pStyle w:val="TextBody"/>
        <w:bidi w:val="0"/>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and develop technology that enhances our current operating capabilities and supports future growth, while allowing us to realize current efficiencies. Effective April 1, 2025, we renewed and extended our existing seven-year IT service agreement with TCS, dated March 31, 2020, through March 31, 2032. Under the agreement, TCS provides IT services across such functions as application development and support, infrastructure support, and information security. Our engagement with TCS has enhanced our ability to provide innovative IT solutions for our internal and external constituents and has allowed us to realize cost efficiencies by leveraging TCS’s global platform.</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describe our cybersecurity risk management program and governance, including third-party risk oversight related to this platform, in Item 1C, “</w:t>
      </w:r>
      <w:r>
        <w:rPr>
          <w:rFonts w:ascii="Times New Roman;serif" w:hAnsi="Times New Roman;serif"/>
          <w:b w:val="false"/>
          <w:i/>
          <w:color w:val="000000"/>
          <w:sz w:val="20"/>
        </w:rPr>
        <w:t>Cybersecurity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2025, our investment portfolio was comprised of investment grade fixed maturity securities, including U.S. Treasury securities and obligations of U.S. government agencies, municipal debt securities, corporate debt securities, U.S. agency mortgage-backed securities, and asset-backed securities. We also hold short-term investments, such as U.S. Treasury Bills and commercial paper.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 and strategies are subject to change depending upon regulatory, economic and market conditions, and our existing or anticipated financial condition and operating requirements.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engage a third-party investment manager to assist with implementation of our investment policy and day-to-day management of our portfolio.</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225 full-time and part-time employees, and engaged third-party vendors to provide additional IT, underwriting and other support services.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prioritize our employees with the goal of attracting, retaining and developing a high-quality talent base and aim to foster a high-performing, employee-driven and collaborative work environment that emphasizes both organizational and personal success. We offer competitive salaries and a comprehensive benefits package that includes annual cash bonuses and equity grants, life, health and supplemental insurance coverage, paid time off, paid caregiver leave, emergency backup child and elder care, a 401(k) Savings Plan with employer matching contributions, and programs to support employee mental, physical and financial well-being. We grant equity to every one of our employees annually and offer mortgage assistance to support our employees who are first-time homebuyers. We encourage our employees to continue their educational and professional development, and support those who do with tuition reimbursement and student loan payback programs, as well as ongoing firm-wide training initiatives and access to third-party course materials.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value collaboration as a company and believe that different perspectives promote innovation and are crucial to the long-term success of our business. As of December 31, 2025, 71% of our employee population identified as members of a diverse group, including 54% as women and 35% as racial/ethnic minorities. We recognize the valuable contributions of key leaders across our organization and engage in regular succession planning efforts in collaboration with our Board to ensure business continuity and provide ongoing employee development opportunities. In 2025, we continued to focus on our talented, innovative and dedicated people, investing in our culture with a focus on collaboration, performance and employee education.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2025, we were recognized as a Great Place to 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for the tenth consecutive year. Great Place to Work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a global authority on workplace culture, employee experience and leadership, and partners with FORTUNE magazine to produce the annual FORTUNE “100 Best Companies to Work For” list.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principal office is located at 2100 Powell Street, 12th floor, Emeryville, CA 94608. Our main telephone number is (855) 530 - NMIC (6642), and our website address is </w:t>
      </w:r>
      <w:r>
        <w:rPr>
          <w:rFonts w:ascii="Times New Roman;serif" w:hAnsi="Times New Roman;serif"/>
          <w:b w:val="false"/>
          <w:i/>
          <w:color w:val="000000"/>
          <w:sz w:val="20"/>
        </w:rPr>
        <w:t>www.nationalmi.com</w:t>
      </w:r>
      <w:r>
        <w:rPr>
          <w:rFonts w:ascii="Times New Roman;serif" w:hAnsi="Times New Roman;serif"/>
          <w:b w:val="false"/>
          <w:color w:val="000000"/>
          <w:sz w:val="20"/>
        </w:rPr>
        <w:t>.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 and can be viewed at sec.gov. In addition, a written copy of the Company's Business Conduct and Ethics Policy, containing our code of ethics that is applicable to all of our directors, officers, employees and third-party vendor contractors, is available on our website. Information contained or referenced on our website is not incorporated by reference into, and does not form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U.S. MORTGAGE INSURANCE REGULATION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a strong, viable private MI market is a critical component of the U.S. housing finance system. We routinely meet with regulatory agencies, including our state insurance regulators and the FHFA, the GSEs, our customers and other industry participants to promote the role and value of private MI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USMI</w:t>
      </w:r>
      <w:r>
        <w:rPr>
          <w:rFonts w:ascii="Times New Roman;serif" w:hAnsi="Times New Roman;serif"/>
          <w:b w:val="false"/>
          <w:color w:val="000000"/>
          <w:sz w:val="13"/>
        </w:rPr>
        <w:t>®</w:t>
      </w:r>
      <w:r>
        <w:rPr>
          <w:rFonts w:ascii="Times New Roman;serif" w:hAnsi="Times New Roman;serif"/>
          <w:b w:val="false"/>
          <w:color w:val="000000"/>
          <w:sz w:val="20"/>
        </w:rPr>
        <w:t>, an organization formed to promote the use of private MI as a credit risk mitigant in the U.S. residential mortgage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GSE Oversight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GSEs are the principal purchasers of mortgages insured by private mortgage insurers. As a result, the nature of the private MI industry in the U.S. is driven in large part by the requirements and practices of the GSEs, which include, among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PMIERs, including operational, business and remedial requirements and minimum capital levels applicable to GSE-qualified MI providers;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terms that the GSEs require to be included in MI policies for loans that they purchase, including terms governing rescission relief;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underwriting standards and loan amount limits that determine what loans are eligible for purchase by the GSEs, which affect the quality of the risk insured by the mortgage insurer and the availability of mortgage loans;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level of MI coverage, subject to the requirements of the GSEs' charters, when MI is used as the required credit enhancement on high-LTV mortgages;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circumstances in which MI coverage can be canceled before reaching the cancellation thresholds established by law, including under the HOPA;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use of data provided by the GSE and the consequences for any unintended disclosure of such information;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loss mitigation programs established by the GSEs that impact insured mortgages and the circumstances under which servicers must implement such programs;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and scope of different loan purchase programs, including first time home buyer and affordable lending initiatives, from the GSEs that allow different levels of MI coverage.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January 2013, the GSEs approved NMIC as a qualified mortgage insurer (as defined in the PMIERs, an </w:t>
      </w:r>
      <w:r>
        <w:rPr>
          <w:rFonts w:ascii="Times New Roman;serif" w:hAnsi="Times New Roman;serif"/>
          <w:b w:val="false"/>
          <w:i/>
          <w:color w:val="000000"/>
          <w:sz w:val="20"/>
        </w:rPr>
        <w:t>approved insurer</w:t>
      </w:r>
      <w:r>
        <w:rPr>
          <w:rFonts w:ascii="Times New Roman;serif" w:hAnsi="Times New Roman;serif"/>
          <w:b w:val="false"/>
          <w:color w:val="000000"/>
          <w:sz w:val="20"/>
        </w:rPr>
        <w:t>).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 xml:space="preserve">terms have the same meaning that such terms have in the PMIERs.) As an </w:t>
      </w:r>
      <w:r>
        <w:rPr>
          <w:rFonts w:ascii="Times New Roman;serif" w:hAnsi="Times New Roman;serif"/>
          <w:b w:val="false"/>
          <w:i/>
          <w:color w:val="000000"/>
          <w:sz w:val="20"/>
        </w:rPr>
        <w:t>approved insurer</w:t>
      </w:r>
      <w:r>
        <w:rPr>
          <w:rFonts w:ascii="Times New Roman;serif" w:hAnsi="Times New Roman;serif"/>
          <w:b w:val="false"/>
          <w:color w:val="000000"/>
          <w:sz w:val="20"/>
        </w:rPr>
        <w:t xml:space="preserve">, NMIC is subject to ongoing compliance with the PMIERs. The PMIERs establish operational, business, remedial and financial requirements applicable to </w:t>
      </w:r>
      <w:r>
        <w:rPr>
          <w:rFonts w:ascii="Times New Roman;serif" w:hAnsi="Times New Roman;serif"/>
          <w:b w:val="false"/>
          <w:i/>
          <w:color w:val="000000"/>
          <w:sz w:val="20"/>
        </w:rPr>
        <w:t>approved insurers</w:t>
      </w:r>
      <w:r>
        <w:rPr>
          <w:rFonts w:ascii="Times New Roman;serif" w:hAnsi="Times New Roman;serif"/>
          <w:b w:val="false"/>
          <w:color w:val="000000"/>
          <w:sz w:val="20"/>
        </w:rPr>
        <w:t xml:space="preserve">, and are updated from time to time by the GSEs. The GSEs have significant discretion under the PMIERs as well as a broad range of consent rights and notice requirements with respect to various actions of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The PMIERs financial requirements prescribe a risk-based methodology whereby the amount of assets required to be held against each insured loan is determined based on certain risk characteristics, such as credit score, vintage (year of origination), performing vs. non-performing (</w:t>
      </w:r>
      <w:r>
        <w:rPr>
          <w:rFonts w:ascii="Times New Roman;serif" w:hAnsi="Times New Roman;serif"/>
          <w:b w:val="false"/>
          <w:i/>
          <w:color w:val="000000"/>
          <w:sz w:val="20"/>
        </w:rPr>
        <w:t>i.e.</w:t>
      </w:r>
      <w:r>
        <w:rPr>
          <w:rFonts w:ascii="Times New Roman;serif" w:hAnsi="Times New Roman;serif"/>
          <w:b w:val="false"/>
          <w:color w:val="000000"/>
          <w:sz w:val="20"/>
        </w:rPr>
        <w:t>, current vs. delinquent), LTV and other risk features. An asset charge is calculated for each insured loan based on its risk profile. In general, higher-quality loans carry lower charges.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PMIERs,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 xml:space="preserve">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equal or exceed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t>
      </w:r>
    </w:p>
    <w:p>
      <w:pPr>
        <w:pStyle w:val="TextBody"/>
        <w:bidi w:val="0"/>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 xml:space="preserve">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is a function of the risk profile of an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 xml:space="preserve">RIF, assessed on a loan-by-loan basis and considered against certain risk-based factors derived from tables set out in the PMIERs to gross </w:t>
      </w:r>
      <w:r>
        <w:rPr>
          <w:rFonts w:ascii="Times New Roman;serif" w:hAnsi="Times New Roman;serif"/>
          <w:b w:val="false"/>
          <w:color w:val="000000"/>
          <w:sz w:val="22"/>
        </w:rPr>
        <w:t xml:space="preserve">RIF, </w:t>
      </w:r>
      <w:r>
        <w:rPr>
          <w:rFonts w:ascii="Times New Roman;serif" w:hAnsi="Times New Roman;serif"/>
          <w:b w:val="false"/>
          <w:color w:val="000000"/>
          <w:sz w:val="20"/>
        </w:rPr>
        <w:t xml:space="preserve">which is then adjusted on an aggregate basis for reinsurance transactions approved by the GSEs, such as with respect to our QSR Transactions, XOL Transactions and ILN Transactions.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 xml:space="preserve">, and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for pool insurance considers both factors in the PMIERs tables and the</w:t>
      </w:r>
      <w:r>
        <w:rPr>
          <w:color w:val="000000"/>
        </w:rPr>
        <w:t xml:space="preserve"> </w:t>
      </w:r>
      <w:r>
        <w:rPr>
          <w:rFonts w:ascii="Times New Roman;serif" w:hAnsi="Times New Roman;serif"/>
          <w:b w:val="false"/>
          <w:i/>
          <w:color w:val="000000"/>
          <w:sz w:val="20"/>
        </w:rPr>
        <w:t>net remaining stop loss</w:t>
      </w:r>
      <w:r>
        <w:rPr>
          <w:color w:val="000000"/>
        </w:rPr>
        <w:t xml:space="preserve"> </w:t>
      </w:r>
      <w:r>
        <w:rPr>
          <w:rFonts w:ascii="Times New Roman;serif" w:hAnsi="Times New Roman;serif"/>
          <w:b w:val="false"/>
          <w:color w:val="000000"/>
          <w:sz w:val="20"/>
        </w:rPr>
        <w:t xml:space="preserve">for each pool insurance policy. The PMIERs include a comprehensive reinsurance counter-party grading framework, which includes a modest haircut (based on the credit rating of the </w:t>
      </w:r>
      <w:r>
        <w:rPr>
          <w:rFonts w:ascii="Times New Roman;serif" w:hAnsi="Times New Roman;serif"/>
          <w:b w:val="false"/>
          <w:i/>
          <w:color w:val="000000"/>
          <w:sz w:val="20"/>
        </w:rPr>
        <w:t>reinsurer</w:t>
      </w:r>
      <w:r>
        <w:rPr>
          <w:rFonts w:ascii="Times New Roman;serif" w:hAnsi="Times New Roman;serif"/>
          <w:b w:val="false"/>
          <w:color w:val="000000"/>
          <w:sz w:val="20"/>
        </w:rPr>
        <w:t xml:space="preserve">) to the capital credit available to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for any un-collateralized reinsurance coverage.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that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PMIERs requirements. We continuously monitor NMIC's compliance with the PMIERs.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State Mortgage Insurance Regulation</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Certificates of Authority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holds a certificate of authority, or insurance license, in all 50 states and D.C. As a licensed insurer in these jurisdictions, NMIC is subject to ongoing financial reporting, examination and disclosure requirements relating to its business, operations, management and affiliate arrangements.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State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their insurance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state insurance regulation of our business relates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licenses to transact business;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producer licensing;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policy forms;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premium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insurable loans;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annual and quarterly financial reports prepared in accordance with statutory accounting principles;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determination of loss, unearned premium and contingency reserves;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minimum capital levels and adequacy ratios;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affiliate transactions;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reinsurance transactions and related requirements;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limitations on the types of investment instruments which may be held in an investment portfolio;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size of risks and limits on coverage of individual risks which may be insured;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special deposits of securities;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stockholder dividends;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insurance policy sales practices; </w:t>
      </w:r>
    </w:p>
    <w:p>
      <w:pPr>
        <w:pStyle w:val="TextBody"/>
        <w:bidi w:val="0"/>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privacy and cybersecurity;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enterprise risk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advertising compliance;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restrictions on transactions that have the effect of inducing lenders to place business with NMIC;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claims handling.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affiliate transactions must be filed with the Wisconsin OCI at least 30 days before the transaction is entered into and that these transactions may be disapproved by the Wisconsin OCI within that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of the date filed.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net income of the insurer for the calendar year preceding the date of the dividend or distribution, minus realized capital gains for that calendar year; 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Times New Roman;serif" w:hAnsi="Times New Roman;serif"/>
          <w:b w:val="false"/>
          <w:i/>
          <w:color w:val="000000"/>
          <w:sz w:val="20"/>
        </w:rPr>
        <w:t>i.e.</w:t>
      </w:r>
      <w:r>
        <w:rPr>
          <w:rFonts w:ascii="Times New Roman;serif" w:hAnsi="Times New Roman;serif"/>
          <w:b w:val="false"/>
          <w:color w:val="000000"/>
          <w:sz w:val="20"/>
        </w:rPr>
        <w:t>, amounts in excess of ordinary dividends) only with the prior approval of the Wisconsin OCI.</w:t>
      </w:r>
    </w:p>
    <w:p>
      <w:pPr>
        <w:pStyle w:val="TextBody"/>
        <w:bidi w:val="0"/>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Wisconsin, other states may limit or restrict our insurance subsidiaries' ability to pay stockholder dividends. For example, in California and New York, mortgage insurers licensed in such states are prohibited from declaring dividends except from undivided profits remaining above the aggregate of their paid-in capital, paid-in surplus and contingency reserves. In addition, Florida requires mortgage insurers to hold surplus of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Wisconsin has adopted the Risk Management and Own Risk and Solvency Assessment Act, which requires, among other things, that we conduct an Own Risk and Solvency Assessment at least annually to assess the material risks associated with our business and our current and estimated projected future solvency position, and maintain a risk management framework to assess, monitor, manage, and report on material risks. Additionally, Wisconsin has also adopted the annual enterprise risk reporting and “Corporate Governance Annual Disclosure” requirements of the NAIC model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Wisconsin has adopted the NAIC’s amendments to the model holding company act that implement the filing requirement for the GCC. The GCC uses a risk-based capital aggregation methodology for all entities in an insurance holding company system. It is a tool that provides insurance regulators with a method to aggregate the available capital and the minimum capital of each entity in a group in a way that applies to all companies regardless of their structure. Under Wisconsin law, the ultimate controlling person of our insurance subsidiaries must file the GCC with the Wisconsin OCI.</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and incurred loss expenses for a calendar quarter exceed the greater of either (i) 35% of net premiums earned in a calendar year or (ii) 70% of the annual amount contributed to the contingency loss reserve.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applicable Wisconsin law and the laws of 15 other states, a mortgage insurer must maintain a minimum amount of statutory capital relative to its RIF in order for the mortgage insurer to continue to write new business. These are typically referred to as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compute the RTC ratio for NMIC.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insurance regulators also have the authority to make changes to current regulations governing mortgage insurance, including, among other things, capital requirements, underwriting standards, claims practices and market conduct regulation. The NAIC formed a working group within its Financial Condition (E) Committee, the Mortgage Guaranty Insurance Working Group, to discuss, develop and recommend changes to the solvency and market practices regulation of mortgage insurers, including changes to the Mortgage Guaranty Insurance Model Act #630 (Model Act). These efforts culminated in amendments to the Model Act, which were adopted by the NAIC Financial Condition and Executive Committees in 2023. Wisconsin has begun the process of adopting the revised Model Act, and other states may also consider adoption as well. </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pStyle w:val="TextBody"/>
        <w:bidi w:val="0"/>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U.S. Regulation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impacted by federal regulation of residential mortgage transactions. Mortgage origination and servicing transactions are subject to compliance with various federal and state consumer protection laws, including the RESPA, the TILA, the ECOA, the Fair Housing Act, the HOPA, the FCRA, the FDCPA, the GLBA and others. Among other things, these laws and their implementing regulations prohibit payments for referrals of real estate settlement service business, require fairness and non-discrimination in granting or facilitating the granting of credit,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Housing Finance Reform</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federal government currently plays a dominant role in the U.S. housing finance system through the GSEs and government MIs (</w:t>
      </w:r>
      <w:r>
        <w:rPr>
          <w:rFonts w:ascii="Times New Roman;serif" w:hAnsi="Times New Roman;serif"/>
          <w:b w:val="false"/>
          <w:i/>
          <w:color w:val="000000"/>
          <w:sz w:val="20"/>
        </w:rPr>
        <w:t>i.e.</w:t>
      </w:r>
      <w:r>
        <w:rPr>
          <w:rFonts w:ascii="Times New Roman;serif" w:hAnsi="Times New Roman;serif"/>
          <w:b w:val="false"/>
          <w:color w:val="000000"/>
          <w:sz w:val="20"/>
        </w:rPr>
        <w:t xml:space="preserve">, the FHA, USDA and VA) and Ginnie Mae. There is broad policy consensus toward the need for continued and consistent private capital participation in the U.S. housing finance system.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PSPAs, as amended, with the Treasury Department.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w:t>
      </w:r>
    </w:p>
    <w:p>
      <w:pPr>
        <w:pStyle w:val="TextBody"/>
        <w:bidi w:val="0"/>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0"/>
        </w:rPr>
        <w:t>On September 14, 2021, the FHFA together with the Treasury Department announced the suspension of certain portions of the 2021 PSPA amendments, specifically those limiting certain GSE lending activities, and that would, among other things, reduce the amount of capital the GSEs are required to hold. On March 16, 2022, the FHFA adopted the final rule (effective May 16, 2022) (2022 ERCF amendment) that amended the enterprise regulatory capital framework by refining the prescribed leverage buffer amount and CRT securitization framework for the GSEs, which reduced the amount of capital the GSEs are required to hold, including by increasing the capital credit the GSEs receive for the credit risk that they distribute. On January 2, 2025, the FHFA together with the Treasury Department announced further amendments to the PSPAs to help ensure that the eventual release of the GSEs from conservatorship will be orderly and to reflect certain existing practices. Among other things, the amendments restore the Treasury Department’s right to consent to a release of the GSEs from conservatorship.</w:t>
      </w:r>
      <w:r>
        <w:rPr>
          <w:color w:val="000000"/>
        </w:rPr>
        <w:t xml:space="preserve"> </w:t>
      </w:r>
      <w:r>
        <w:rPr>
          <w:rFonts w:ascii="Times New Roman;serif" w:hAnsi="Times New Roman;serif"/>
          <w:b w:val="false"/>
          <w:color w:val="000000"/>
          <w:sz w:val="20"/>
        </w:rPr>
        <w:t>In addition, under a separate side letter from the FHFA to the Treasury Department, the FHFA will solicit public input, before releasing a GSE from conservatorship, regarding the potential impacts on the housing market and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2023, the FHFA’s rule requiring the GSEs to provide advance notice to the FHFA of new activities and obtain prior approval before launching new products became effective. The rule establishes revised criteria for determining whether new activity requires notice to the FHFA and for determining if that activity is a new product that merits public notice and comment. The rule also outlines the process for the FHFA's review of any new activity and the timelines for approving a new product, including issuing a public notice and requesting public comment about a new product.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first Trump administration, there was increased focus on the possibility of administrative reform that the White House and Treasury Department, in collaboration with the previous Director of the FHFA, may pursue independent of any legislative action. In September 2019, the Treasury Department released a Housing Reform Plan that included a compilation of legislative and administrative recommendations for reforms to achieve various goals, including the goals of ending the conservatorships of the GSEs and setting regulations for the GSEs that provide for their safety and soundness. In December 2020, the FHFA finalized a rule establishing a new regulatory capital framework for the GSEs, noting that the rule was another step toward ending the conservatorships of the GSEs. </w:t>
      </w:r>
    </w:p>
    <w:p>
      <w:pPr>
        <w:pStyle w:val="TextBody"/>
        <w:bidi w:val="0"/>
        <w:spacing w:lineRule="auto" w:line="288" w:before="0" w:after="180"/>
        <w:ind w:left="0" w:right="0" w:firstLine="720"/>
        <w:jc w:val="both"/>
        <w:rPr/>
      </w:pPr>
      <w:r>
        <w:rPr>
          <w:rFonts w:ascii="Times New Roman;serif" w:hAnsi="Times New Roman;serif"/>
          <w:b w:val="false"/>
          <w:color w:val="000000"/>
          <w:sz w:val="20"/>
        </w:rPr>
        <w:t>On June 23, 2021, the U.S. Supreme Court ruled that the President could remove the FHFA Director other than for cause. Subsequently, President Biden removed the FHFA Director and appointed a new Director to lead the FHFA. FHFA leadership changes add uncertainty to what role the GSEs, FHA and private capital, including private mortgage insurance, will play in the residential housing finance system in the future. In anticipation of expected Presidential dismissal as a result of Trump’s second term inauguration, on January 19, 2025, the sitting FHFA Director exited the role.</w:t>
      </w:r>
      <w:r>
        <w:rPr>
          <w:color w:val="000000"/>
        </w:rPr>
        <w:t xml:space="preserve"> </w:t>
      </w:r>
      <w:r>
        <w:rPr>
          <w:rFonts w:ascii="Times New Roman;serif" w:hAnsi="Times New Roman;serif"/>
          <w:b w:val="false"/>
          <w:color w:val="000000"/>
          <w:sz w:val="20"/>
        </w:rPr>
        <w:t>President Trump nominated a new FHFA Director who was confirmed and sworn in on March 14,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current leadership of the FHFA may exercise their oversight authority over the GSEs differently than previous Directors and/or have different objectives with regard to the GSEs' operations. Any such changes in how the FHFA engages with and influences the GSEs could have a significant impact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FHA Reform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the single-family MI programs of the FHA, which is part of the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On February 22, 2023, FHA announced a rate reduction to the annual mortgage insurance premiums charged to homebuyers who obtain an FHA-insured mortgage.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FHA's role in the mortgage insurance industry is significantly dependent upon regulatory developments. Since 2012, there have been several legislative proposals intended to reform the FHA; however, no legislation has been enacted to date. The passage of FHA reform legislation in either the House or Senate, and how differences in proposed reforms between the House and Senate might be resolved in any final legislation, remain uncertain.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The Dodd-Frank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of 2010 (Dodd-Frank Act) amended certain provisions of TILA, RESPA and other statutes that have had a significant impact on our business and the residential mortgage market. The Dodd-Frank Act created the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 to 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Ability-to-Repay and Qualified Mortgage Rules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issued final regulations, effective in 2014 and subsequently revised, requiring a residential mortgage loan originator to make a good faith determination, at the time a loan is originated, that the consumer has a reasonable ATR the loan. The ATR rule does not provide comprehensive underwriting standards but does set forth certain factors that a creditor must consider. The Dodd-Frank Act provides for a statutory presumption that a borrower will have the ability to repay a loan if the loan has the characteristics of a QM as defined in the CFPB’s regulations, which has defined several types of QMs. The CFPB’s definition of a “General QM” places limits on points and fees, prohibits or restricts certain mortgage features, and generally limits a QM’s annual percentage rate to 2.25 percentage points above the average prime offer rate for comparable loans. If a General QM is a higher-priced loan, as defined by the CFPB, it obtains a rebuttable presumption of ATR compliance for that loan. If a General QM is not a higher-priced loan, it obtains a conclusive presumption of ATR compliance for that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Dodd-Frank Act also gave statutory authority to HUD, the VA, and the USDA to develop their own definitions of QM. The ATR rule does not affect the QM definitions adopted by these agencies. To the extent lenders find that these agencies' definitions of QM are more favorable to certain segments of their borrowers, they may choose government MI products over private MI products. 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Basel Rules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Basel Committee on Banking Supervision (Basel Committee), which consists of a group of central banks and banking regulators including the United States, developed</w:t>
      </w:r>
      <w:r>
        <w:rPr>
          <w:color w:val="000000"/>
        </w:rPr>
        <w:t xml:space="preserve"> </w:t>
      </w:r>
      <w:r>
        <w:rPr>
          <w:rFonts w:ascii="Arial;sans-serif" w:hAnsi="Arial;sans-serif"/>
          <w:b w:val="false"/>
          <w:color w:val="000000"/>
          <w:sz w:val="18"/>
        </w:rPr>
        <w:t>t</w:t>
      </w:r>
      <w:r>
        <w:rPr>
          <w:rFonts w:ascii="Times New Roman;serif" w:hAnsi="Times New Roman;serif"/>
          <w:b w:val="false"/>
          <w:color w:val="000000"/>
          <w:sz w:val="20"/>
        </w:rPr>
        <w:t xml:space="preserve">he Basel Capital Accord in 1988 to set out international benchmarks for assessing banks' capital adequacy requirements.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2017, the Basel Committee published final revisions to Basel III (informally known as “Basel IV”) with target implementation by each participating country by January 1, 2022, later extended to January 1, 2023 due to the COVID-19 pandemic. Implementation of Basel IV reforms requires national legislation and, therefore, the final rules and the timetable for their implementation in each participating country may be subject to some level of national variation. As an example, the United Kingdom (UK) and the European Union (EU) have each announced delays for their rules implementing the Basel IV reforms until 2027 and 2026, respectively, with further transitional arrangements being in place until 2030 and 2032, respectively.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Basel Committee previously proposed rules that would further reduce the benefit of private MI by not taking into consideration any credit enhancement, including private MI; however, those revisions were not implemented, retaining the treatment of mortgage insurance. On September 9, 2022, the U.S. banking regulators announced their intent to revise U.S. regulatory capital requirements to align them with Basel IV. On July 27, 2023, the U.S. banking regulators jointly issued a </w:t>
      </w:r>
    </w:p>
    <w:p>
      <w:pPr>
        <w:pStyle w:val="TextBody"/>
        <w:bidi w:val="0"/>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were passed. It is expected that the prior proposed rule will not be approved, and that a new proposed rule will be issued. The full Basel Committee has yet to finalize next steps on a future path forward. Accordingly, we do not have clarity on whether or when we can expect any revised or final proposal or how much time will be provided for banking organizations to implement any final rule once it has been issued. The timing, scope, and content of any further proposed or final rulemaking and any potential impact it may have remain uncertain.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Mortgage Servicing Rules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Residential mortgage servicing rules under RESPA and TILA, promulgated by the CFPB include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Homeowners Protection Act of 1998 (HOPA)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Section 8 of RESPA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Enforcement of Section 8 of RESPA presents regulatory risk for many providers of “settlement services,” including private mortgage insurers.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Mortgage Insurance Tax Deduction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2006, Congress enacted a private mortgage insurance tax deduction on a temporary basis through the end of 2011. Upon expiration in 2011, Congress temporarily extended the deduction for each tax year from 2012 through 2021. Congress did not extend the deduction to the 2022 to 2025 tax years. The deduction has now been reinstated permanently, starting with the 2026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SAFE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Privacy and Information Security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FTC and the CFPB.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states have enacted privacy and data security laws which impose compliance obligations beyond GLBA. These state laws obligate us to protect social security numbers, make disclosures regarding our privacy practices, limit the manner in which we share personal information, honor some requests for the deletion of personal data, submit annual compliance certifications regarding such programs (or an exemption thereto) and notify insurance regulators if a security breach results in a reasonable belief that unauthorized persons may have obtained access to consumer non-public personal information. For example, New York’s cybersecurity regulation establishes requirements for insurance entities under the New York Department of Financial Services’ jurisdiction, such as NMIC. The NAIC adopted the Insurance Data Security Model Law (Cybersecurity Model Law) for entities licensed under the relevant state’s insurance laws. The Cybersecurity Model Law requires such entities to develop and maintain a risk-based information security program, among other requirements. Several states, including Wisconsin, have adopted the Cybersecurity Model Law. State consumer privacy protection laws have also created new rights for their residents regarding certain personal information an organization collects and/or uses about them. We have adopted certain policies and procedures, and risk management and security practices designed to facilitate our compliance with these federal and state privacy and information security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Credit Reporting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FCRA imposes restrictions on the permissible use of credit report information. The CFPB and FTC each have authority to enforce FCRA. FCRA has been interpreted by some FTC staff and federal courts to require mortgage insurers to provide “adverse action” notices to consumers if an application for mortgage insurance is declined or offered at higher than the best </w:t>
      </w:r>
    </w:p>
    <w:p>
      <w:pPr>
        <w:pStyle w:val="TextBody"/>
        <w:bidi w:val="0"/>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available rate for the program applied for on the basis of a review of the consumer's credit. We provide such notices when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Anti-Discrimination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Artificial Intelligence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an evolving regulatory framework governing the development and use of artificial intelligence (AI) at both the federal and state levels.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NAIC published a Model Bulletin on the Use of Artificial Intelligence Systems by Insurers which has since been adopted by more than 20 state insurance regulators, including the Wisconsin OCI, and other state insurance regulators have adopted their own insurance-specific AI regulations or guidance. Several states have also passed, or are currently considering, generally-applicable laws and regulations related to the development and use of AI systems.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laws, regulations and guidance generally clarify that existing laws apply to AI systems, including consumer protection, civil rights, competition, data privacy, and insurance laws. In addition, they may in some cases require disclosures, consumer “opt-out” rights, and the development of model governance, risk assessments and other compliance processes.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President Trump issued an executive order articulating a federal policy favoring U.S. leadership in artificial intelligence through a minimally burdensome national regulatory framework. The executive order does not establish a comprehensive federal AI statute or directly preempt existing state laws, but directs federal agencies to evaluate state AI regulations, establish a litigation task force to challenge state laws deemed inconsistent with federal policy, consider federal AI reporting or disclosure standards, and develop potential legislative recommendations. The evolving interaction between federal and state AI regulation and any potential impact remain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as well as all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This report contains forward-looking statements that involve risks and uncertainties. See “Cautionary Note Regarding Forward-Looking Statements” on page </w:t>
      </w:r>
      <w:hyperlink w:anchor="iea917dd519f341dba6a1666ef78b92cf_7973">
        <w:r>
          <w:rPr>
            <w:rStyle w:val="InternetLink"/>
            <w:rFonts w:ascii="Times New Roman;serif" w:hAnsi="Times New Roman;serif"/>
            <w:b w:val="false"/>
            <w:i/>
            <w:color w:val="0000FF"/>
            <w:sz w:val="20"/>
            <w:u w:val="single"/>
          </w:rPr>
          <w:t>3</w:t>
        </w:r>
      </w:hyperlink>
      <w:r>
        <w:rPr>
          <w:color w:val="000000"/>
        </w:rPr>
        <w:t xml:space="preserve"> </w:t>
      </w:r>
      <w:r>
        <w:rPr>
          <w:rFonts w:ascii="Times New Roman;serif" w:hAnsi="Times New Roman;serif"/>
          <w:b w:val="false"/>
          <w:i/>
          <w:color w:val="000000"/>
          <w:sz w:val="20"/>
        </w:rPr>
        <w:t>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principal risks that could materially adversely affect our business operations, industry, and financial results. You should read this summary together with the more detailed description of each risk factor that immediately follows this summary. </w:t>
      </w:r>
    </w:p>
    <w:p>
      <w:pPr>
        <w:pStyle w:val="TextBody"/>
        <w:bidi w:val="0"/>
        <w:spacing w:lineRule="auto" w:line="288" w:before="0" w:after="180"/>
        <w:jc w:val="both"/>
        <w:rPr/>
      </w:pPr>
      <w:hyperlink w:anchor="i127e3f4629fc4240b20b6e2f654a8125_121920">
        <w:r>
          <w:rPr>
            <w:rStyle w:val="InternetLink"/>
            <w:rFonts w:ascii="Times New Roman;serif" w:hAnsi="Times New Roman;serif"/>
            <w:b/>
            <w:color w:val="000000"/>
            <w:sz w:val="20"/>
            <w:u w:val="single"/>
          </w:rPr>
          <w:t>Risk Related to Our Business Operations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face intense competition for business in our industry, and if we are unable to compete effectively, we may not be able to achieve our business goals, which would adversely affect our business, financial condition and operating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NIW volumes could be adversely affected if lenders and investors select alternatives to private MI.</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we are unable to continue to attract and retain the most significant mortgage originators as customers, our ability to achieve our business goals could be negatively impacted.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the volume of high-LTV loan originations declines, our NIW volume could decline, which would reduce our revenues.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underwriting and credit risk management policies and practices may not anticipate all risks and/or the magnitude of potential for loss as the result of unforeseen risks.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Unexpected material increases in borrower defaults could cause our actual losses to materially exceed our expected loss rates, including in certain geographic regions in which our business may be concentrated and more susceptible to downturns.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premiums we charge may be insufficient to cover claim payments and our operating costs.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in factors that impact the length of time that our policies remain in force may adversely affect our future revenues and claims experience.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in inflation, interest rates and mortgage interest rates may have an adverse impact on our business, future revenue and financial condition.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outsource the underwriting of our mortgage insurance on certain loans to third-party USPs. If these USPs fail to adequately perform their underwriting services or place our coverage on loans we would deem ineligible, we could experience increased claims on loans underwritten by them, and our customer relationships could be negatively impacted.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mix of business we write affects our revenue stream and the likelihood of losses occurring.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expect our claims to increase as our insured loan portfolio grows and matures.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business depends, in part, on effective and reliable loan servicing.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occurrence of natural or man-made disasters or pandemics could adversely affect our business, financial condition and operating results.</w:t>
      </w:r>
    </w:p>
    <w:p>
      <w:pPr>
        <w:pStyle w:val="TextBody"/>
        <w:bidi w:val="0"/>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Climate risk and efforts to manage or regulate climate risk by government agencies could affect our business and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operating results depend in large part on our ability to manage the risks related to the growth of our business and on maintaining and enhancing effective operating procedures and internal controls.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are exposed to operational risk from fraud, malfeasance or error by borrowers, employees and third-party service providers, and any such fraud, malfeasance or error could materially and adversely affect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If we do not maintain connectivity with or otherwise meet the technological demands of our customers or are unable to develop, enhance and maintain our proprietary technology platform, our business and financial performance could be adversely affected.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may not be able to prevent the unauthorized disclosure or misuse of confidential, personal or proprietary information.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Adverse investment performance may affect our financial results and ability to conduct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face regulatory and litigation risks associated with offering loan review services.</w:t>
      </w:r>
    </w:p>
    <w:p>
      <w:pPr>
        <w:pStyle w:val="TextBody"/>
        <w:bidi w:val="0"/>
        <w:spacing w:lineRule="auto" w:line="288" w:before="0" w:after="180"/>
        <w:ind w:left="0" w:right="0" w:hanging="360"/>
        <w:jc w:val="both"/>
        <w:rPr/>
      </w:pPr>
      <w:hyperlink w:anchor="i127e3f4629fc4240b20b6e2f654a8125_121921">
        <w:r>
          <w:rPr>
            <w:rStyle w:val="InternetLink"/>
            <w:rFonts w:ascii="Times New Roman;serif" w:hAnsi="Times New Roman;serif"/>
            <w:b/>
            <w:color w:val="000000"/>
            <w:sz w:val="20"/>
            <w:u w:val="single"/>
          </w:rPr>
          <w:t>Risk Related to Regulation of the Mortgage Insurance Industry</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in the business practices of the GSEs, including a decision to decrease or discontinue the use of private MI, or changes in the terms on which mortgage insurance coverage may be canceled, federal legislation that changes their charters or a restructuring of the GSEs or changes in loan delivery pricing imposed by the GSEs could reduce the private MI market opportunity, reduce our revenues or increase our losses.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are subject to comprehensive state insurance regulations and capital adequacy requirements, which we must satisfy to continue to operate our MI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private MI industry is, and as a participant we are, subject to litigation and regulatory enforcement risk generally.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 xml:space="preserve">Our business prospects and operating results could be adversely impacted if, and to the extent that, the Consumer Financial Protection Bureau's ATR Rules defining a QM negatively impact the size of the origination market.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implementation of the Basel rules may discourage the use of mortgage insurance.</w:t>
      </w:r>
    </w:p>
    <w:p>
      <w:pPr>
        <w:pStyle w:val="TextBody"/>
        <w:bidi w:val="0"/>
        <w:spacing w:lineRule="auto" w:line="288" w:before="0" w:after="180"/>
        <w:jc w:val="both"/>
        <w:rPr/>
      </w:pPr>
      <w:hyperlink w:anchor="i127e3f4629fc4240b20b6e2f654a8125_121926">
        <w:r>
          <w:rPr>
            <w:rStyle w:val="InternetLink"/>
            <w:rFonts w:ascii="Times New Roman;serif" w:hAnsi="Times New Roman;serif"/>
            <w:b/>
            <w:color w:val="000000"/>
            <w:sz w:val="20"/>
            <w:u w:val="single"/>
          </w:rPr>
          <w:t>Risks Related to Our Holding Company and Capital Structure</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holding company structure and certain regulatory and other constraints could affect our ability to satisfy our obligations and potentially require us to raise more capital.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substantial indebtedness could adversely affect our financial condition.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existing, and any future, variable rate indebtedness subjects us to interest rate risk, which could cause our annual debt service obligations to increase significantly.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Despite our substantial level of debt, we may incur more debt, which could exacerbate any or all of the risks described above.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Our current credit ratings may adversely affect our ability to access capital and the cost of such capital, which could have a material adverse effect on our business, financial condition and operating results.</w:t>
      </w:r>
    </w:p>
    <w:p>
      <w:pPr>
        <w:pStyle w:val="TextBody"/>
        <w:bidi w:val="0"/>
        <w:spacing w:lineRule="auto" w:line="288" w:before="0" w:after="180"/>
        <w:jc w:val="both"/>
        <w:rPr/>
      </w:pPr>
      <w:hyperlink w:anchor="i127e3f4629fc4240b20b6e2f654a8125_121922">
        <w:r>
          <w:rPr>
            <w:rStyle w:val="InternetLink"/>
            <w:rFonts w:ascii="Times New Roman;serif" w:hAnsi="Times New Roman;serif"/>
            <w:b/>
            <w:color w:val="000000"/>
            <w:sz w:val="20"/>
            <w:u w:val="single"/>
          </w:rPr>
          <w:t>General Risks Related to Ownership of Our Common Stock</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We do not currently pay any dividends on our common stock and may not do so in the future, and payment of any declared dividends may be delayed.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market price of our common stock may be volatile, which could cause the value of an investment in our common stock to decline.</w:t>
      </w:r>
    </w:p>
    <w:p>
      <w:pPr>
        <w:pStyle w:val="TextBody"/>
        <w:bidi w:val="0"/>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Future issuance of debt or preferred stock, which would rank senior to our common stock upon our liquidation, may adversely affect the market value of our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Provisions contained in our organizational documents, as well as provisions of Delaware law and Wisconsin insurance law, could delay or prevent a change of control of us, which could adversely affect the price of shares of our common stock.</w:t>
      </w:r>
    </w:p>
    <w:p>
      <w:pPr>
        <w:pStyle w:val="TextBody"/>
        <w:bidi w:val="0"/>
        <w:spacing w:lineRule="auto" w:line="288" w:before="0" w:after="180"/>
        <w:jc w:val="both"/>
        <w:rPr>
          <w:rFonts w:ascii="Times New Roman;serif" w:hAnsi="Times New Roman;serif"/>
          <w:b/>
          <w:color w:val="000000"/>
          <w:sz w:val="20"/>
        </w:rPr>
      </w:pPr>
      <w:bookmarkStart w:id="1" w:name="i127e3f4629fc4240b20b6e2f654a8125_121920"/>
      <w:bookmarkEnd w:id="1"/>
      <w:r>
        <w:rPr>
          <w:rFonts w:ascii="Times New Roman;serif" w:hAnsi="Times New Roman;serif"/>
          <w:b/>
          <w:color w:val="000000"/>
          <w:sz w:val="20"/>
        </w:rPr>
        <w:t>Risks Related to Our Business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intense competition for business in our industry, and if we are unable to compete effectively, we may not be able to achieve our business goals, which would adversely affect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We may experience increased competition due to consolidation among our existing competitors or the emergence of new private MI companies. One or more of our competitors may seek to capture increased market share from the government MIs or from other private mortgage insurers. They may do that by reducing prices, offering alternative coverage and product options, including offerings for loans not intended to be sold to the GSEs, loosening their underwriting guidelines or relaxing risk management policies. Such behavior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customers, our revenue may be adversely impacted, which could adversely impact our growth and profitability.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competitors are subsidiaries of larger and more diversified corporations that may have access to greater amounts of capital and financial resources, or a lower cost of capital than we do. Some may have better financial strength ratings than we have. As a result, they may be better positioned to compete in and outside of the traditional MI market, including when the GSEs pursue alternative forms of credit enhancement or credit risk transfer other than private MI.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financial strength ratings are important for our customers to maintain confidence in our products and our competitive position. PMIERs require all </w:t>
      </w:r>
      <w:r>
        <w:rPr>
          <w:rFonts w:ascii="Times New Roman;serif" w:hAnsi="Times New Roman;serif"/>
          <w:b w:val="false"/>
          <w:i/>
          <w:color w:val="000000"/>
          <w:sz w:val="20"/>
        </w:rPr>
        <w:t>approved insurers</w:t>
      </w:r>
      <w:r>
        <w:rPr>
          <w:rFonts w:ascii="Times New Roman;serif" w:hAnsi="Times New Roman;serif"/>
          <w:b w:val="false"/>
          <w:color w:val="000000"/>
          <w:sz w:val="20"/>
        </w:rPr>
        <w:t xml:space="preserve">, except newly-approved insurers, to maintain at least one rating with a rating agency acceptable to the GSEs. A downgrade in NMIC's ratings or ratings outlook, or our failure to maintain a rating acceptable to one or both of the GSEs, could have an adverse effect on our business, including (i) potentially impacting our eligibility as an </w:t>
      </w:r>
      <w:r>
        <w:rPr>
          <w:rFonts w:ascii="Times New Roman;serif" w:hAnsi="Times New Roman;serif"/>
          <w:b w:val="false"/>
          <w:i/>
          <w:color w:val="000000"/>
          <w:sz w:val="20"/>
        </w:rPr>
        <w:t>approved insurer</w:t>
      </w:r>
      <w:r>
        <w:rPr>
          <w:rFonts w:ascii="Times New Roman;serif" w:hAnsi="Times New Roman;serif"/>
          <w:b w:val="false"/>
          <w:color w:val="000000"/>
          <w:sz w:val="20"/>
        </w:rPr>
        <w:t>, (ii)</w:t>
      </w:r>
      <w:r>
        <w:rPr>
          <w:color w:val="000000"/>
        </w:rPr>
        <w:t xml:space="preserve"> </w:t>
      </w:r>
      <w:r>
        <w:rPr>
          <w:rFonts w:ascii="Times New Roman;serif" w:hAnsi="Times New Roman;serif"/>
          <w:b w:val="false"/>
          <w:color w:val="000000"/>
          <w:sz w:val="20"/>
        </w:rPr>
        <w:t xml:space="preserve">increased scrutiny of our financial condition by our customers, resulting in potential reduction in our NIW, or (iii) negative impacts to our ability to conduct business in the non-GSE mortgage market, where financial strength ratings may be a more important counter-party consideration for lenders.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NIW volumes could be adversely affected if lenders and investors select alternatives to private 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lenders and investors select alternatives to private MI on high-LTV loans, our business could be adversely affected. Among others, alternatives to private MI include, but are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lenders using government mortgage insurance programs, including those of the FHA, USDA and VA, and state-supported mortgage insurance funds in several states, including Massachusetts and California;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lenders and other investors holding mortgages in their portfolios and self-insuring;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GSEs and other investors using credit enhancements other than MI (including alternative forms of credit risk transfer such as the suspended IMAGIN and EPMI programs that could be relaunched in the future), using other credit enhancements in conjunction with reduced levels of MI coverage, or accepting credit risk without credit enhancement; </w:t>
      </w: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lender retention program;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paying cash or making large down payments versus securing mortgage financing.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alternatives to private MI could reduce or eliminate the need for our products, cause us to lose existing business and/or limit our ability to attract the new business that we may prefer to insure.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at the direction of the FHFA, the GSEs have expanded their credit and mortgage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If any of these programs successfully grow in comparison to private MI, it may create increased competition for private MI on loans traditionally sold to the GSEs with private 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Therefore, the government MIs generally have greater financial flexibility in setting their pricing, guidelines, policy terms and capacity. That may put us at a competitive disadvantage. Although there has been broad policy consensus toward the need for private capital to play a continued and consistent role in the U.S. housing finance system, it remains difficult to predict whether the combined market share of the government MIs will recede to pre-2008 levels. Government MIs may continue to maintain a strong combined market position and could increase their market share in the future.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government MIs maintain or increase their share of the mortgage insurance market, our business and industry could be negatively affected. Factors that could cause government MIs to remain significant include, among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 to federal housing policy and/or priorities, including government MIs reducing their premiums, which may be more likely under the current Presidential administration, or loosening their underwriting guidelines;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in premium rates or tightening of underwriting guidelines by private mortgage insurers;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capital constraints in the private MI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 in capital requirements imposed on private mortgage insurers by the GSEs or states;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continuation of increases to or imposition of new GSE loan delivery fees on loans that require MI, which may result in higher borrower costs for MI loans compared to loans insured by government MIs;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difference in the spread between GSE mortgage-backed securities and Ginnie Mae mortgage-backed securities;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increase in government MIs' loan limits above GSE loan limits;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 in GSEs' demand to participate in the high-LTV or first-time homebuyer origination market;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perceived operational ease of using insurance from government MIs compared to private 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to which lenders or borrowers may select these alternatives now, or in the future, is difficult to predict. As one or more of the alternatives described above, or new alternatives that may enter the market, are chosen over MI, our revenues could be adversely impacted. The loss of business in general or the specific loss of more profitable business could have a material adverse effect on our financial position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are unable to continue to attract and retain the most significant mortgage originators as customers, our ability to achieve our business goals could be negatively impacted.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w:t>
      </w:r>
    </w:p>
    <w:p>
      <w:pPr>
        <w:pStyle w:val="TextBody"/>
        <w:bidi w:val="0"/>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business relationship with us. If we are unable to maintain our approved status with one or more of these mortgage lenders, our business, financial condition and operating results could be adversely impacted.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be certain that any loss of business from one or more of our lender customers would be offset or replaced by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Policies do not require our customers to do business with us. Loss of business from significant customers, if not offset or replaced by additional business from other customers, could have an adverse effect on the amount of new business we are able to write and, consequently, our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the volume of high-LTV loan originations declines, our NIW volume could decline, which would reduce our 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NIW volume and revenues, in part, depend on the volume of high-LTV loan originations and may be negatively affected if the volume of high-LTV loan origination declines. The factors that affect the volume of high-LTV loan originations include, among others: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level of loan interest rates. Higher interest rates may increase the potential housing costs for consumers hoping to purchase homes, which may have the effect of reducing the pool of potential borrowers available to purchase homes;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restrictions on mortgage credit due to more stringent underwriting standards, more restrictive regulatory and capital requirements and lender liquidity issues;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health of the real estate industry and the national economy and conditions in regional and local economies, which may be impacted by inflation and the related Federal Reserve measures, which may cause potential economic downturn;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housing affordability;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housing supply;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population trends, including the rate of household formation, preferences of potential mortgage borrowers and cultural shifts;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rate and anticipated path of home price appreciation, which in times of heavy refinancing can affect whether refinance loans have LTVs that require MI;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deductibility of mortgage interest or other changes in tax policy, which may have an effect on the residential housing market;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U.S. government housing policy encouraging loans to first-time homebuyers;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GSEs' demand to participate in the high-LTV or first-time homebuyer origination market;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the GSEs' guaranty and other fees, credit underwriting guidelines and other business terms affect lenders' willingness to extend credit for high-LTV mortgages.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decline in the volume of high-LTV loan originations could decrease demand for MI, decrease our NIW and therefore reduce our revenues and have a material adverse effect on our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underwriting and credit risk management policies and practices may not anticipate all risks and/or the magnitude of potential for loss as the result of unforeseen risks.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established underwriting and credit risk management policies and practices that seek to mitigate our exposure to borrower default risk in our insured loan portfolio by anticipating future risks and their magnitude. Our underwriting and credit risk management guidelines are based on what we believe to be the major factors that influence the performance of mortgage credit. These factors include, among others, borrower and loan-level risk characteristics, lender origination practices and macroeconomic variables that influence the housing market. The presence of multiple higher-risk characteristics (</w:t>
      </w:r>
      <w:r>
        <w:rPr>
          <w:rFonts w:ascii="Times New Roman;serif" w:hAnsi="Times New Roman;serif"/>
          <w:b w:val="false"/>
          <w:i/>
          <w:color w:val="000000"/>
          <w:sz w:val="20"/>
        </w:rPr>
        <w:t xml:space="preserve">i.e., </w:t>
      </w:r>
      <w:r>
        <w:rPr>
          <w:rFonts w:ascii="Times New Roman;serif" w:hAnsi="Times New Roman;serif"/>
          <w:b w:val="false"/>
          <w:color w:val="000000"/>
          <w:sz w:val="20"/>
        </w:rPr>
        <w:t xml:space="preserve">layered </w:t>
      </w: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risk) in a loan materially increases the likelihood of a default on such a loan unless, and to the extent, there are other characteristics to mitigate the layered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frequency and severity of claims we incur is uncertain and depends largely on general economic conditions, including unemployment rate, interest rates, inflation and the effect of the Federal Reserve's action to control inflation (which could lead to potential economic downturn), and trends in home prices. To the extent that certain risks are unforeseen, or if we have underestimated the frequency and/or severity of loss of certain risks, our underwriting and credit risk management policies and practices may not be sufficient to mitigate the effects of these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Unexpected material increases in borrower defaults could cause our actual losses to materially exceed our expected loss rates, including in certain geographic regions in which our business may be concentrated and more susceptible to downturns.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losses result from events that reduce a borrower's ability or willingness to continue to make mortgage payments. These events include borrower-specific factors, such as job loss, illness, death, divorce, and existing federal supported forbearance programs. These events also include macroeconomic factors, such as rising unemployment, market deterioration, rising interest rates and home price depreciation. Borrowers with high-LTV mortgages often have more difficulty (compared to borrowers with lower LTV mortgages) weathering personal financial hardships caused by unforeseen events, because they may not have sufficient personal savings or available credit to structure viable workout solutions. Rising unemployment rates and deterioration in economic conditions for extended periods of time, across the U.S. or in specific regional economies, generally increases the likelihood of borrower defaults. </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As inflation has lowered housing affordability, the use of ARMs and interest rate buydown transactions have become more common. Interest rate buydown happens when the builder or seller, to increase the chances of selling a home, contributes funds that subsidizes the buyer's mortgage loan interest rate during a certain period of time, resulting in a lower monthly payment on the mortgage for the buyer. However, once the buydown rate ends, the buyer’s monthly payment increases.</w:t>
      </w:r>
      <w:r>
        <w:rPr>
          <w:color w:val="000000"/>
        </w:rPr>
        <w:t xml:space="preserve"> </w:t>
      </w:r>
      <w:r>
        <w:rPr>
          <w:rFonts w:ascii="Times New Roman;serif" w:hAnsi="Times New Roman;serif"/>
          <w:b w:val="false"/>
          <w:color w:val="000000"/>
          <w:sz w:val="20"/>
        </w:rPr>
        <w:t>Increasing interest rates typically also lead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The ending of any widely embraced forbearance programs may also increase the realization of losses related to borrower defaults. If our default and loss projections are materially inaccurate, our actual losses could materially exceed our expectations and adversely affect our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premiums we charge may be insufficient to cover claim payments and our operating costs.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mortgage insurance premiums may not be adequate to cover our future claim payments. We set premiums at the time a policy is issued based on our expectations regarding likely performance over the term of the policy. Our premium rates are developed based on certain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when facing higher than anticipated claims, we generally will not be able to offset it by increasing premiums on policies in force, or mitigate it by not renewing or cancelling any coverage. While we believe our capital, premiums and investment earnings will provide a pool of resources sufficient to cover expected loss payments and we have made estimates regarding loss payments and </w:t>
      </w: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potential claims, we cannot predict with certainty the ultimate number and magnitude of claims we experience. Therefore,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factors that impact the length of time that our policies remain in force may adversely affect our future revenues and claims experience.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set premiums at the time our policies are issued based on a broad range of variables, including property, loan, borrower, lender and market (</w:t>
      </w:r>
      <w:r>
        <w:rPr>
          <w:rFonts w:ascii="Times New Roman;serif" w:hAnsi="Times New Roman;serif"/>
          <w:b w:val="false"/>
          <w:i/>
          <w:color w:val="000000"/>
          <w:sz w:val="20"/>
        </w:rPr>
        <w:t>e.g.</w:t>
      </w:r>
      <w:r>
        <w:rPr>
          <w:rFonts w:ascii="Times New Roman;serif" w:hAnsi="Times New Roman;serif"/>
          <w:b w:val="false"/>
          <w:color w:val="000000"/>
          <w:sz w:val="20"/>
        </w:rPr>
        <w:t xml:space="preserve">,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lower level of persistency could reduce our future revenues from our monthly-paid premium products, which constituted about 93% of our primary IIF at year-end 2025.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remain in force longer than was estimated when the policies were written.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factors affecting persistency may include, among others,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servicing guidelines and other policies of the GSEs and other mortgage investors determining the timing and rationale for cancelling mortgage insurance;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level of current mortgage interest rates compared to the mortgage rates on the IIF, which affects the sensitivity of the IIF to refinancings (</w:t>
      </w:r>
      <w:r>
        <w:rPr>
          <w:rFonts w:ascii="Times New Roman;serif" w:hAnsi="Times New Roman;serif"/>
          <w:b w:val="false"/>
          <w:i/>
          <w:color w:val="000000"/>
          <w:sz w:val="20"/>
        </w:rPr>
        <w:t>i.e.</w:t>
      </w:r>
      <w:r>
        <w:rPr>
          <w:rFonts w:ascii="Times New Roman;serif" w:hAnsi="Times New Roman;serif"/>
          <w:b w:val="false"/>
          <w:color w:val="000000"/>
          <w:sz w:val="20"/>
        </w:rPr>
        <w:t>, lower current interest rates make it more attractive for borrowers to refinance and receive a lower interest 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amount of equity in a home, as homeowners with more equity in their homes can more readily move to a new residence or refinance their existing mortgage;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rates of home price appreciation or depreciation;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economic conditions that affect a borrower's decision to pay off a mortgage earlier than required;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lenders' credit policies, which may make it more difficult for borrowers to refinance their loans;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efforts of lenders to solicit borrower refinancing;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cancellation of BPMI mandated by the HOPA, with the time-frames for HOPA-required cancellations generally accelerating in a lower interest rate environment relative to a higher interest rate environment.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Mortgage interest rates tend to follow the 10-year Treasury yield, which rises and falls based on several factors, including but not limited to expectations for the benchmark rate set by the Federal Reserve, inflation trends, economic conditions and investor sentiment. In the years leading up to 2022, mortgage interest rates had been at historical lows, primarily as a result of monetary policy by the Federal Reserve which kept the federal funds rate at historical lows. Starting in 2022, in an attempt to curb rising inflation, the Federal Reserve repeatedly and rapidly increased the federal funds rate which, in July 2023, hit its highest levels in 22 years, and led to rising interest rates and mortgage interest rates in 2022 and 2023. As a result of the higher mortgage interest rates in 2022 and 2023, we observed lower refinancing activities in the mortgage market compared to what we had observed in recent years prior to 2022, and therefore decreased turnover in our IIF. Despite the Federal Reserve lowering interest rates in 2024, the 10-year Treasury yield and 30-year fixed rate mortgage interest rates remained elevated.</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mortgage interest rates decline in the future, we expect any such decline to drive higher levels of refinancing in the mortgage market, including with respect to loans we insure which may have interest rates that are higher than the future prevailing rates. A lower interest environment could subsequently lead to an increased turnover in our IIF,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 In addition, the GSEs and other mortgage investors who hold the mortgages on which we write mortgage insurance largely control the decision on whether to maintain mortgage insurance. If the GSEs and other mortgage investors change their view on the timing of cancellation of mortgage </w:t>
      </w: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due to house price appreciation, policy goals, other risk appetite decisions or otherwise, we could experience increased and unexpected turnover in our IIF, which could negatively impact our future revenues. </w:t>
      </w:r>
    </w:p>
    <w:p>
      <w:pPr>
        <w:pStyle w:val="TextBody"/>
        <w:bidi w:val="0"/>
        <w:spacing w:before="0" w:after="0"/>
        <w:ind w:left="0" w:right="0" w:firstLine="720"/>
        <w:jc w:val="both"/>
        <w:rPr/>
      </w:pPr>
      <w:r>
        <w:rPr/>
      </w:r>
    </w:p>
    <w:p>
      <w:pPr>
        <w:pStyle w:val="TextBody"/>
        <w:bidi w:val="0"/>
        <w:spacing w:lineRule="auto" w:line="268" w:before="0" w:after="180"/>
        <w:jc w:val="both"/>
        <w:rPr>
          <w:rFonts w:ascii="Times New Roman;serif" w:hAnsi="Times New Roman;serif"/>
          <w:b/>
          <w:i/>
          <w:color w:val="000000"/>
          <w:sz w:val="20"/>
        </w:rPr>
      </w:pPr>
      <w:r>
        <w:rPr>
          <w:rFonts w:ascii="Times New Roman;serif" w:hAnsi="Times New Roman;serif"/>
          <w:b/>
          <w:i/>
          <w:color w:val="000000"/>
          <w:sz w:val="20"/>
        </w:rPr>
        <w:t>Changes in inflation, interest rates and mortgage interest rates may have an adverse impact on our business, future revenue and financial condition.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Periods of rising inflation may negatively impact our expense base by increasing the costs (including for services) we have to pay contractors, employees, service providers and vendors. Higher inflation also puts a strain on consumer spending. As general costs for goods and services increase for consumers, their housing and mortgage affordability decrease. Inflation's adverse impact on housing and mortgage affordability may therefore lower overall housing demand, result in lower NIW volume and negatively impact our business, future revenue and financial condition.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curb rising inflation, the Federal Reserve increased the federal funds rate in 2022 and 2023, which elevated interest rates and mortgage interest rates, before announcing a pause in September 2023. Despite the Federal Reserve lowering interest rates in 2024, the 10-year Treasury yield and 30-year fixed rate mortgage interest rates remained elevated. Higher interest rates and mortgage rates may have an adverse impact on the refinancing origination market and purchase origination market. Higher rates have an adverse impact on the refinancing origination market because higher mortgage interest rates lower the opportunity to refinance an existing loan at a lower mortgage interest rate. Higher rates also have an adverse impact on the purchase origination market because higher mortgage interest rates lower housing and mortgage affordability, and thus consumers' demand for homes. Affordability issues and increases in mortgage rates may also put downward pressure on home prices as buyers' demand for homes decreases. Falling housing demand may result in fewer mortgage originations and a lower price per transaction, reducing the overall size of the MI market. Falling home prices may also result in an increase in our default losses as borrowers' equity in their homes declines and thus decreases our future revenues and returns.</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guarantee or assurance that markets will not adversely react to future interest rate decisions at the Federal Reserve or that such interest rate decisions will not trigger an economic downturn. Downturns in the domestic economy may result in more homeowners defaulting and our losses increasing, with a corresponding decrease in our returns. Therefore, the ultimate impact that higher inflation rates and the Federal Reserve's reaction thereto will have on the mortgage origination and mortgage insurance markets, and our loan delinquencies, is unknown, and changes in inflation, interest rates and mortgage interest rates may have an adverse impact on our business, future revenue and financial condition.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outsource the underwriting of our mortgage insurance on certain loans to third-party USPs. If these USPs fail to adequately perform their underwriting services or place our coverage on loans we would deem ineligible, we could experience increased claims on loans underwritten by them, and our customer relationships could be negatively impacted.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also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Policies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 underwritten by them, and our customer relationships could be negatively impacted, which would have an adverse impact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w:t>
      </w: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rights of rescission for material underwriting defects and certain misrepresentations (including borrower fraud) made in connection with the origination of the insured loan and placement of our mortgage insurance. In addition, after a loan attains rescission relief, our rights to conduct investigations of potential fraud or misrepresentation are significantly curtailed and the evidentiary standards we must meet to pursue rescission for fraud are more stringent. See Item 1, “</w:t>
      </w:r>
      <w:r>
        <w:rPr>
          <w:rFonts w:ascii="Times New Roman;serif" w:hAnsi="Times New Roman;serif"/>
          <w:b w:val="false"/>
          <w:i/>
          <w:color w:val="000000"/>
          <w:sz w:val="20"/>
        </w:rPr>
        <w:t>Business - Underwriting - Independent Validation and Rescission Relief.”</w:t>
      </w:r>
      <w:r>
        <w:rPr>
          <w:color w:val="000000"/>
        </w:rPr>
        <w:t xml:space="preserve"> </w:t>
      </w:r>
      <w:r>
        <w:rPr>
          <w:rFonts w:ascii="Times New Roman;serif" w:hAnsi="Times New Roman;serif"/>
          <w:b w:val="false"/>
          <w:color w:val="000000"/>
          <w:sz w:val="20"/>
        </w:rPr>
        <w:t>With these provisions in our Master Policies, we may be obligated to pay claims on certain loans with unacceptable risk characteristics or which failed to meet our underwriting guidelines at the time of origination. As a result, we could suffer unexpected losses, which could adversely impact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mix of business we write affects our revenue stream and the likelihood of losses occurring.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Times New Roman;serif" w:hAnsi="Times New Roman;serif"/>
          <w:b w:val="false"/>
          <w:i/>
          <w:color w:val="000000"/>
          <w:sz w:val="20"/>
        </w:rPr>
        <w:t>i.e.</w:t>
      </w:r>
      <w:r>
        <w:rPr>
          <w:rFonts w:ascii="Times New Roman;serif" w:hAnsi="Times New Roman;serif"/>
          <w:b w:val="false"/>
          <w:color w:val="000000"/>
          <w:sz w:val="20"/>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expect our claims to increase as our insured loan portfolio grows and matures.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our claims experience is affected by macroeconomic factors such as housing prices, inflation, interest rates, mortgage rates, unemployment rates and other events, such as natural disasters, including earthquakes, wildfires, hurricanes, floods and tornadoes or pandemics, and any federal, state or local governmental response thereto. See Part II, Item 7, “</w:t>
      </w:r>
      <w:r>
        <w:rPr>
          <w:rFonts w:ascii="Times New Roman;serif" w:hAnsi="Times New Roman;serif"/>
          <w:b w:val="false"/>
          <w:i/>
          <w:color w:val="000000"/>
          <w:sz w:val="20"/>
        </w:rPr>
        <w:t>Management's Discussion and Analysis of Financial Condition and Results of Operations – Key Factors Affecting Our Results – Insurance Claims and Claim Expenses.”</w:t>
      </w:r>
      <w:r>
        <w:rPr>
          <w:color w:val="000000"/>
        </w:rPr>
        <w:t xml:space="preserve"> </w:t>
      </w:r>
      <w:r>
        <w:rPr>
          <w:rFonts w:ascii="Times New Roman;serif" w:hAnsi="Times New Roman;serif"/>
          <w:b w:val="false"/>
          <w:color w:val="000000"/>
          <w:sz w:val="20"/>
        </w:rPr>
        <w:t>Incurred losses and claims may exceed our expectations in the event of general economic weakness or decreases in housing values. Even if our default rate remains the same, the total number of claims that we incur will increase as our portfolio continues to grow. An increase in the number or size of claims, compared to what we anticipate, could adversely affect our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depends, in part, on effective and reliable loan servicing.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reliable, consistent third-party servicing of the loans that we insure. Among other things, our Master Policies require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timelines and practices, which are generally set by the GSEs. Servicers are required to comply with a multitude of legal, regulatory and GSE requirements, procedures and standards for servicing residential mortgage loans. If servicers of our insured loans fail to adhere to applicable requirements, procedures and standards, our losses may unexpectedly increase.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delegated the authority to implement certain loss mitigation options on loans we insure (</w:t>
      </w:r>
      <w:r>
        <w:rPr>
          <w:rFonts w:ascii="Times New Roman;serif" w:hAnsi="Times New Roman;serif"/>
          <w:b w:val="false"/>
          <w:i/>
          <w:color w:val="000000"/>
          <w:sz w:val="20"/>
        </w:rPr>
        <w:t>e.g.</w:t>
      </w:r>
      <w:r>
        <w:rPr>
          <w:rFonts w:ascii="Times New Roman;serif" w:hAnsi="Times New Roman;serif"/>
          <w:b w:val="false"/>
          <w:color w:val="000000"/>
          <w:sz w:val="20"/>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COVID-19 pandemic demonstrated that government actions in response to a national pandemic could create strains on servicers in connection with the remittance of premiums. We cannot estimate the impact of future pandemics and government actions in response to them could affect our servicers in the future. If one or more of our large servicers were to experience adverse effects to its business,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as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referred to as claim frequency, and the amount of the claim payment expected to be paid on each such loan in default, referred to as claim severity. Claim frequency and severity estimates are established based on historical observed experience regarding certain loan factors, such as age of the default, cure rates, size of the loan and estimated change in property value.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occurrence of natural or man-made disasters or pandemics could adversely affect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risks arising out of natural disasters, including pandemics, earthquakes, wildfires, hurricanes, floods, tornadoes and other events that could be related to and could be worsened by changing climatic conditions. We are also exposed to various risks arising out of man-made disasters, including acts of terrorism, and military actions. For example, a natural disaster event could lead to unexpected changes in persistency rates as policyholders and borrowers who are affected by the disaster may be unable to meet their contractual obligations, such as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 addition, the value of the assets in our investment portfolio could be adversely affected if such an event affects companies' ability to pay us principal or interest on their securities.</w:t>
      </w: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0"/>
        </w:rPr>
        <w:t>We insure mortgages for homes in areas that have been impacted by natural disasters, including from earthquakes, wildfires, hurricanes, floods and tornadoes.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w:t>
      </w:r>
      <w:r>
        <w:rPr>
          <w:rFonts w:ascii="Times New Roman;serif" w:hAnsi="Times New Roman;serif"/>
          <w:b w:val="false"/>
          <w:color w:val="000000"/>
          <w:sz w:val="20"/>
          <w:shd w:fill="FFFFFF" w:val="clear"/>
        </w:rPr>
        <w:t>dition to other factors which generally impact cure rates in unaffected areas. We have observed that l</w:t>
      </w:r>
      <w:r>
        <w:rPr>
          <w:rFonts w:ascii="Times New Roman;serif" w:hAnsi="Times New Roman;serif"/>
          <w:b w:val="false"/>
          <w:color w:val="000000"/>
          <w:sz w:val="20"/>
        </w:rPr>
        <w:t xml:space="preserve">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Climate risk and efforts to manage climate risk by government agencies could affect our business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directly insure climate-related risks. Our insurance policies also generally exclude losses resulting from physical damage to the properties securing the loans we insure. While climate-related risks such as flood, wildfire, wind, and earthquake do not directly cause losses to our business, we are indirectly exposed to climate risks. A natural disaster event could lead to unexpected changes in persistency rates as policyholders and borrowers who are affected by the disaster may be unable to meet their contractual obligations, such as mortgage payments on loans we insure. A natural disaster could also trigger an economic downturn in the areas directly or indirectly affected by the natural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normal business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2020, the FHFA has been increasingly vocal about climate and natural disasters and their impact on the GSEs and the Federal Home Loan Banks (together, the regulated entities) and the national housing market, and has designated climate risk as a priority concern and instructed the GSEs to actively consider its effects in their decision making. To that end, the FHFA established a new Conservatorship Scorecard which would hold the GSEs accountable for ensuring resiliency to climate and disaster risks, and also enhanced its monitoring and supervision of climate risk issues. In 2024, FHFA issued two Advisory Bulletins on climate-related risk management that established a GSE risk management framework to include: (1) governance; (2) risk identification and assessment, controls, and monitoring processes; (3) metrics and data; (4) scenario analysis; and (5) risk reporting and communication processes. The GSEs have also updated their disaster playbooks, implemented Green Bond products, and partnered with FHFA to develop additional tools and analysis. It is possible that efforts to manage climate risk by the FHFA, GSEs (including through GSE guideline or mortgage insurance policy changes) or others could materially impact the volume and characteristics of our NIW (including its policy terms), home prices in certain areas and defaults by borrowers in certain areas, as well as increase the costs to us of providing mortgage insurance in certain areas, and therefore may impact our business and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third-party reinsurance, including the QSR Transactions, XOL Transactions, and ILN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and XOL Transactions (which are not fully collateralized like the ILN Transactions) not performing their obligations, the GSEs or the Wisconsin OCI not continuing to give us full capital credit as anticipated for the duration of the contracts, or if one or more reinsurers under any of the QSR Transactions or XOL Transactions experiences a downgrade or other adverse business event. Any of these events could have negative impacts on the credit for the risk transferred under the reinsurance agreements and, in turn, on our capital needs, PMIERs position and growth potential.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Reinsurance does not relieve us of our direct liability to our insureds to pay claims, even when there are reinsurance recoverables available to us under the QSR Transactions or XOL Transactions. Accordingly, we bear credit risk with respect to such reinsurers. To mitigate this risk, there are certain contractual protections that establish sources from which we may directly obtain our reinsurance recoverables under the QSR Transactions or XOL Transactions. The ILN Transactions are fully </w:t>
      </w:r>
    </w:p>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collateralized with funds deposited into trust accounts to secure the obligations of the reinsurers to NMIC under the respective reinsurance agreement. See Part II, Item 8, “</w:t>
      </w:r>
      <w:r>
        <w:rPr>
          <w:rFonts w:ascii="Times New Roman;serif" w:hAnsi="Times New Roman;serif"/>
          <w:b w:val="false"/>
          <w:i/>
          <w:color w:val="000000"/>
          <w:sz w:val="20"/>
        </w:rPr>
        <w:t>Financial Statements and Supplementary Data - Notes to Consolidated Financial Statements - Note 6, Reinsurance</w:t>
      </w:r>
      <w:r>
        <w:rPr>
          <w:rFonts w:ascii="Times New Roman;serif" w:hAnsi="Times New Roman;serif"/>
          <w:b w:val="false"/>
          <w:color w:val="000000"/>
          <w:sz w:val="20"/>
        </w:rPr>
        <w:t>,” below. To the extent the amounts in the QSR Transaction or XOL Transaction trust accounts are insufficient to cover loss recoveries and other amounts to which we are entitled under the QSR Transactions or XOL Transactions, we would attempt to recover such amounts directly from the reinsurers. One or more reinsurers may be unable or unwilling to pay reinsurance recoverables owed to us in the future, which could have an adverse effect on our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reinsurer under the QSR Transactions or XOL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and XOL Transactions generally also give us the right to terminate the agreements in certain other circumstances, including, among other reasons, if a reinsurer becomes insolvent, has its license revoked or reinsures its entire liability under the relevant QSR Transaction or XOL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GSEs and the Wisconsin OCI have the right periodically to review performance under our third-party reinsurance transactions, including the reinsurers' financial strength and other factors (which may be unknown to us) the GSEs and Wisconsin OCI may believe are important to an evaluation of the transactions.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depend in large part on our ability to manage the risks related to the growth of our business and on maintaining and enhancing effective operating procedures and internal controls.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mortgage insurance business has been growing quickly.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exposed to operational risk from fraud, malfeasance or error by borrowers, employees and third-party service providers, and any such fraud, malfeasance or error could materially and adversely affect 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many types of operational risk, including the risk of fraud or malfeasance by borrowers,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t>
      </w:r>
    </w:p>
    <w:p>
      <w:pPr>
        <w:pStyle w:val="TextBody"/>
        <w:bidi w:val="0"/>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whom we do business also could be sources of operational risk to us, including breakdowns or failures of such parties' own systems or employees. Given our hybrid and remote work arrangements of our employees and staff,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do not maintain connectivity with or otherwise meet the technological demands of our customers or are unable to develop, enhance and maintain our proprietary technology platform, our business and financial performance could be adversely affected.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To enhance our ability to provide innovative IT solutions for our internal and external constituents, we are party to an agreement with TCS, whereby TCS provides services across such functions as application development and support, infrastructure support (service desk, end user computing and engineering services) and information security functions. We underwrite and service our MI portfolio within a proprietary insurance management platform which has deployed technology that enables our customers to transact business in a secure manner. Our lender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on our ability to timely and effectively resolve any significant issues that may arise with the operation of our technology platform. While we anticipate that our engagement with TCS will enhance our ability to 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platforms fail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(including with respect to new and complex information technology such as artificial intelligence).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not be able to prevent the unauthorized disclosure or misuse of confidential, personal or proprietary information.</w:t>
      </w:r>
    </w:p>
    <w:p>
      <w:pPr>
        <w:pStyle w:val="TextBody"/>
        <w:bidi w:val="0"/>
        <w:spacing w:lineRule="auto" w:line="268" w:before="0" w:after="0"/>
        <w:ind w:left="0" w:right="0" w:firstLine="720"/>
        <w:jc w:val="both"/>
        <w:rPr/>
      </w:pPr>
      <w:r>
        <w:rPr>
          <w:rFonts w:ascii="Times New Roman;serif" w:hAnsi="Times New Roman;serif"/>
          <w:b w:val="false"/>
          <w:color w:val="000000"/>
          <w:sz w:val="20"/>
        </w:rPr>
        <w:t>Our IT systems process, transmit, store and protect large amounts of personal information of borrowers whose mortgages we insure, in addition to the confidential, proprietary, financial and other information that are critical to our business. See Item 1C, “</w:t>
      </w:r>
      <w:r>
        <w:rPr>
          <w:rFonts w:ascii="Times New Roman;serif" w:hAnsi="Times New Roman;serif"/>
          <w:b w:val="false"/>
          <w:i/>
          <w:color w:val="000000"/>
          <w:sz w:val="20"/>
        </w:rPr>
        <w:t>Cybersecurity</w:t>
      </w:r>
      <w:r>
        <w:rPr>
          <w:rFonts w:ascii="Times New Roman;serif" w:hAnsi="Times New Roman;serif"/>
          <w:b w:val="false"/>
          <w:color w:val="000000"/>
          <w:sz w:val="20"/>
        </w:rPr>
        <w:t>.” Our IT systems and networks, including those functions that we may outsource, are vulnerable to unauthorized access, interruptions or failures due to events that are often beyond our control, including cyber-attacks, natural disasters, theft, terrorist attacks and general technology failures. We may, from time to time, upgrade certain of our information systems, and transform and automate certain of our business processes. We also have outsourced certain technology and business functions to third parties, and may continue to do so in the future.</w:t>
      </w:r>
      <w:r>
        <w:rPr>
          <w:color w:val="000000"/>
        </w:rPr>
        <w:t xml:space="preserve"> </w:t>
      </w:r>
      <w:r>
        <w:rPr>
          <w:rFonts w:ascii="Times New Roman;serif" w:hAnsi="Times New Roman;serif"/>
          <w:b w:val="false"/>
          <w:color w:val="000000"/>
          <w:sz w:val="20"/>
        </w:rPr>
        <w:t xml:space="preserve">If we fail to timely and successfully implement and integrate new technology systems or if the systems and/or transformed and automated business processes do not operate as expected, this may expose us to increased risk related to data and information security and unexpected service disruptions, which could result in monetary and reputational damage or harm to our competitive position. Our remote and hybrid working arrangements may also increase the risk of cyber-security attacks or data security incidents. In particular, in the current remote and hybrid working arrangements environment, our employees and vendors rely on the use of portable computers and mobile devices, which can be stolen, lost or misused, making information accessible through such devices more vulnerable to unauthorized access, including by employee malfeasance.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information security procedures and controls to safeguard our systems and the information that we process, transmit and store, including multi-factor authentication and a new biometrics solution to authenticate employee login. Despite these efforts, we may not be able to anticipate or implement effective preventive measures against all cyber threats, or detect and contain a breach in a timely manner, including because employees or contractors may not follow the controls we have implemented, the invasive techniques used change frequently or are not recognized until launched, and because security attacks can originate from a wide variety of sources and methods. Further, the sophistication, availability and use of artificial intelligence by threat actors may present an increased level of risk. Our remote or hybrid working arrangements may exacerbate these risks. Our employees, contractors, customers or other users of our systems are, from time to time, subject to fraudulent inducements by </w:t>
      </w:r>
    </w:p>
    <w:p>
      <w:pPr>
        <w:pStyle w:val="TextBody"/>
        <w:bidi w:val="0"/>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parties attempting to gain access to our data or that of our customers. Although w</w:t>
      </w:r>
      <w:r>
        <w:rPr>
          <w:rFonts w:ascii="Times New Roman;serif" w:hAnsi="Times New Roman;serif"/>
          <w:b w:val="false"/>
          <w:color w:val="000000"/>
          <w:sz w:val="20"/>
          <w:shd w:fill="FFFFFF" w:val="clear"/>
        </w:rPr>
        <w:t>e seek to have appropriate information security policies and systems in place, t</w:t>
      </w:r>
      <w:r>
        <w:rPr>
          <w:rFonts w:ascii="Times New Roman;serif" w:hAnsi="Times New Roman;serif"/>
          <w:b w:val="false"/>
          <w:color w:val="000000"/>
          <w:sz w:val="20"/>
        </w:rPr>
        <w: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further compromise, damages, harm our reputation; and may subject us to regulatory scrutiny and/or expose us to civil litigation or regulatory action. If any of these were to occur, our business, financial condition and operating results could be materially adversely affected. Further, the technology errors and omissions, and insurance coverage we maintain may be unavailable or inadequate to fully cover claims and/or costs associated with incidents that may occur in the future.</w:t>
      </w:r>
    </w:p>
    <w:p>
      <w:pPr>
        <w:pStyle w:val="TextBody"/>
        <w:bidi w:val="0"/>
        <w:spacing w:before="0" w:after="0"/>
        <w:ind w:left="0" w:right="0" w:firstLine="72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Adverse investment performance may affect our financial results and ability to conduct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and PMIERs, which results in our portfolio being predominantly limited to highly rated fixed income securities. Much of our investment portfolio has been established at a time of historically low interest rates. If market interest rates rise above the rates on our fixed income securities, it would increase unrealized losses on these securities and decrease the market value of our investment portfolio. If it was necessary to sell these securities while they are in an unrealized loss position, it would adversely impact our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required or find it advisable to change our investments or investment policies depending upon regulatory, economic, social and market requirements or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regulatory and litigation risks associated with offering loan review services.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Times New Roman;serif" w:hAnsi="Times New Roman;serif"/>
          <w:b w:val="false"/>
          <w:i/>
          <w:color w:val="000000"/>
          <w:sz w:val="20"/>
        </w:rPr>
        <w:t>The private MI industry is, and as a participant we are, subject to litigation and regulatory enforcement risk generally</w:t>
      </w:r>
      <w:r>
        <w:rPr>
          <w:rFonts w:ascii="Times New Roman;serif" w:hAnsi="Times New Roman;serif"/>
          <w:b w:val="false"/>
          <w:color w:val="000000"/>
          <w:sz w:val="20"/>
        </w:rPr>
        <w:t>,” below.</w:t>
      </w:r>
    </w:p>
    <w:p>
      <w:pPr>
        <w:pStyle w:val="TextBody"/>
        <w:bidi w:val="0"/>
        <w:spacing w:lineRule="auto" w:line="288" w:before="0" w:after="180"/>
        <w:jc w:val="both"/>
        <w:rPr>
          <w:rFonts w:ascii="Times New Roman;serif" w:hAnsi="Times New Roman;serif"/>
          <w:b/>
          <w:color w:val="000000"/>
          <w:sz w:val="20"/>
        </w:rPr>
      </w:pPr>
      <w:bookmarkStart w:id="2" w:name="i127e3f4629fc4240b20b6e2f654a8125_121921"/>
      <w:bookmarkEnd w:id="2"/>
      <w:r>
        <w:rPr>
          <w:rFonts w:ascii="Times New Roman;serif" w:hAnsi="Times New Roman;serif"/>
          <w:b/>
          <w:color w:val="000000"/>
          <w:sz w:val="20"/>
        </w:rPr>
        <w:t>Risks Related to Regulation of the Mortgage Insurance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is a GSE-</w:t>
      </w:r>
      <w:r>
        <w:rPr>
          <w:rFonts w:ascii="Times New Roman;serif" w:hAnsi="Times New Roman;serif"/>
          <w:b w:val="false"/>
          <w:i/>
          <w:color w:val="000000"/>
          <w:sz w:val="20"/>
        </w:rPr>
        <w:t>approved insurer</w:t>
      </w:r>
      <w:r>
        <w:rPr>
          <w:rFonts w:ascii="Times New Roman;serif" w:hAnsi="Times New Roman;serif"/>
          <w:b w:val="false"/>
          <w:color w:val="000000"/>
          <w:sz w:val="20"/>
        </w:rPr>
        <w:t>, and the significant majority of insurance we write is on loans sold to the GSEs. The GSEs set their own counter-party standards for private mortgage insurers, known as PMIERs.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 xml:space="preserve">terms have the same meaning that such terms have in the PMIERs.) As a result, our compliance with the PMIERs is necessary to maintain NMIC's status as an </w:t>
      </w:r>
      <w:r>
        <w:rPr>
          <w:rFonts w:ascii="Times New Roman;serif" w:hAnsi="Times New Roman;serif"/>
          <w:b w:val="false"/>
          <w:i/>
          <w:color w:val="000000"/>
          <w:sz w:val="20"/>
        </w:rPr>
        <w:t>approved insurer</w:t>
      </w:r>
      <w:r>
        <w:rPr>
          <w:rFonts w:ascii="Times New Roman;serif" w:hAnsi="Times New Roman;serif"/>
          <w:b w:val="false"/>
          <w:color w:val="000000"/>
          <w:sz w:val="20"/>
        </w:rPr>
        <w:t xml:space="preserve">. The PMIERs establish operational, business, remedial and financial requirements applicable to </w:t>
      </w:r>
      <w:r>
        <w:rPr>
          <w:rFonts w:ascii="Times New Roman;serif" w:hAnsi="Times New Roman;serif"/>
          <w:b w:val="false"/>
          <w:i/>
          <w:color w:val="000000"/>
          <w:sz w:val="20"/>
        </w:rPr>
        <w:t>approved insurers</w:t>
      </w:r>
      <w:r>
        <w:rPr>
          <w:rFonts w:ascii="Times New Roman;serif" w:hAnsi="Times New Roman;serif"/>
          <w:b w:val="false"/>
          <w:color w:val="000000"/>
          <w:sz w:val="20"/>
        </w:rPr>
        <w:t xml:space="preserve">. By April 15th of each year, NMIC must certify it met all PMIERs requirements as of December 31st of the prior year. NMIC also has an ongoing obligation to immediately notify the GSEs in writing upon discovery of its failure to meet </w:t>
      </w:r>
    </w:p>
    <w:p>
      <w:pPr>
        <w:pStyle w:val="TextBody"/>
        <w:bidi w:val="0"/>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one or more of the PMIERs requirements, some of which do not have materiality thresholds. We certified to the GSEs by April 15, 2025 that NMIC was in full compliance with the PMIERs as of December 31,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There is no assurance NMIC will remain in 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Compliance with PMIERs requires us to seek the GSEs' prior approval before taking many actions, including implementing new products or services or entering into inter-company agreements among other actions. In addition, for an approved insurer to receive a reduction in its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 position and operating results. For example, we and other approved insurers were required to implement new master policies to, among other things, include terms that conform to the GSEs' RRP.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the business practices of the GSEs, including a decision to decrease or discontinue the use of private MI, or changes in the terms on which mortgage insurance coverage may be canceled, federal legislation that changes their charters or a restructuring of the GSEs or changes in loan delivery pricing imposed by the GSEs could reduce the private MI market opportunity, reduce our revenues or increase our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requirements and practices of the GSEs impact the operating results and financial performance of approved insurers, including NMIC. Changes in the charters or business practices of the GSEs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The former director of FHFA leadership under the first Trump administration was more focused on preparing the GSEs to exit from conservatorship by increasing the GSEs’ overall capital levels and reducing their credit risk profile. In December 2020, the FHFA published a final rule (2020 ERCF rule) establishing a new enterprise regulatory capital framework (ERCF) for the GSEs, which included provisions governing the capital </w:t>
      </w:r>
    </w:p>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relief allowed to the GSEs for loans with private MI. The 2020 ERCF rule established that loans with private MI, as opposed to loans without private MI, provide more favorable capital relief to the GSEs. Additionally, while in conservatorship, each GSE has been subject to the terms of senior Preferred Stock Purchase Agreements (PSPAs) establishing Treasury's ownership of senior preferred stock and warrants in the GSEs. The PSPAs, as amended by the Treasury Department in collaboration with the FHFA, also establish Treasury's right to consent to any GSE release from conservatorship, among other rights.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Leadership at the FHFA changes from time to time. Given that the Director of the FHFA is removable by the President at will, the agency's agenda, policies and actions likely will be significantly influenced by the then current administration. Accordingly, it is difficult to predict whether or how the FHFA might seek to implement GSE oversight beyond the current administration's term. Between the Director of the FHFA and the Treasury Department, they possess significant capacity to effect administrative GSE reforms. Subsequent to the adoption of the 2020 ERCF rule and the PSPAs, the Director of the FHFA, together with the Treasury Department, have adopted amendments to both the 2020 ERCF and the PSPAs to help facilitate the ultimate release of the GSEs from conservatorship and additional changes could be adopted. Further changes to the ERCF, the PSPAs, or the business practices of the GSEs, including any that increase the capital required to be held by us under PMIERs, could make our products less desirable or more expensive and could have a material adverse impact on our financial condition and future business prospects. </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potential GSE reforms, whether through legislation or administrative action,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Policies or requirements that may result in a reduction in the number of mortgages GSEs acquire;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national conforming loan limit for mortgages GSEs acquire;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level of mortgage insurance required;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terms on which mortgage insurance coverage may be canceled, including GSE requirements and programs that permit cancellation prior to reaching the cancellation thresholds and conditions established by law;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terms required to be included in master policies for the mortgage insurance policies GSEs acquire;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amount of loan level price adjustments or guarantee fees that the GSEs charge on loans that require mortgage insurance;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degree of influence that the GSEs have over a mortgage lender’s selection of the mortgage insurer providing coverage.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 FHFA has set goals for the GSEs to transfer significant portions of the GSEs' mortgage credit risk to the private sector. To the extent any other current or potential credit risk products that may evolve in a manner that displace primary MI coverage, the amount of insurance we write may be reduced. It is difficult to predict the impact of any other current or potential alternative credit risk transfer products, if any, that are developed to meet the goals established by the FHFA.</w:t>
      </w:r>
    </w:p>
    <w:p>
      <w:pPr>
        <w:pStyle w:val="TextBody"/>
        <w:bidi w:val="0"/>
        <w:spacing w:lineRule="auto" w:line="247" w:before="0" w:after="180"/>
        <w:jc w:val="both"/>
        <w:rPr>
          <w:rFonts w:ascii="Times New Roman;serif" w:hAnsi="Times New Roman;serif"/>
          <w:b/>
          <w:i/>
          <w:color w:val="000000"/>
          <w:sz w:val="20"/>
        </w:rPr>
      </w:pPr>
      <w:r>
        <w:rPr>
          <w:rFonts w:ascii="Times New Roman;serif" w:hAnsi="Times New Roman;serif"/>
          <w:b/>
          <w:i/>
          <w:color w:val="000000"/>
          <w:sz w:val="20"/>
        </w:rPr>
        <w:t>We are subject to comprehensive state insurance regulations and capital adequacy requirements, which we must satisfy to continue to operate our MI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w:t>
      </w:r>
    </w:p>
    <w:p>
      <w:pPr>
        <w:pStyle w:val="TextBody"/>
        <w:bidi w:val="0"/>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 pricing and business practices. Further, failure to comply with the applicable regulations could lead to enforcement or disciplinary action, including the imposition of penalties and the revocation of our authorization to operate.</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Times New Roman;serif" w:hAnsi="Times New Roman;serif"/>
          <w:b w:val="false"/>
          <w:i/>
          <w:color w:val="000000"/>
          <w:sz w:val="20"/>
        </w:rPr>
        <w:t>i.e.</w:t>
      </w:r>
      <w:r>
        <w:rPr>
          <w:rFonts w:ascii="Times New Roman;serif" w:hAnsi="Times New Roman;serif"/>
          <w:b w:val="false"/>
          <w:color w:val="000000"/>
          <w:sz w:val="20"/>
        </w:rPr>
        <w:t>, our RIF grows faster than expected) or is less profitable than expected (</w:t>
      </w:r>
      <w:r>
        <w:rPr>
          <w:rFonts w:ascii="Times New Roman;serif" w:hAnsi="Times New Roman;serif"/>
          <w:b w:val="false"/>
          <w:i/>
          <w:color w:val="000000"/>
          <w:sz w:val="20"/>
        </w:rPr>
        <w:t>i.e.</w:t>
      </w:r>
      <w:r>
        <w:rPr>
          <w:rFonts w:ascii="Times New Roman;serif" w:hAnsi="Times New Roman;serif"/>
          <w:b w:val="false"/>
          <w:color w:val="000000"/>
          <w:sz w:val="20"/>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private MI industry is, and as a participant we are, subject to litigation and regulatory enforcement risk generally.</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 private MI industry, including NMIC, may be affected by changes in the laws and regulations to which we are subject or the way they are interpreted or applied. See “</w:t>
      </w:r>
      <w:r>
        <w:rPr>
          <w:rFonts w:ascii="Times New Roman;serif" w:hAnsi="Times New Roman;serif"/>
          <w:b w:val="false"/>
          <w:i/>
          <w:color w:val="000000"/>
          <w:sz w:val="20"/>
        </w:rPr>
        <w:t>Item 1 - Business - U.S. Mortgage Insurance Regulation</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past, other mortgage insurers (not including us)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2008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Leadership change at the CFPB or the White House may also have an impact on future CFPB enforcement activity. The CFPB's interpretation and enforcement of Section 8 of RESPA presents regulatory risk for many providers of “settlement services,” including mortgage insurers.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prospects and operating results could be adversely impacted if, and to the extent that, the Consumer Financial Protection Bureau's ATR Rules defining a QM negatively impact the size of the origination market. </w:t>
      </w:r>
    </w:p>
    <w:p>
      <w:pPr>
        <w:pStyle w:val="TextBody"/>
        <w:bidi w:val="0"/>
        <w:spacing w:lineRule="auto" w:line="26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2014, the CFPB implemented the Dodd-Frank Act ATR mortgage provisions, which govern the obligation of lenders to determine a borrower's ability to pay when originating a mortgage loan covered by ATR. A subset of mortgages falling under the ATR that has certain low-risk characteristics are known as QMs. QMs that are deemed to have the lowest risk profiles are entitled to a safe-harbor presumption of compliance with the ability-to-pay requirements. In the fourth quarter of 2020, the CFPB released a series of final rules to (i) eliminate the temporary QM category, typically referred to as the “QM Patch”, (ii) </w:t>
      </w:r>
    </w:p>
    <w:p>
      <w:pPr>
        <w:pStyle w:val="TextBody"/>
        <w:bidi w:val="0"/>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180"/>
        <w:jc w:val="left"/>
        <w:rPr/>
      </w:pPr>
      <w:r>
        <w:rPr>
          <w:rFonts w:ascii="Times New Roman;serif" w:hAnsi="Times New Roman;serif"/>
          <w:b w:val="false"/>
          <w:color w:val="000000"/>
          <w:sz w:val="20"/>
        </w:rPr>
        <w:t>amend the definition of a General QM, and (iii) provide for a new, Seasoned QM category. The General QM final rule was effective on March 1, 2021 with an extended mandatory compliance date of October 1, 2022. However, the GSEs announced on April 8, 2021 that, for loan applications received on or after July 1, 2021, they will only purchase loans satisfying the New General QM Definition. See “Item 1, “</w:t>
      </w:r>
      <w:r>
        <w:rPr>
          <w:rFonts w:ascii="Times New Roman;serif" w:hAnsi="Times New Roman;serif"/>
          <w:b w:val="false"/>
          <w:i/>
          <w:color w:val="000000"/>
          <w:sz w:val="20"/>
        </w:rPr>
        <w:t>Business - U.S. Mortgage Insurance Regulation - Other U.S. Regulation - Housing Finance Reform”</w:t>
      </w:r>
      <w:r>
        <w:rPr>
          <w:color w:val="000000"/>
        </w:rPr>
        <w:t xml:space="preserve"> </w:t>
      </w:r>
      <w:r>
        <w:rPr>
          <w:rFonts w:ascii="Times New Roman;serif" w:hAnsi="Times New Roman;serif"/>
          <w:b w:val="false"/>
          <w:color w:val="000000"/>
          <w:sz w:val="20"/>
        </w:rPr>
        <w:t>above for a summary of the GSEs final rules related to QMs. The long-term effects of the expiration of the QM Patch and implementation of the General QM and Seasoned QM final rules could affect the residential mortgage market and demand for private mortgage insurance.</w:t>
      </w:r>
    </w:p>
    <w:p>
      <w:pPr>
        <w:pStyle w:val="TextBody"/>
        <w:bidi w:val="0"/>
        <w:spacing w:lineRule="auto" w:line="256"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implementation of the Basel rules may discourage the use of mortgage insurance.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Basel Committee developed</w:t>
      </w:r>
      <w:r>
        <w:rPr>
          <w:color w:val="000000"/>
        </w:rPr>
        <w:t xml:space="preserve"> </w:t>
      </w:r>
      <w:r>
        <w:rPr>
          <w:rFonts w:ascii="Arial;sans-serif" w:hAnsi="Arial;sans-serif"/>
          <w:b w:val="false"/>
          <w:color w:val="000000"/>
          <w:sz w:val="18"/>
        </w:rPr>
        <w:t>t</w:t>
      </w:r>
      <w:r>
        <w:rPr>
          <w:rFonts w:ascii="Times New Roman;serif" w:hAnsi="Times New Roman;serif"/>
          <w:b w:val="false"/>
          <w:color w:val="000000"/>
          <w:sz w:val="20"/>
        </w:rPr>
        <w:t>he Basel Capital Accord in 1988 to set out international benchmarks for assessing banks' capital adequacy requirements. See Item 1, “</w:t>
      </w:r>
      <w:r>
        <w:rPr>
          <w:rFonts w:ascii="Times New Roman;serif" w:hAnsi="Times New Roman;serif"/>
          <w:b w:val="false"/>
          <w:i/>
          <w:color w:val="000000"/>
          <w:sz w:val="20"/>
        </w:rPr>
        <w:t>U.S. Mortgage Insurance Regulations - Basel Rules.”</w:t>
      </w:r>
      <w:r>
        <w:rPr>
          <w:color w:val="000000"/>
        </w:rPr>
        <w:t xml:space="preserve"> </w:t>
      </w:r>
      <w:r>
        <w:rPr>
          <w:rFonts w:ascii="Times New Roman;serif" w:hAnsi="Times New Roman;serif"/>
          <w:b w:val="false"/>
          <w:color w:val="000000"/>
          <w:sz w:val="20"/>
        </w:rPr>
        <w:t xml:space="preserve">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In December 2017, the Basel Committee published final revisions to Basel III (informally known as “Basel IV”).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 </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 xml:space="preserve">On September 9, 2022, the U.S. banking regulators announced their intent to revise U.S. regulatory capital requirements to align them with Basel IV. On July 27, 2023, the U.S. banking regulators jointly issued a 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is passed. </w:t>
      </w:r>
      <w:r>
        <w:rPr>
          <w:rFonts w:ascii="Times New Roman;serif" w:hAnsi="Times New Roman;serif"/>
          <w:b w:val="false"/>
          <w:color w:val="000000"/>
          <w:sz w:val="20"/>
        </w:rPr>
        <w:t xml:space="preserve">However, as of July 10, 2024, the Chairman of the Federal Reserve, as a member of the Basel Committee, made public remarks in favor of issuing a new proposed rule. The comment period for the proposal, originally scheduled to end on November 30, 2023, was extended to January 16, 2024. The full Basel Committee has yet to finalize next steps on a future path forward. Accordingly, we do not have clarity on when we can expect the final proposal or how much time will be provided for banking organizations to implement the final rule once it has been issued. </w:t>
      </w:r>
      <w:r>
        <w:rPr>
          <w:rFonts w:ascii="Times New Roman;serif" w:hAnsi="Times New Roman;serif"/>
          <w:b w:val="false"/>
          <w:color w:val="000000"/>
          <w:sz w:val="20"/>
          <w:shd w:fill="FFFFFF" w:val="clear"/>
        </w:rPr>
        <w:t xml:space="preserve">Further, it is possible (but not mandated by Basel IV) that the U.S. banking regulators and the GSEs might likewise discontinue taking mortgage insurance into account when determining a mortgage’s LTV ratio for prudential (non-capital) purposes. </w:t>
      </w:r>
      <w:r>
        <w:rPr>
          <w:rFonts w:ascii="Times New Roman;serif" w:hAnsi="Times New Roman;serif"/>
          <w:b w:val="false"/>
          <w:color w:val="000000"/>
          <w:sz w:val="20"/>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pStyle w:val="TextBody"/>
        <w:bidi w:val="0"/>
        <w:jc w:val="both"/>
        <w:rPr/>
      </w:pPr>
      <w:r>
        <w:rPr/>
      </w:r>
    </w:p>
    <w:p>
      <w:pPr>
        <w:pStyle w:val="TextBody"/>
        <w:bidi w:val="0"/>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3" w:name="i127e3f4629fc4240b20b6e2f654a8125_121926"/>
      <w:bookmarkEnd w:id="3"/>
      <w:r>
        <w:rPr>
          <w:rFonts w:ascii="Times New Roman;serif" w:hAnsi="Times New Roman;serif"/>
          <w:b/>
          <w:color w:val="000000"/>
          <w:sz w:val="20"/>
        </w:rPr>
        <w:t>Risks Related to Our Holding Company and Capital Structure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holding company structure and certain regulatory and other constraints could affect our ability to satisfy our obligations and potentially require us to raise more capital.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operating subsidiaries and does not have any significant operations of its own. NMIH's principal source of operating cash is investment income, and could in the future include dividends from NMIC and Re One, which currently does not have active insurance exposure. NMIC has the capacity to pay aggregate ordinary dividends of $101.0 million to NMIH during the twelve-month period ending December 31, 2026, without prior approval from the Wisconsin OCI. NMIH also has access to $250 million of undrawn revolving credit capacity under the senior unsecured credit facilities. In addition, NMIH currently receives cash from our insurance subsidiaries, consisting of payments made under our tax and expense-sharing arrangements. Among such agreements, the Wisconsin OCI has approved the allocation of interest expense on our $425 million aggregate principal amount of senior unsecured notes that mature on August 15, 2029 (the 2024 Notes) and senior unsecured credit facilities to NMIC to the extent proceeds from the 2024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substantial indebtedness could adversely affect our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have and will continue to have a substantial amount of indebtedness. As of December 31, 2025 our debt totaled approximately $417.0 million.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indebtedness could have significant negative consequences for our business, financial condition and operating results,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limiting our ability to obtain additional financing;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requiring the dedication of a substantial portion of the cash flow from our subsidiaries' operations to service our indebtedness, thereby reducing the amount of cash flow available for other purposes;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making it more difficult for us to retain our existing ratings or to obtain investment-grade credit ratings in the future;</w:t>
      </w:r>
    </w:p>
    <w:p>
      <w:pPr>
        <w:pStyle w:val="TextBody"/>
        <w:bidi w:val="0"/>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making it more difficult to conduct our business successfully or to grow our business, or limiting our flexibility in planning for, or reacting to, changes in our business;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placing us at a possible competitive disadvantage with less leveraged competitors and competitors that may have better access to capital resources.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senior unsecured credit facilities and the indenture governing our senior unsecured notes contain certain restrictive covenants that, among other things, limit our ability to incur additional indebtedness, make investments, incur liens, transfer or dispose of assets, merge with or acquire other companies and pay dividends. Our senior unsecured credit facilities require us to comply with certain financial and other maintenance covenants. A failure to comply with covenants or the other terms of our senior unsecured credit facilities and the indenture governing our senior unsecured notes could result in an event of default under such indebtedness, which, if not remedied, may trigger an event of default under certain other indebtedness.</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lenders under our senior unsecured credit facilities terminate their commitments or we are unable to satisfy certain covenants or representations, we may not have access to funding in a timely manner, or at all, when we require it. If funding is not available under the senior unsecured credit facilities when we require it, our ability to continue our business practices or pursue our current strategy could be limited. If any indebtedness under the senior unsecured credit facilities or our senior notes is accelerated, we cannot assure you that our assets would be sufficient to repay such amounts in full, and the lenders and/or noteholders could foreclose on the collateral securing the obligations under the senior unsecured credit facilities and the senior notes, including, subject to regulatory approval, the stock of NMIC and Re One. Any of these actions could have a material adverse effect on our business, financial condition and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existing, and any future, variable rate indebtedness subjects us to interest rate risk, which could cause our annual debt service obligations to increase significantly.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indebtedness we may incur under our senior unsecured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Despite our substantial level of debt, we may incur more debt, which could exacerbate any or all of the risks described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incur substantial additional debt in the future, including up to $250 million in borrowings we may choose to make under our 2024 Revolving Credit Facility. Although the credit agreement governing our 2024 Revolving Credit Facility and the indenture governing our senior unsecured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our 2024 Revolving Credit Facility and indenture does 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current credit ratings may adversely affect our ability to access capital and the cost of such capital, which could have a material adverse effect on our business, financial condition and operating results.</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pStyle w:val="TextBody"/>
        <w:bidi w:val="0"/>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u w:val="single"/>
        </w:rPr>
      </w:pPr>
      <w:bookmarkStart w:id="4" w:name="i127e3f4629fc4240b20b6e2f654a8125_121922"/>
      <w:bookmarkEnd w:id="4"/>
      <w:r>
        <w:rPr>
          <w:rFonts w:ascii="Times New Roman;serif" w:hAnsi="Times New Roman;serif"/>
          <w:b/>
          <w:color w:val="000000"/>
          <w:sz w:val="20"/>
          <w:u w:val="single"/>
        </w:rPr>
        <w:t>Risks Related to Ownership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do not currently pay any dividends on our common stock and may not pay any dividends on our common stock in the future, and payment of any declared dividends may be delayed.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dividends in the past, and we may not pay dividends in the future. As a result, until we otherwise declare and pay dividends on our common stock,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an investment in our common stock to decline.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market conditions, including price levels and volume and changes in interest rates and rising inflation;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national, regional and local economic or business conditions;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and changes in, trade, tax, monetary and fiscal policies, including the interest rate policies of the Federal Reserve;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U.S. housing and housing finance policy, including changes to the GSEs and the role of government MIs;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actual or projected financial condition, liquidity, operating results, cash flows and capital levels;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or failure to meet, our publicly disclosed expectations as to our future financial and operating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market valuations, as well as the financial and operating performance and prospects, of similar companies;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issuances or sales, or anticipated issuances or sales, of our common stock or other securities convertible into or exchangeable or exercisable for our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additional indebtedness we may incur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expenses incurred in connection with changes in our stock price;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potential failure to establish and maintain effective internal controls over financial reporting;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additions or departures of key personnel and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failure to satisfy the continued listing requirements of the Nasdaq;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failure to comply with the Sarbanes-Oxley Act of 2002.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pStyle w:val="TextBody"/>
        <w:bidi w:val="0"/>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88,371,465 shares of our common stock issued and 76,285,242 shares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2014 Omnibus Incentive Plan (2014 Plan) has a total of 8,250,000 shares authorized for issuance. Any shares issued under our 2014 Plan, including as a result of the exercise of stock options, would dilute the percentage ownership held by investors who purchase our shares prior to such issuance.</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the authority, without action or vote of our stockholders except as required under Nasdaq rules, to issue all or any part of our authorized but unissued shares of common stock, including shares that may be issued to satisfy our obligations under our stock incentive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pStyle w:val="TextBody"/>
        <w:bidi w:val="0"/>
        <w:spacing w:before="0" w:after="0"/>
        <w:ind w:left="0" w:right="0" w:firstLine="72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issuance of debt or preferred stock, which would rank senior to our common stock upon our liquidation, may adversely affect the market value of our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2024 Revolving Credit Facility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contained in our organizational documents, as well as provisions of Delaware law and Wisconsin insurance law, could delay or prevent a change of control of us, which could adversely affect the price of shares of our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and Delaware law contain provisions that could have the effect of rendering more difficult or discouraging an acquisition deemed undesirable by our Board. Our corporate governance documents include, among others, provisions that: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provide that special meetings of our stockholders generally can only be called by the chairman of the Board, the Chief Executive Officer or by resolution of the Board;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provide our Board the ability to issue common stock and warrants within the amount of authorized capital;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first anniversary of the previous year's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hostile takeovers and changes of control of the Company or changes in our management. Additionally, cumulative voting in the election of our directors is not allowed.</w:t>
      </w:r>
    </w:p>
    <w:p>
      <w:pPr>
        <w:pStyle w:val="TextBody"/>
        <w:bidi w:val="0"/>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integrate technology into many aspects of our business. We use technology to engage with our customers and employees, and to deliver our products and services. The business information and data managed and stored in our technology systems is used in many of our daily functions, including accounting processes, financial forecasting, pricing, underwriting, sales, compliance, and communications, among others. We are mindful of the risk in the operation of our business presented by cybersecurity threats and remain aware of the potential risk to our IT systems and data.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anticipation and in response to such risks, we have a comprehensive information security/cybersecurity program, including controls and procedures designed to safeguard and maintain the integrity of our IT systems, and prevent and detect unauthorized access to our IT systems by threats or bad actors, both internally and externally. Due to the ever-changing nature of cyber threats, we seek to proactively mitigate risks through prevention and preparation. We take a risk-based approach and identify new and continuing threats to our information systems that could potentially compromise their secure and efficient operation. Our cybersecurity program is fully integrated into our overall risk management framework and is regularly evaluated by internal and external experts.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managed by a dedicated CISO, who has over 25 years of relevant experience. Our CISO is charged with the maintenance and execution of our security program and reports to our Chief Information Officer, who leads the management of our information systems. The CISO manages a team that assesses, evaluates, and responds to cybersecurity threats. Our CISO, and other senior leaders in our IT, law, and internal audit departments, provide periodic reports to our Chief Executive Officer and other members of our senior management team and the Board, as appropriate, on cybersecurity risks and program updates.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oversees cybersecurity risks through the Board’s audit and risk committees. The Board's Audit Committee has primary oversight of cybersecurity risk. In performing its oversight function, the Audit Committee considers information from the senior leaders in various departments (including the IT, internal audit and law departments) who provide periodic reports on cybersecurity, including updates on the Company’s cyber risks and threats, the status of projects to strengthen our information security systems, assessments of the information security program, and the emerging threat landscape.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aligned with industry standards, such as the NIST Cybersecurity Framework, and we periodically engage third parties as part of our continuing efforts to evaluate, enhance and test the adequacy and effectiveness of our security measures and controls. We require our third-party service providers to implement and maintain comprehensive cybersecurity practices commensurate with the services they perform for us, and consistent with applicable legal standards and practices. In addition, we maintain and test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all of these functions serve the process of prevention, detection, mitigation, and remediation of cybersecurity incidents. While we have not experienced any material cybersecurity events, we believe that disruptions to and breaches of our IT systems are possible and may negatively impact our business in the future. Despite robust controls and safeguards in place, no system can guarantee complete security from internal and external threats. See Item 1A, “</w:t>
      </w:r>
      <w:r>
        <w:rPr>
          <w:rFonts w:ascii="Times New Roman;serif" w:hAnsi="Times New Roman;serif"/>
          <w:b w:val="false"/>
          <w:i/>
          <w:color w:val="000000"/>
          <w:sz w:val="20"/>
        </w:rPr>
        <w:t>Risk Factors - We may not be able to prevent the unauthorized disclosure or misuse of confidential, personal or proprietary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lease approximately 36,983 square feet of office space in Emeryville, California pursuant to an office facility lease that we initially entered into in 2012 (as amended, the Lease). The term of the Lease extends through March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exchange under the symbol “NMIH.” On February 6, 2026, there were 76,032,627 shares of our common stock outstanding and approximately seven holders of record. The closing price of our common stock on Nasdaq on February 6, 2026 was $41.05.</w:t>
      </w:r>
    </w:p>
    <w:p>
      <w:pPr>
        <w:pStyle w:val="TextBody"/>
        <w:bidi w:val="0"/>
        <w:spacing w:lineRule="auto" w:line="288" w:before="0" w:after="180"/>
        <w:ind w:left="0" w:right="0" w:firstLine="720"/>
        <w:jc w:val="both"/>
        <w:rPr/>
      </w:pPr>
      <w:r>
        <w:rPr>
          <w:rFonts w:ascii="Times New Roman;serif" w:hAnsi="Times New Roman;serif"/>
          <w:b w:val="false"/>
          <w:color w:val="000000"/>
          <w:sz w:val="20"/>
        </w:rPr>
        <w:t>No dividends on our common stock have previously been declared or paid, and we may not declare or pay dividends in the future. For information on our ability to pay dividends, see Item 7, “</w:t>
      </w:r>
      <w:r>
        <w:rPr>
          <w:rFonts w:ascii="Times New Roman;serif" w:hAnsi="Times New Roman;serif"/>
          <w:b w:val="false"/>
          <w:i/>
          <w:color w:val="000000"/>
          <w:sz w:val="20"/>
        </w:rPr>
        <w:t>Management's Discussion and Analysis of Financial Condition and Results of Operations - Liquidity and Capital Resources”</w:t>
      </w:r>
      <w:r>
        <w:rPr>
          <w:color w:val="000000"/>
        </w:rPr>
        <w:t xml:space="preserve"> </w:t>
      </w:r>
      <w:r>
        <w:rPr>
          <w:rFonts w:ascii="Times New Roman;serif" w:hAnsi="Times New Roman;serif"/>
          <w:b w:val="false"/>
          <w:color w:val="000000"/>
          <w:sz w:val="20"/>
        </w:rPr>
        <w:t>and Item 8, “</w:t>
      </w:r>
      <w:r>
        <w:rPr>
          <w:rFonts w:ascii="Times New Roman;serif" w:hAnsi="Times New Roman;serif"/>
          <w:b w:val="false"/>
          <w:i/>
          <w:color w:val="000000"/>
          <w:sz w:val="20"/>
        </w:rPr>
        <w:t>Financial Statements and Supplementary Data - Notes to Consolidated Financial Statements - Note 17, Regulatory Information - Dividend Restrictions.”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of NMI Holdings, Inc. common stock by us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264"/>
        <w:gridCol w:w="233"/>
        <w:gridCol w:w="233"/>
        <w:gridCol w:w="233"/>
        <w:gridCol w:w="233"/>
        <w:gridCol w:w="236"/>
        <w:gridCol w:w="619"/>
        <w:gridCol w:w="423"/>
        <w:gridCol w:w="425"/>
        <w:gridCol w:w="109"/>
        <w:gridCol w:w="109"/>
        <w:gridCol w:w="109"/>
        <w:gridCol w:w="280"/>
        <w:gridCol w:w="820"/>
        <w:gridCol w:w="144"/>
        <w:gridCol w:w="109"/>
        <w:gridCol w:w="109"/>
        <w:gridCol w:w="109"/>
        <w:gridCol w:w="885"/>
        <w:gridCol w:w="780"/>
        <w:gridCol w:w="782"/>
        <w:gridCol w:w="109"/>
        <w:gridCol w:w="109"/>
        <w:gridCol w:w="109"/>
        <w:gridCol w:w="465"/>
        <w:gridCol w:w="1822"/>
        <w:gridCol w:w="347"/>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4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Repurchased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Repurchased Under the Plans or Program </w:t>
            </w:r>
            <w:r>
              <w:rPr>
                <w:rFonts w:ascii="Times New Roman;serif" w:hAnsi="Times New Roman;serif"/>
                <w:b/>
                <w:color w:val="000000"/>
                <w:sz w:val="10"/>
              </w:rPr>
              <w:t>(1)</w:t>
            </w:r>
          </w:p>
        </w:tc>
      </w:tr>
      <w:tr>
        <w:trPr/>
        <w:tc>
          <w:tcPr>
            <w:tcW w:w="143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w:t>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10/1/2025 to 10/31/2025</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263,420 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263,420 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11/1/2025 to 11/30/2025</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242,659 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242,659 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12/1/2025 to 12/31/2025</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304,550 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304,550 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810,629 </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810,629 </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6"/>
        </w:rPr>
        <w:t>(1)    On July 31, 2023, our Board of Directors authorized a $200 million share repurchase program (the 2023 Repurchase Program), effective through December 31, 2025. On February 5, 2025, our Board of Directors authorized an additional $250 million repurchase program (the 2025 Repurchase Program), effective through December 31, 2027, and extended the effectiveness of the 2023 Repurchase Program through December 31, 2027 to align its remaining tenor with that of the 2025 Repurchase Program. See Item 8, “</w:t>
      </w:r>
      <w:r>
        <w:rPr>
          <w:rFonts w:ascii="Times New Roman;serif" w:hAnsi="Times New Roman;serif"/>
          <w:b w:val="false"/>
          <w:i/>
          <w:color w:val="000000"/>
          <w:sz w:val="16"/>
        </w:rPr>
        <w:t>Financial Statements and Supplementary Data - Notes to Consolidated Financial Statements - Note 16, Common Stock,”</w:t>
      </w:r>
      <w:r>
        <w:rPr>
          <w:color w:val="000000"/>
        </w:rPr>
        <w:t xml:space="preserve"> </w:t>
      </w:r>
      <w:r>
        <w:rPr>
          <w:rFonts w:ascii="Times New Roman;serif" w:hAnsi="Times New Roman;serif"/>
          <w:b w:val="false"/>
          <w:color w:val="000000"/>
          <w:sz w:val="16"/>
        </w:rPr>
        <w:t>for additional information.</w:t>
      </w:r>
    </w:p>
    <w:p>
      <w:pPr>
        <w:pStyle w:val="TextBody"/>
        <w:bidi w:val="0"/>
        <w:spacing w:before="0" w:after="18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Common Stock Performance Graph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on our common stock from December 31, 2020 until December 31, 2025,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pStyle w:val="TextBody"/>
        <w:bidi w:val="0"/>
        <w:spacing w:before="0" w:after="180"/>
        <w:jc w:val="both"/>
        <w:rPr/>
      </w:pPr>
      <w:r>
        <w:rPr/>
        <w:drawing>
          <wp:inline distT="0" distB="0" distL="0" distR="0">
            <wp:extent cx="6581775" cy="3009900"/>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3"/>
                    <a:stretch>
                      <a:fillRect/>
                    </a:stretch>
                  </pic:blipFill>
                  <pic:spPr bwMode="auto">
                    <a:xfrm>
                      <a:off x="0" y="0"/>
                      <a:ext cx="6581775" cy="3009900"/>
                    </a:xfrm>
                    <a:prstGeom prst="rect">
                      <a:avLst/>
                    </a:prstGeom>
                  </pic:spPr>
                </pic:pic>
              </a:graphicData>
            </a:graphic>
          </wp:inline>
        </w:drawing>
      </w:r>
    </w:p>
    <w:tbl>
      <w:tblPr>
        <w:tblW w:w="10179" w:type="dxa"/>
        <w:jc w:val="center"/>
        <w:tblInd w:w="0" w:type="dxa"/>
        <w:tblLayout w:type="fixed"/>
        <w:tblCellMar>
          <w:top w:w="28" w:type="dxa"/>
          <w:left w:w="28" w:type="dxa"/>
          <w:bottom w:w="28" w:type="dxa"/>
          <w:right w:w="28" w:type="dxa"/>
        </w:tblCellMar>
      </w:tblPr>
      <w:tblGrid>
        <w:gridCol w:w="973"/>
        <w:gridCol w:w="853"/>
        <w:gridCol w:w="858"/>
        <w:gridCol w:w="109"/>
        <w:gridCol w:w="109"/>
        <w:gridCol w:w="109"/>
        <w:gridCol w:w="109"/>
        <w:gridCol w:w="109"/>
        <w:gridCol w:w="109"/>
        <w:gridCol w:w="109"/>
        <w:gridCol w:w="109"/>
        <w:gridCol w:w="109"/>
        <w:gridCol w:w="245"/>
        <w:gridCol w:w="543"/>
        <w:gridCol w:w="127"/>
        <w:gridCol w:w="109"/>
        <w:gridCol w:w="109"/>
        <w:gridCol w:w="109"/>
        <w:gridCol w:w="109"/>
        <w:gridCol w:w="109"/>
        <w:gridCol w:w="109"/>
        <w:gridCol w:w="109"/>
        <w:gridCol w:w="283"/>
        <w:gridCol w:w="485"/>
        <w:gridCol w:w="146"/>
        <w:gridCol w:w="109"/>
        <w:gridCol w:w="283"/>
        <w:gridCol w:w="485"/>
        <w:gridCol w:w="146"/>
        <w:gridCol w:w="109"/>
        <w:gridCol w:w="245"/>
        <w:gridCol w:w="543"/>
        <w:gridCol w:w="127"/>
        <w:gridCol w:w="245"/>
        <w:gridCol w:w="543"/>
        <w:gridCol w:w="127"/>
        <w:gridCol w:w="244"/>
        <w:gridCol w:w="538"/>
        <w:gridCol w:w="178"/>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12/31/2021</w:t>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12/31/2022</w:t>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12/31/2023</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12/31/2025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 Holdings,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Small Cap 600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Peer Index (ESNT, MTG, RDN)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jc w:val="both"/>
        <w:rPr>
          <w:color w:val="000000"/>
        </w:rPr>
      </w:pPr>
      <w:r>
        <w:rPr>
          <w:color w:val="000000"/>
        </w:rPr>
        <w:t>    </w:t>
      </w:r>
      <w:r>
        <w:rPr>
          <w:rFonts w:ascii="Times New Roman;serif" w:hAnsi="Times New Roman;serif"/>
          <w:b w:val="false"/>
          <w:i/>
          <w:color w:val="000000"/>
          <w:sz w:val="20"/>
        </w:rPr>
        <w:t>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“Cautionary Note Regarding Forward-Looking Statements” and the “Glossary of Abbreviations and Acronyms”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pStyle w:val="TextBody"/>
        <w:bidi w:val="0"/>
        <w:spacing w:lineRule="auto" w:line="288" w:before="0" w:after="180"/>
        <w:ind w:left="0" w:right="0" w:firstLine="720"/>
        <w:jc w:val="both"/>
        <w:rPr/>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serif" w:hAnsi="Times New Roman;serif"/>
          <w:b w:val="false"/>
          <w:i/>
          <w:color w:val="000000"/>
          <w:sz w:val="20"/>
        </w:rPr>
        <w:t xml:space="preserve">i.e.,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2025, we had issued master policies with 2,193 customers, including national and regional mortgage banks, money center banks, credit unions, community banks, builder-owned mortgage lenders, internet-sourced lenders and other non-bank lenders. As of December 31, 2025, we had $221.4 billion of primary IIF and $59.3 billion of primary RIF.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 xml:space="preserve">pricing platform to dynamically evaluate risk and price our policies, and foster a culture of collaboration and excellence that helps us attract and retain experienced industry leaders.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common stock trades on the Nasdaq under the symbol “NMIH.” Our headquarters is located in Emeryville, California. As of December 31, 2025, we had 225 employees. Our corporate website is located at </w:t>
      </w:r>
      <w:r>
        <w:rPr>
          <w:rFonts w:ascii="Times New Roman;serif" w:hAnsi="Times New Roman;serif"/>
          <w:b w:val="false"/>
          <w:i/>
          <w:color w:val="000000"/>
          <w:sz w:val="20"/>
        </w:rPr>
        <w:t>www.nationalmi.com</w:t>
      </w:r>
      <w:r>
        <w:rPr>
          <w:rFonts w:ascii="Times New Roman;serif" w:hAnsi="Times New Roman;serif"/>
          <w:b w:val="false"/>
          <w:color w:val="000000"/>
          <w:sz w:val="20"/>
        </w:rPr>
        <w:t>. Our website and the information contained on or accessible through our website are not incorporated by reference into this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Conditions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Macroeconomic Developments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Key Factors Affecting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i/>
          <w:color w:val="000000"/>
          <w:sz w:val="20"/>
        </w:rPr>
      </w:pPr>
      <w:r>
        <w:rPr>
          <w:rFonts w:ascii="Times New Roman;serif" w:hAnsi="Times New Roman;serif"/>
          <w:b/>
          <w:i/>
          <w:color w:val="000000"/>
          <w:sz w:val="20"/>
        </w:rPr>
        <w:t>Customer Development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2025, we activated 90 lenders, compared to 118 and 70 for the years ended December 31, 2024 and 2023, respectively. We also continued to expand our business with existing customers, deepening our existing relationships and capturing what we believe to be an increasing portion of their annual MI volume. At December 31, 2025, we had issued 2,193 Master Policies, compared to 2,086 and 1,974, as of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New Insurance Written, Insurance-In-Force and Risk-In-Force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Net Premiums Written and Net Premiums Earned</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sans-serif" w:hAnsi="sans-serif"/>
          <w:b w:val="false"/>
          <w:color w:val="000000"/>
          <w:sz w:val="22"/>
        </w:rPr>
        <w:t>®</w:t>
      </w:r>
      <w:r>
        <w:rPr>
          <w:rFonts w:ascii="Times New Roman;serif" w:hAnsi="Times New Roman;serif"/>
          <w:b w:val="false"/>
          <w:color w:val="000000"/>
          <w:sz w:val="20"/>
        </w:rPr>
        <w:t>.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 We believe that the utilization of Rate GPS</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this approach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NIW;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premium rates and the mix of premium payment type, which are either single, monthly or annual premiums, as described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pStyle w:val="TextBody"/>
        <w:bidi w:val="0"/>
        <w:spacing w:before="0" w:after="18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cession of premiums under third-party reinsurance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2025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 of Reinsurance on Our Results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pStyle w:val="TextBody"/>
        <w:bidi w:val="0"/>
        <w:spacing w:lineRule="auto" w:line="288" w:before="0" w:after="198"/>
        <w:ind w:left="0" w:right="0" w:firstLine="720"/>
        <w:jc w:val="both"/>
        <w:rPr/>
      </w:pPr>
      <w:r>
        <w:rPr>
          <w:rFonts w:ascii="Times New Roman;serif" w:hAnsi="Times New Roman;serif"/>
          <w:b w:val="false"/>
          <w:color w:val="000000"/>
          <w:sz w:val="20"/>
        </w:rPr>
        <w:t>See Item 8, “</w:t>
      </w:r>
      <w:r>
        <w:rPr>
          <w:rFonts w:ascii="Times New Roman;serif" w:hAnsi="Times New Roman;serif"/>
          <w:b w:val="false"/>
          <w:i/>
          <w:color w:val="000000"/>
          <w:sz w:val="20"/>
        </w:rPr>
        <w:t>Financial Statements and Supplementary Data - Notes to Consolidated Financial Statements - Note 6, Reinsurance</w:t>
      </w:r>
      <w:r>
        <w:rPr>
          <w:color w:val="000000"/>
        </w:rPr>
        <w:t xml:space="preserve">” </w:t>
      </w:r>
      <w:r>
        <w:rPr>
          <w:rFonts w:ascii="Times New Roman;serif" w:hAnsi="Times New Roman;serif"/>
          <w:b w:val="false"/>
          <w:color w:val="000000"/>
          <w:sz w:val="20"/>
        </w:rPr>
        <w:t>for further discussion of these third-party reinsurance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Data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NIW and primary IIF as of the dates and for the periods indicated. Unless otherwise noted, the tables below do not include the effects of our third-party reinsurance arrangements described above.</w:t>
      </w:r>
    </w:p>
    <w:tbl>
      <w:tblPr>
        <w:tblW w:w="10205" w:type="dxa"/>
        <w:jc w:val="center"/>
        <w:tblInd w:w="0" w:type="dxa"/>
        <w:tblLayout w:type="fixed"/>
        <w:tblCellMar>
          <w:top w:w="28" w:type="dxa"/>
          <w:left w:w="28" w:type="dxa"/>
          <w:bottom w:w="28" w:type="dxa"/>
          <w:right w:w="28" w:type="dxa"/>
        </w:tblCellMar>
      </w:tblPr>
      <w:tblGrid>
        <w:gridCol w:w="571"/>
        <w:gridCol w:w="476"/>
        <w:gridCol w:w="480"/>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55"/>
      </w:tblGrid>
      <w:tr>
        <w:trPr/>
        <w:tc>
          <w:tcPr>
            <w:tcW w:w="5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NIW and primary IIF </w:t>
            </w:r>
          </w:p>
        </w:tc>
        <w:tc>
          <w:tcPr>
            <w:tcW w:w="81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NIW increased 6% and 14%, respectively, for the years ended December 31, 2025 and 2024, primarily due to growth in our customer franchise and market presence tied to the increased penetration of existing customer accounts and new customer activations as well as an increase in the size of the total mortgage insurance market. </w:t>
      </w:r>
    </w:p>
    <w:p>
      <w:pPr>
        <w:pStyle w:val="TextBody"/>
        <w:bidi w:val="0"/>
        <w:spacing w:before="0" w:after="18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Primary IIF increased 5% at December 31, 2025 compared to December 31, 2024, which in turn grew 7% compared to December 31, 2023, primarily due to the NIW generated between such measurement dates, partially offset by the run-off of in-force policies.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persistency rate was 83.4%, 84.6% and 86.1% at December 31, 2025, 2024 and 2023, respectively. Persistency remained historically high due to a continued slowdown in the pace of mortgage refinancing activity tied to the prevailing interest and mortgage rate environment.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premiums written and earned for the periods indicated: </w:t>
      </w:r>
    </w:p>
    <w:tbl>
      <w:tblPr>
        <w:tblW w:w="6905" w:type="dxa"/>
        <w:jc w:val="center"/>
        <w:tblInd w:w="0" w:type="dxa"/>
        <w:tblLayout w:type="fixed"/>
        <w:tblCellMar>
          <w:top w:w="28" w:type="dxa"/>
          <w:left w:w="28" w:type="dxa"/>
          <w:bottom w:w="28" w:type="dxa"/>
          <w:right w:w="28" w:type="dxa"/>
        </w:tblCellMar>
      </w:tblPr>
      <w:tblGrid>
        <w:gridCol w:w="923"/>
        <w:gridCol w:w="812"/>
        <w:gridCol w:w="815"/>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premiums written and earned</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written increased 9% and 12%, respectively, and net premiums earned increased 7% and 11%, respectively, during the years ended December 31, 2025 and 2024, primarily driven by growth in our monthly IIF and direct monthly pay premium receipts, partially offset by the impact of ceded premiums written and earned under our third-party reinsurance transactions.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noted, the portfolio statistics tables presented below do not include the effects of our third-party reinsurance arrangements described above. The table below highlights trends in our primary portfolio as of the dates and for the periods indicated. </w:t>
      </w:r>
    </w:p>
    <w:tbl>
      <w:tblPr>
        <w:tblW w:w="8470" w:type="dxa"/>
        <w:jc w:val="center"/>
        <w:tblInd w:w="0" w:type="dxa"/>
        <w:tblLayout w:type="fixed"/>
        <w:tblCellMar>
          <w:top w:w="28" w:type="dxa"/>
          <w:left w:w="28" w:type="dxa"/>
          <w:bottom w:w="28" w:type="dxa"/>
          <w:right w:w="28" w:type="dxa"/>
        </w:tblCellMar>
      </w:tblPr>
      <w:tblGrid>
        <w:gridCol w:w="1312"/>
        <w:gridCol w:w="1155"/>
        <w:gridCol w:w="1162"/>
        <w:gridCol w:w="211"/>
        <w:gridCol w:w="826"/>
        <w:gridCol w:w="271"/>
        <w:gridCol w:w="109"/>
        <w:gridCol w:w="109"/>
        <w:gridCol w:w="109"/>
        <w:gridCol w:w="211"/>
        <w:gridCol w:w="826"/>
        <w:gridCol w:w="271"/>
        <w:gridCol w:w="109"/>
        <w:gridCol w:w="109"/>
        <w:gridCol w:w="109"/>
        <w:gridCol w:w="211"/>
        <w:gridCol w:w="826"/>
        <w:gridCol w:w="271"/>
        <w:gridCol w:w="109"/>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Insurance-in-force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Risk-in-force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loan size (</w:t>
            </w:r>
            <w:r>
              <w:rPr>
                <w:rFonts w:ascii="Times New Roman;serif" w:hAnsi="Times New Roman;serif"/>
                <w:b w:val="false"/>
                <w:i/>
                <w:color w:val="000000"/>
                <w:sz w:val="20"/>
              </w:rPr>
              <w:t>$ value in thousands</w:t>
            </w:r>
            <w:r>
              <w:rPr>
                <w:rFonts w:ascii="Times New Roman;serif" w:hAnsi="Times New Roman;serif"/>
                <w:b w:val="false"/>
                <w:color w:val="000000"/>
                <w:sz w:val="2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    Defined as the percentage of IIF that remains on our books after a given twelve-month period. </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Defined as the percentage of IIF that is no longer on our books after a given three-month period. Figures shown represent fourth quarter values for the respective years.</w:t>
      </w:r>
    </w:p>
    <w:p>
      <w:pPr>
        <w:pStyle w:val="TextBody"/>
        <w:bidi w:val="0"/>
        <w:spacing w:before="0" w:after="18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table below presents a summary of the change in total primary IIF for the dates and periods indicated.</w:t>
      </w:r>
    </w:p>
    <w:tbl>
      <w:tblPr>
        <w:tblW w:w="9974" w:type="dxa"/>
        <w:jc w:val="center"/>
        <w:tblInd w:w="0" w:type="dxa"/>
        <w:tblLayout w:type="fixed"/>
        <w:tblCellMar>
          <w:top w:w="28" w:type="dxa"/>
          <w:left w:w="28" w:type="dxa"/>
          <w:bottom w:w="28" w:type="dxa"/>
          <w:right w:w="28" w:type="dxa"/>
        </w:tblCellMar>
      </w:tblPr>
      <w:tblGrid>
        <w:gridCol w:w="1719"/>
        <w:gridCol w:w="1511"/>
        <w:gridCol w:w="1525"/>
        <w:gridCol w:w="109"/>
        <w:gridCol w:w="109"/>
        <w:gridCol w:w="125"/>
        <w:gridCol w:w="125"/>
        <w:gridCol w:w="243"/>
        <w:gridCol w:w="952"/>
        <w:gridCol w:w="125"/>
        <w:gridCol w:w="125"/>
        <w:gridCol w:w="125"/>
        <w:gridCol w:w="125"/>
        <w:gridCol w:w="243"/>
        <w:gridCol w:w="952"/>
        <w:gridCol w:w="125"/>
        <w:gridCol w:w="109"/>
        <w:gridCol w:w="109"/>
        <w:gridCol w:w="109"/>
        <w:gridCol w:w="211"/>
        <w:gridCol w:w="826"/>
        <w:gridCol w:w="10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the dates indicated.</w:t>
      </w:r>
    </w:p>
    <w:tbl>
      <w:tblPr>
        <w:tblW w:w="10205" w:type="dxa"/>
        <w:jc w:val="center"/>
        <w:tblInd w:w="0" w:type="dxa"/>
        <w:tblLayout w:type="fixed"/>
        <w:tblCellMar>
          <w:top w:w="28" w:type="dxa"/>
          <w:left w:w="28" w:type="dxa"/>
          <w:bottom w:w="28" w:type="dxa"/>
          <w:right w:w="28" w:type="dxa"/>
        </w:tblCellMar>
      </w:tblPr>
      <w:tblGrid>
        <w:gridCol w:w="552"/>
        <w:gridCol w:w="485"/>
        <w:gridCol w:w="490"/>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155"/>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81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Book year</w:t>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2" w:type="dxa"/>
            <w:gridSpan w:val="4"/>
            <w:tcBorders/>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2020 and before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tables below present our NIW by FICO, LTV and purchase/refinance mix for the periods indicated. We calculate the LTV of a loan as the percentage of the original loan amount to the original purchase value of the property securing the loan.</w:t>
      </w:r>
    </w:p>
    <w:p>
      <w:pPr>
        <w:pStyle w:val="TextBody"/>
        <w:bidi w:val="0"/>
        <w:spacing w:before="0" w:after="18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tbl>
      <w:tblPr>
        <w:tblW w:w="6546"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FICO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971" w:type="dxa"/>
        <w:jc w:val="center"/>
        <w:tblInd w:w="0" w:type="dxa"/>
        <w:tblLayout w:type="fixed"/>
        <w:tblCellMar>
          <w:top w:w="28" w:type="dxa"/>
          <w:left w:w="28" w:type="dxa"/>
          <w:bottom w:w="28" w:type="dxa"/>
          <w:right w:w="28" w:type="dxa"/>
        </w:tblCellMar>
      </w:tblPr>
      <w:tblGrid>
        <w:gridCol w:w="724"/>
        <w:gridCol w:w="638"/>
        <w:gridCol w:w="647"/>
        <w:gridCol w:w="109"/>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793"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90" w:type="dxa"/>
        <w:jc w:val="center"/>
        <w:tblInd w:w="0" w:type="dxa"/>
        <w:tblLayout w:type="fixed"/>
        <w:tblCellMar>
          <w:top w:w="28" w:type="dxa"/>
          <w:left w:w="28" w:type="dxa"/>
          <w:bottom w:w="28" w:type="dxa"/>
          <w:right w:w="28" w:type="dxa"/>
        </w:tblCellMar>
      </w:tblPr>
      <w:tblGrid>
        <w:gridCol w:w="875"/>
        <w:gridCol w:w="768"/>
        <w:gridCol w:w="77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total primary IIF and RIF by FICO and LTV, and total primary RIF by loan type as of the dates indicated.</w:t>
      </w:r>
    </w:p>
    <w:tbl>
      <w:tblPr>
        <w:tblW w:w="9677" w:type="dxa"/>
        <w:jc w:val="center"/>
        <w:tblInd w:w="0" w:type="dxa"/>
        <w:tblLayout w:type="fixed"/>
        <w:tblCellMar>
          <w:top w:w="28" w:type="dxa"/>
          <w:left w:w="28" w:type="dxa"/>
          <w:bottom w:w="28" w:type="dxa"/>
          <w:right w:w="28" w:type="dxa"/>
        </w:tblCellMar>
      </w:tblPr>
      <w:tblGrid>
        <w:gridCol w:w="612"/>
        <w:gridCol w:w="539"/>
        <w:gridCol w:w="543"/>
        <w:gridCol w:w="211"/>
        <w:gridCol w:w="826"/>
        <w:gridCol w:w="109"/>
        <w:gridCol w:w="109"/>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FICO</w:t>
            </w:r>
          </w:p>
        </w:tc>
        <w:tc>
          <w:tcPr>
            <w:tcW w:w="6438"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tbl>
      <w:tblPr>
        <w:tblW w:w="9423" w:type="dxa"/>
        <w:jc w:val="center"/>
        <w:tblInd w:w="0" w:type="dxa"/>
        <w:tblLayout w:type="fixed"/>
        <w:tblCellMar>
          <w:top w:w="28" w:type="dxa"/>
          <w:left w:w="28" w:type="dxa"/>
          <w:bottom w:w="28" w:type="dxa"/>
          <w:right w:w="28" w:type="dxa"/>
        </w:tblCellMar>
      </w:tblPr>
      <w:tblGrid>
        <w:gridCol w:w="634"/>
        <w:gridCol w:w="558"/>
        <w:gridCol w:w="563"/>
        <w:gridCol w:w="211"/>
        <w:gridCol w:w="721"/>
        <w:gridCol w:w="109"/>
        <w:gridCol w:w="109"/>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FICO</w:t>
            </w:r>
          </w:p>
        </w:tc>
        <w:tc>
          <w:tcPr>
            <w:tcW w:w="6123"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618" w:type="dxa"/>
        <w:jc w:val="center"/>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6438"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33" w:type="dxa"/>
        <w:jc w:val="center"/>
        <w:tblInd w:w="0" w:type="dxa"/>
        <w:tblLayout w:type="fixed"/>
        <w:tblCellMar>
          <w:top w:w="28" w:type="dxa"/>
          <w:left w:w="28" w:type="dxa"/>
          <w:bottom w:w="28" w:type="dxa"/>
          <w:right w:w="28" w:type="dxa"/>
        </w:tblCellMar>
      </w:tblPr>
      <w:tblGrid>
        <w:gridCol w:w="602"/>
        <w:gridCol w:w="529"/>
        <w:gridCol w:w="534"/>
        <w:gridCol w:w="211"/>
        <w:gridCol w:w="721"/>
        <w:gridCol w:w="109"/>
        <w:gridCol w:w="109"/>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6123"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1545" w:type="dxa"/>
            <w:gridSpan w:val="10"/>
            <w:tcBorders/>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22" w:type="dxa"/>
        <w:jc w:val="center"/>
        <w:tblInd w:w="0" w:type="dxa"/>
        <w:tblLayout w:type="fixed"/>
        <w:tblCellMar>
          <w:top w:w="28" w:type="dxa"/>
          <w:left w:w="28" w:type="dxa"/>
          <w:bottom w:w="28" w:type="dxa"/>
          <w:right w:w="28" w:type="dxa"/>
        </w:tblCellMar>
      </w:tblPr>
      <w:tblGrid>
        <w:gridCol w:w="829"/>
        <w:gridCol w:w="729"/>
        <w:gridCol w:w="736"/>
        <w:gridCol w:w="231"/>
        <w:gridCol w:w="235"/>
        <w:gridCol w:w="271"/>
        <w:gridCol w:w="109"/>
        <w:gridCol w:w="109"/>
        <w:gridCol w:w="109"/>
        <w:gridCol w:w="231"/>
        <w:gridCol w:w="235"/>
        <w:gridCol w:w="271"/>
        <w:gridCol w:w="109"/>
        <w:gridCol w:w="109"/>
        <w:gridCol w:w="109"/>
        <w:gridCol w:w="231"/>
        <w:gridCol w:w="235"/>
        <w:gridCol w:w="271"/>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2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selected primary portfolio statistics, by book year, as of December 31, 2025.</w:t>
      </w:r>
    </w:p>
    <w:tbl>
      <w:tblPr>
        <w:tblW w:w="13566" w:type="dxa"/>
        <w:jc w:val="center"/>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Claims Paid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Default Rate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Default Rate </w:t>
            </w:r>
            <w:r>
              <w:rPr>
                <w:rFonts w:ascii="Times New Roman;serif" w:hAnsi="Times New Roman;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2016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1,455,716 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Calculated as total claims incurred (paid and reserved) divided by cumulative premiums earned, net of reinsurance.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Calculated as the number of loans in default divided by number of policies in force.</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distribution by state of our primary RIF as of the dates indicated. The distribution of our primary RIF as of December 31, 2025 is not necessarily representative of the geographic distribution we expect in the future.</w:t>
      </w:r>
    </w:p>
    <w:tbl>
      <w:tblPr>
        <w:tblW w:w="5310" w:type="dxa"/>
        <w:jc w:val="left"/>
        <w:tblInd w:w="0" w:type="dxa"/>
        <w:tblLayout w:type="fixed"/>
        <w:tblCellMar>
          <w:top w:w="28" w:type="dxa"/>
          <w:left w:w="28" w:type="dxa"/>
          <w:bottom w:w="28" w:type="dxa"/>
          <w:right w:w="28" w:type="dxa"/>
        </w:tblCellMar>
      </w:tblPr>
      <w:tblGrid>
        <w:gridCol w:w="820"/>
        <w:gridCol w:w="719"/>
        <w:gridCol w:w="726"/>
        <w:gridCol w:w="255"/>
        <w:gridCol w:w="256"/>
        <w:gridCol w:w="271"/>
        <w:gridCol w:w="109"/>
        <w:gridCol w:w="109"/>
        <w:gridCol w:w="109"/>
        <w:gridCol w:w="255"/>
        <w:gridCol w:w="256"/>
        <w:gridCol w:w="271"/>
        <w:gridCol w:w="109"/>
        <w:gridCol w:w="109"/>
        <w:gridCol w:w="109"/>
        <w:gridCol w:w="255"/>
        <w:gridCol w:w="256"/>
        <w:gridCol w:w="316"/>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Top 10 primary RIF by state </w:t>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Insurance Claims and Claim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claims and claim expenses incurred represent estimated future payments on newly defaulted insured loans and any change in our claim estimates for previously existing defaults. Claims incurred are generally affected by a variety of factors,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pStyle w:val="TextBody"/>
        <w:bidi w:val="0"/>
        <w:spacing w:before="0" w:after="18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FICO scores, with lower FICO scores tending to have a higher probability of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borrowers' DTI ratios, with higher DTI ratios tending to have a higher probability of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LTV ratios, with higher average LTV ratios tending to increase the probability of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size of loans insured, with higher loan amounts tending to result in higher incurred claim amounts than smaller loan amounts;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percentage of coverage on insured loans, with higher percentages of insurance coverage tending to result in higher incurred claim amounts than lower percentages of insurance coverage;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other borrower, property-type and loan level risk characteristics, such as cash-out refinancings, second homes or investment properties;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level and amount of reinsurance coverage maintained with third parties.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XOL Transactions and ILN Transactions as applicable under each treaty. We have not yet ceded reserves under any of the XOL Transactions or ILN Transactions as incurred claims and claim expenses on each respective reference pool remain within our retained coverage layer for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pStyle w:val="TextBody"/>
        <w:bidi w:val="0"/>
        <w:spacing w:before="0" w:after="18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9034" w:type="dxa"/>
        <w:jc w:val="left"/>
        <w:tblInd w:w="0" w:type="dxa"/>
        <w:tblLayout w:type="fixed"/>
        <w:tblCellMar>
          <w:top w:w="28" w:type="dxa"/>
          <w:left w:w="28" w:type="dxa"/>
          <w:bottom w:w="28" w:type="dxa"/>
          <w:right w:w="28" w:type="dxa"/>
        </w:tblCellMar>
      </w:tblPr>
      <w:tblGrid>
        <w:gridCol w:w="1695"/>
        <w:gridCol w:w="1488"/>
        <w:gridCol w:w="1496"/>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years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Item 8, “</w:t>
      </w:r>
      <w:r>
        <w:rPr>
          <w:rFonts w:ascii="Times New Roman;serif" w:hAnsi="Times New Roman;serif"/>
          <w:b w:val="false"/>
          <w:i/>
          <w:color w:val="000000"/>
          <w:sz w:val="16"/>
        </w:rPr>
        <w:t>Financial Statements and Supplementary Data - Notes to Consolidated Financial Statements - Note 6, 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$102.0 million attributed to net case reserves and $10.8 million attributed to net IBNR reserves for the year ended December 31, 2025, $83.5 million attributed to net case reserves and $8.1 million attributed to net IBNR reserves for the year ended December 31, 2024, and $70.6 million attributed to net case reserves and $6.3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$48.4 million attributed to net case reserves and $8.1 million attributed to net IBNR reserves for the year ended December 31, 2025, $54.1 million attributed to net case reserves and $6.3 million attributed to net IBNR reserves for the year ended December 31, 2024, and $50.9 million attributed to net case reserves and $4.5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fees of $0.8 million and $0.7 million for the years ended December 31, 2025 and 2023, respectively, incurred in connection with the termination or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and amendment of certain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$55.7 million related to prior year defaults remained as of December 31, 2025.</w:t>
      </w:r>
    </w:p>
    <w:p>
      <w:pPr>
        <w:pStyle w:val="TextBody"/>
        <w:bidi w:val="0"/>
        <w:spacing w:before="0" w:after="18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7458" w:type="dxa"/>
        <w:jc w:val="center"/>
        <w:tblInd w:w="0" w:type="dxa"/>
        <w:tblLayout w:type="fixed"/>
        <w:tblCellMar>
          <w:top w:w="28" w:type="dxa"/>
          <w:left w:w="28" w:type="dxa"/>
          <w:bottom w:w="28" w:type="dxa"/>
          <w:right w:w="28" w:type="dxa"/>
        </w:tblCellMar>
      </w:tblPr>
      <w:tblGrid>
        <w:gridCol w:w="1049"/>
        <w:gridCol w:w="920"/>
        <w:gridCol w:w="926"/>
        <w:gridCol w:w="109"/>
        <w:gridCol w:w="109"/>
        <w:gridCol w:w="234"/>
        <w:gridCol w:w="234"/>
        <w:gridCol w:w="437"/>
        <w:gridCol w:w="253"/>
        <w:gridCol w:w="234"/>
        <w:gridCol w:w="234"/>
        <w:gridCol w:w="234"/>
        <w:gridCol w:w="234"/>
        <w:gridCol w:w="437"/>
        <w:gridCol w:w="253"/>
        <w:gridCol w:w="234"/>
        <w:gridCol w:w="109"/>
        <w:gridCol w:w="109"/>
        <w:gridCol w:w="109"/>
        <w:gridCol w:w="344"/>
        <w:gridCol w:w="346"/>
        <w:gridCol w:w="15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327" w:type="dxa"/>
            <w:gridSpan w:val="7"/>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sequential increase in ending default inventory at each successive year end was primarily due to the growth and seasoning of our insured portfolio, partially offset by cure activity within our default population during the intervening periods.</w:t>
      </w:r>
    </w:p>
    <w:p>
      <w:pPr>
        <w:pStyle w:val="TextBody"/>
        <w:bidi w:val="0"/>
        <w:spacing w:lineRule="auto" w:line="276"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claims paid, before giving effect to claims ceded under the QSR Transactions for the periods indicated:</w:t>
      </w:r>
    </w:p>
    <w:tbl>
      <w:tblPr>
        <w:tblW w:w="7557" w:type="dxa"/>
        <w:jc w:val="center"/>
        <w:tblInd w:w="0" w:type="dxa"/>
        <w:tblLayout w:type="fixed"/>
        <w:tblCellMar>
          <w:top w:w="28" w:type="dxa"/>
          <w:left w:w="28" w:type="dxa"/>
          <w:bottom w:w="28" w:type="dxa"/>
          <w:right w:w="28" w:type="dxa"/>
        </w:tblCellMar>
      </w:tblPr>
      <w:tblGrid>
        <w:gridCol w:w="976"/>
        <w:gridCol w:w="860"/>
        <w:gridCol w:w="864"/>
        <w:gridCol w:w="109"/>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688" w:type="dxa"/>
            <w:gridSpan w:val="8"/>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amount paid per claim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Count includes 71, 88 and 70 claims settled without payment during the years ended December 31, 2025, 2024 and 2023, respectively.</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paid 445, 276 and 199 claims during the years ended December 31, 2025, 2024 and 2023, respectively. The number of claims paid in each year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claims severity for the years ended December 31, 2025, 2024 and 2023 was 76%, 61% and 55%, respectively. The increase in claims severity for the year ended December 31, 2025, was primarily due to an increase in the proportion of claims related to loans originated in more recent years. These loans generally have less accumulated equity than loans from earlier vintages, which typically results in higher claims payments and an increase in claims severity.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claims severity was still below long-term industry norms and benefited from the same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 </w:t>
      </w:r>
    </w:p>
    <w:p>
      <w:pPr>
        <w:pStyle w:val="TextBody"/>
        <w:bidi w:val="0"/>
        <w:spacing w:before="0" w:after="18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6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average reserve per default, before giving effect to reserves ceded under the QSR Transactions, as of the dates indicated:</w:t>
      </w:r>
    </w:p>
    <w:tbl>
      <w:tblPr>
        <w:tblW w:w="5506" w:type="dxa"/>
        <w:jc w:val="center"/>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09"/>
        <w:gridCol w:w="109"/>
        <w:gridCol w:w="109"/>
        <w:gridCol w:w="109"/>
        <w:gridCol w:w="211"/>
        <w:gridCol w:w="511"/>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IBNR </w:t>
            </w:r>
            <w:r>
              <w:rPr>
                <w:rFonts w:ascii="Times New Roman;serif" w:hAnsi="Times New Roman;serif"/>
                <w:b w:val="false"/>
                <w:color w:val="000000"/>
                <w:sz w:val="13"/>
              </w:rPr>
              <w:t>(1) (2)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Amount includes claims adjustment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Average reserve per default increased from December 31, 2024 to December 31, 2025, primarily due to changes in the composition of our default inventory as measured by the size, vintage and current estimated LTV of defaulted loans between measurement dates. Average reserves per default were further impacted by changes in observed and forecasted housing market conditions and macroeconomic factors between the measurement dates.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Average reserve per default decreased from December 31, 2023 to December 31, 2024, primarily due to an increase in the proportion of defaults that trace to storm-related activity year-on-year. We generally observe that storm-related defaults cure at higher rates than other similarly situated loans in default (in non-disaster zones) and scale our reserves accordingly. Average reserves per default were further impacted by changes in observed and forecasted housing market conditions and macroeconomic factors between the measurement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is instead primarily influenced by mortgage rates. Fluctuations in refinancing volume (driven by changes in prevailing mortgage rates) may serve to mute or magnify the seasonal effect of home purchase patterns on mortgage insurance NIW. Default experience is also subject to seasonality due to seasonal patterns in household cash flows, with certain borrowers benefiting from inflows related to bonus payments and tax refunds in the first half of the year and certain borrowers more strained in the second half of the year given the lack of these inflows and increased discretionary spending through the year-end holiday season. Housing market conditions and macroeconomic factors may serve to mute or magnify these seasonal default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GSE Oversight</w:t>
      </w:r>
    </w:p>
    <w:p>
      <w:pPr>
        <w:pStyle w:val="TextBody"/>
        <w:bidi w:val="0"/>
        <w:spacing w:lineRule="auto" w:line="288" w:before="0" w:after="180"/>
        <w:ind w:left="0" w:right="0" w:firstLine="765"/>
        <w:jc w:val="both"/>
        <w:rPr/>
      </w:pPr>
      <w:r>
        <w:rPr>
          <w:rFonts w:ascii="Times New Roman;serif" w:hAnsi="Times New Roman;serif"/>
          <w:b w:val="false"/>
          <w:color w:val="000000"/>
          <w:sz w:val="20"/>
        </w:rPr>
        <w:t>As an</w:t>
      </w:r>
      <w:r>
        <w:rPr>
          <w:color w:val="000000"/>
        </w:rPr>
        <w:t xml:space="preserve">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terms have the same meaning that such terms have in the PMIERs, as described below). The PMIERs establish operational, business, remedial and financial requirements applicable to</w:t>
      </w:r>
      <w:r>
        <w:rPr>
          <w:color w:val="000000"/>
        </w:rPr>
        <w:t xml:space="preserve">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serif" w:hAnsi="Times New Roman;serif"/>
          <w:b w:val="false"/>
          <w:i/>
          <w:color w:val="000000"/>
          <w:sz w:val="20"/>
        </w:rPr>
        <w:t xml:space="preserve">i.e., </w:t>
      </w:r>
      <w:r>
        <w:rPr>
          <w:rFonts w:ascii="Times New Roman;serif" w:hAnsi="Times New Roman;serif"/>
          <w:b w:val="false"/>
          <w:color w:val="000000"/>
          <w:sz w:val="20"/>
        </w:rPr>
        <w:t>current vs. delinquent), LTV ratio and other risk features. In general, higher-quality loans carry lower asset charges.</w:t>
      </w:r>
    </w:p>
    <w:p>
      <w:pPr>
        <w:pStyle w:val="TextBody"/>
        <w:bidi w:val="0"/>
        <w:spacing w:lineRule="auto" w:line="288" w:before="0" w:after="180"/>
        <w:ind w:left="0" w:right="0" w:firstLine="765"/>
        <w:jc w:val="both"/>
        <w:rPr/>
      </w:pPr>
      <w:r>
        <w:rPr>
          <w:rFonts w:ascii="Times New Roman;serif" w:hAnsi="Times New Roman;serif"/>
          <w:b w:val="false"/>
          <w:color w:val="000000"/>
          <w:sz w:val="20"/>
        </w:rPr>
        <w:t>Under the PMIERs,</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must maintain</w:t>
      </w:r>
      <w:r>
        <w:rPr>
          <w:color w:val="000000"/>
        </w:rPr>
        <w:t xml:space="preserve">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that equal or exceed</w:t>
      </w:r>
      <w:r>
        <w:rPr>
          <w:color w:val="000000"/>
        </w:rPr>
        <w:t xml:space="preserve">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w:t>
      </w:r>
    </w:p>
    <w:p>
      <w:pPr>
        <w:pStyle w:val="TextBody"/>
        <w:bidi w:val="0"/>
        <w:spacing w:lineRule="auto" w:line="288" w:before="0" w:after="180"/>
        <w:ind w:left="0" w:right="0" w:firstLine="765"/>
        <w:jc w:val="both"/>
        <w:rPr/>
      </w:pP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65"/>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is a function of the risk profile of an</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and considered against certain risk-based factors derived from tables set out in the PMIERs, which is then adjusted on an aggregate basis for reinsurance transactions approved by the GSEs, such as with respect to our QSR Transactions, XOL Transactions and ILN Transactions. The</w:t>
      </w:r>
      <w:r>
        <w:rPr>
          <w:color w:val="000000"/>
        </w:rPr>
        <w:t xml:space="preserv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w:t>
      </w:r>
      <w:r>
        <w:rPr>
          <w:color w:val="000000"/>
        </w:rPr>
        <w:t xml:space="preserve"> </w:t>
      </w:r>
      <w:r>
        <w:rPr>
          <w:rFonts w:ascii="Times New Roman;serif" w:hAnsi="Times New Roman;serif"/>
          <w:b w:val="false"/>
          <w:color w:val="000000"/>
          <w:sz w:val="20"/>
        </w:rPr>
        <w:t>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TextBody"/>
        <w:bidi w:val="0"/>
        <w:spacing w:before="0" w:after="18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as reported by NMIC as of the dates indicated:</w:t>
      </w:r>
    </w:p>
    <w:tbl>
      <w:tblPr>
        <w:tblW w:w="7309" w:type="dxa"/>
        <w:jc w:val="center"/>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09"/>
        <w:gridCol w:w="109"/>
        <w:gridCol w:w="109"/>
        <w:gridCol w:w="109"/>
        <w:gridCol w:w="211"/>
        <w:gridCol w:w="976"/>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were $3.5 billion at December 31, 2025, compared to $3.1 billion at December 31, 2024 and $2.7 billion at December 31, 2023. The sequential increase in </w:t>
      </w: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between the dates presented was primarily driven by NMIC's positive cash flow from operations during the intervening periods, partially offset by the payment of ordinary course dividends from NMIC to NMIH during each year. </w:t>
      </w:r>
    </w:p>
    <w:p>
      <w:pPr>
        <w:pStyle w:val="TextBody"/>
        <w:bidi w:val="0"/>
        <w:spacing w:lineRule="auto" w:line="288" w:before="0" w:after="0"/>
        <w:ind w:left="0" w:right="0" w:firstLine="720"/>
        <w:jc w:val="both"/>
        <w:rPr/>
      </w:pPr>
      <w:r>
        <w:rPr>
          <w:rFonts w:ascii="Times New Roman;serif" w:hAnsi="Times New Roman;serif"/>
          <w:b w:val="false"/>
          <w:color w:val="000000"/>
          <w:sz w:val="20"/>
        </w:rPr>
        <w:t>Net</w:t>
      </w:r>
      <w:r>
        <w:rPr>
          <w:color w:val="000000"/>
        </w:rPr>
        <w:t xml:space="preserve"> </w:t>
      </w:r>
      <w:r>
        <w:rPr>
          <w:rFonts w:ascii="Times New Roman;serif" w:hAnsi="Times New Roman;serif"/>
          <w:b w:val="false"/>
          <w:i/>
          <w:color w:val="000000"/>
          <w:sz w:val="20"/>
        </w:rPr>
        <w:t xml:space="preserve">risk-based required assets </w:t>
      </w:r>
      <w:r>
        <w:rPr>
          <w:rFonts w:ascii="Times New Roman;serif" w:hAnsi="Times New Roman;serif"/>
          <w:b w:val="false"/>
          <w:color w:val="000000"/>
          <w:sz w:val="20"/>
        </w:rPr>
        <w:t>were</w:t>
      </w:r>
      <w:r>
        <w:rPr>
          <w:color w:val="000000"/>
        </w:rPr>
        <w:t xml:space="preserve"> </w:t>
      </w:r>
      <w:r>
        <w:rPr>
          <w:rFonts w:ascii="Times New Roman;serif" w:hAnsi="Times New Roman;serif"/>
          <w:b w:val="false"/>
          <w:color w:val="000000"/>
          <w:sz w:val="20"/>
        </w:rPr>
        <w:t>$2.1 billion at December 31, 2025, compared to $1.8 billion at December 31, 2024 and $1.5 billion at December 31, 2023. The increase in the net r</w:t>
      </w:r>
      <w:r>
        <w:rPr>
          <w:rFonts w:ascii="Times New Roman;serif" w:hAnsi="Times New Roman;serif"/>
          <w:b w:val="false"/>
          <w:i/>
          <w:color w:val="000000"/>
          <w:sz w:val="20"/>
        </w:rPr>
        <w:t xml:space="preserve">isk-based required asset </w:t>
      </w:r>
      <w:r>
        <w:rPr>
          <w:rFonts w:ascii="Times New Roman;serif" w:hAnsi="Times New Roman;serif"/>
          <w:b w:val="false"/>
          <w:color w:val="000000"/>
          <w:sz w:val="20"/>
        </w:rPr>
        <w:t>amount between the dates presented</w:t>
      </w:r>
      <w:r>
        <w:rPr>
          <w:color w:val="000000"/>
        </w:rPr>
        <w:t xml:space="preserve"> </w:t>
      </w:r>
      <w:r>
        <w:rPr>
          <w:rFonts w:ascii="Times New Roman;serif" w:hAnsi="Times New Roman;serif"/>
          <w:b w:val="false"/>
          <w:color w:val="000000"/>
          <w:sz w:val="20"/>
        </w:rPr>
        <w:t xml:space="preserve">was primarily due to the growth in our gross RIF and aggregate gross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and was further impacted by the growth in our default inventory and defaulted RIF.</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 industry is highly competitive and currently consists of six private mortgage insurers, including NMIC, as well as government MIs such as the FHA, USDA or VA.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Cybersecurity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mitigate the operational impact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 For further information, see Part I, Item 1C,</w:t>
      </w:r>
      <w:r>
        <w:rPr>
          <w:color w:val="000000"/>
        </w:rPr>
        <w:t xml:space="preserve"> “</w:t>
      </w:r>
      <w:r>
        <w:rPr>
          <w:rFonts w:ascii="Times New Roman;serif" w:hAnsi="Times New Roman;serif"/>
          <w:b w:val="false"/>
          <w:i/>
          <w:color w:val="000000"/>
          <w:sz w:val="20"/>
        </w:rPr>
        <w:t>Cybersecurity.</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Information Technology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April 1, 2025, we renewed and extended our existing seven-year IT service agreement with TCS, dated March 31, 2020, through March 31, 2032. Under the agreement, TCS provides IT services across such functions as application development and support, infrastructure support, and information security. Our engagement with TCS has enhanced our ability to provide innovative IT solutions for our internal and external constituents, and has allowed us to realize cost efficiencies by leveraging TCS’s global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Comparisons between the years ended December 31, 2024 and 2023 have been omitted within “Consolidated Results of Operations” from this Form 10-K, but can be found in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in our Annual Report on Form 10-K for the year ended December 31, 2024, filed with the SEC. </w:t>
      </w:r>
    </w:p>
    <w:tbl>
      <w:tblPr>
        <w:tblW w:w="9880" w:type="dxa"/>
        <w:jc w:val="center"/>
        <w:tblInd w:w="0" w:type="dxa"/>
        <w:tblLayout w:type="fixed"/>
        <w:tblCellMar>
          <w:top w:w="28" w:type="dxa"/>
          <w:left w:w="28" w:type="dxa"/>
          <w:bottom w:w="28" w:type="dxa"/>
          <w:right w:w="28" w:type="dxa"/>
        </w:tblCellMar>
      </w:tblPr>
      <w:tblGrid>
        <w:gridCol w:w="1141"/>
        <w:gridCol w:w="1002"/>
        <w:gridCol w:w="1007"/>
        <w:gridCol w:w="211"/>
        <w:gridCol w:w="826"/>
        <w:gridCol w:w="271"/>
        <w:gridCol w:w="109"/>
        <w:gridCol w:w="109"/>
        <w:gridCol w:w="109"/>
        <w:gridCol w:w="211"/>
        <w:gridCol w:w="826"/>
        <w:gridCol w:w="271"/>
        <w:gridCol w:w="109"/>
        <w:gridCol w:w="796"/>
        <w:gridCol w:w="109"/>
        <w:gridCol w:w="109"/>
        <w:gridCol w:w="109"/>
        <w:gridCol w:w="211"/>
        <w:gridCol w:w="721"/>
        <w:gridCol w:w="109"/>
        <w:gridCol w:w="109"/>
        <w:gridCol w:w="109"/>
        <w:gridCol w:w="109"/>
        <w:gridCol w:w="216"/>
        <w:gridCol w:w="219"/>
        <w:gridCol w:w="271"/>
        <w:gridCol w:w="109"/>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216"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514" w:type="dxa"/>
            <w:gridSpan w:val="10"/>
            <w:tcBorders/>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 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Combined ratio </w:t>
            </w:r>
            <w:r>
              <w:rPr>
                <w:rFonts w:ascii="Times New Roman;serif" w:hAnsi="Times New Roman;serif"/>
                <w:b w:val="false"/>
                <w:color w:val="000000"/>
                <w:sz w:val="13"/>
              </w:rPr>
              <w:t>(3)</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731" w:type="dxa"/>
        <w:jc w:val="center"/>
        <w:tblInd w:w="0" w:type="dxa"/>
        <w:tblLayout w:type="fixed"/>
        <w:tblCellMar>
          <w:top w:w="28" w:type="dxa"/>
          <w:left w:w="28" w:type="dxa"/>
          <w:bottom w:w="28" w:type="dxa"/>
          <w:right w:w="28" w:type="dxa"/>
        </w:tblCellMar>
      </w:tblPr>
      <w:tblGrid>
        <w:gridCol w:w="907"/>
        <w:gridCol w:w="797"/>
        <w:gridCol w:w="800"/>
        <w:gridCol w:w="211"/>
        <w:gridCol w:w="826"/>
        <w:gridCol w:w="109"/>
        <w:gridCol w:w="109"/>
        <w:gridCol w:w="109"/>
        <w:gridCol w:w="109"/>
        <w:gridCol w:w="211"/>
        <w:gridCol w:w="826"/>
        <w:gridCol w:w="109"/>
        <w:gridCol w:w="109"/>
        <w:gridCol w:w="796"/>
        <w:gridCol w:w="109"/>
        <w:gridCol w:w="109"/>
        <w:gridCol w:w="109"/>
        <w:gridCol w:w="211"/>
        <w:gridCol w:w="721"/>
        <w:gridCol w:w="109"/>
        <w:gridCol w:w="109"/>
        <w:gridCol w:w="109"/>
        <w:gridCol w:w="109"/>
        <w:gridCol w:w="128"/>
        <w:gridCol w:w="128"/>
        <w:gridCol w:w="271"/>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Non-GAAP financial measures </w:t>
            </w:r>
            <w:r>
              <w:rPr>
                <w:rFonts w:ascii="Times New Roman;serif" w:hAnsi="Times New Roman;serif"/>
                <w:b/>
                <w:color w:val="000000"/>
                <w:sz w:val="10"/>
              </w:rPr>
              <w:t>(5)</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335" w:type="dxa"/>
            <w:gridSpan w:val="10"/>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Combined ratio may not foot due to rounding.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(4)    Not meaningful</w:t>
      </w:r>
    </w:p>
    <w:p>
      <w:pPr>
        <w:pStyle w:val="TextBody"/>
        <w:bidi w:val="0"/>
        <w:spacing w:lineRule="auto" w:line="288" w:before="0" w:after="180"/>
        <w:ind w:left="0" w:right="0" w:hanging="360"/>
        <w:jc w:val="both"/>
        <w:rPr/>
      </w:pPr>
      <w:r>
        <w:rPr>
          <w:rFonts w:ascii="Times New Roman;serif" w:hAnsi="Times New Roman;serif"/>
          <w:b w:val="false"/>
          <w:color w:val="000000"/>
          <w:sz w:val="16"/>
        </w:rPr>
        <w:t>(5)    See “</w:t>
      </w:r>
      <w:r>
        <w:rPr>
          <w:rFonts w:ascii="Times New Roman;serif" w:hAnsi="Times New Roman;serif"/>
          <w:b w:val="false"/>
          <w:i/>
          <w:color w:val="000000"/>
          <w:sz w:val="16"/>
        </w:rPr>
        <w:t>Explanation and Reconciliation of Our Use of Non-GAAP Financial Measures,</w:t>
      </w:r>
      <w:r>
        <w:rPr>
          <w:color w:val="000000"/>
        </w:rPr>
        <w:t xml:space="preserve">” </w:t>
      </w:r>
      <w:r>
        <w:rPr>
          <w:rFonts w:ascii="Times New Roman;serif" w:hAnsi="Times New Roman;serif"/>
          <w:b w:val="false"/>
          <w:color w:val="000000"/>
          <w:sz w:val="16"/>
        </w:rPr>
        <w:t>below.</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earned increased during the year ended December 31, 2025 primarily due to growth in our monthly IIF and direct monthly pay premium receipts, partially offset by the impact of ceded premiums under our third-party reinsurance transactions.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investment income increased during the year ended December 31, 2025 primarily due to growth in the size of our total invested asset base, as well as an increase in the book yield of our investment portfolio tied to the deployment of new cash flows and reinvestment of rolling maturities at incrementally higher rates.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pStyle w:val="TextBody"/>
        <w:bidi w:val="0"/>
        <w:spacing w:lineRule="auto" w:line="288" w:before="0" w:after="180"/>
        <w:jc w:val="both"/>
        <w:rPr/>
      </w:pPr>
      <w:r>
        <w:rPr>
          <w:color w:val="000000"/>
        </w:rPr>
        <w:t>    </w:t>
      </w:r>
      <w:r>
        <w:rPr>
          <w:rFonts w:ascii="Times New Roman;serif" w:hAnsi="Times New Roman;serif"/>
          <w:b/>
          <w:i/>
          <w:color w:val="000000"/>
          <w:sz w:val="20"/>
        </w:rPr>
        <w:t>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increased during the year ended December 31, 2025 primarily due to an increase in the number of newly defaulted loans that emerged during the year and the establishment of initial reserves against such loans, as well as an increase in the average case reserve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Underwriting and operating expenses increased marginally during the year ended December 31, 2025 primarily due to an increase in certain technology expenses and premium taxes, largely offset by a decrease in employee compensation costs, amortization and depreciation expenses, and certain contract and professional fees.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pStyle w:val="TextBody"/>
        <w:bidi w:val="0"/>
        <w:spacing w:lineRule="auto" w:line="288" w:before="0" w:after="180"/>
        <w:ind w:left="0" w:right="0" w:firstLine="720"/>
        <w:jc w:val="both"/>
        <w:rPr/>
      </w:pPr>
      <w:r>
        <w:rPr>
          <w:rFonts w:ascii="Times New Roman;serif" w:hAnsi="Times New Roman;serif"/>
          <w:b w:val="false"/>
          <w:color w:val="000000"/>
          <w:sz w:val="20"/>
        </w:rPr>
        <w:t>Interest expense primarily reflects the carrying costs of the 2024 Notes. Interest expense for the year ended December 31, 2024 includes $7.0 million of non-recurring costs related to the refinancing of the 2020 Notes and 2021 Revolving Credit Facility with the 2024 Notes and 2024 Revolving Credit Facility. For further information, see Item 8, “</w:t>
      </w:r>
      <w:r>
        <w:rPr>
          <w:rFonts w:ascii="Times New Roman;serif" w:hAnsi="Times New Roman;serif"/>
          <w:b w:val="false"/>
          <w:i/>
          <w:color w:val="000000"/>
          <w:sz w:val="20"/>
        </w:rPr>
        <w:t>Financial Statements and Supplementary Data - Notes to Consolidated Financial Statements - Note 5, Debt.</w:t>
      </w:r>
      <w:r>
        <w:rPr>
          <w:color w:val="000000"/>
        </w:rPr>
        <w:t>”</w:t>
      </w:r>
    </w:p>
    <w:p>
      <w:pPr>
        <w:pStyle w:val="TextBody"/>
        <w:bidi w:val="0"/>
        <w:spacing w:lineRule="auto" w:line="268" w:before="0" w:after="0"/>
        <w:ind w:left="0" w:right="0" w:firstLine="720"/>
        <w:jc w:val="both"/>
        <w:rPr/>
      </w:pPr>
      <w:r>
        <w:rPr>
          <w:rFonts w:ascii="Times New Roman;serif" w:hAnsi="Times New Roman;serif"/>
          <w:b w:val="false"/>
          <w:color w:val="000000"/>
          <w:sz w:val="20"/>
        </w:rPr>
        <w:t>Income tax expense increased during the year ended December 31, 2025 primarily due to the growth in our pre-tax income. As a U.S. taxpayer, we are subject to a U.S. federal corporate income tax rate of 21%. Our effective income tax rate on pre-tax income was 22.2% and 22.3% for the years ended December 31, 2025 and 2024, respectively. For further information regarding income taxes and their impact on our results of operations and financial position, see Item 8, “</w:t>
      </w:r>
      <w:r>
        <w:rPr>
          <w:rFonts w:ascii="Times New Roman;serif" w:hAnsi="Times New Roman;serif"/>
          <w:b w:val="false"/>
          <w:i/>
          <w:color w:val="000000"/>
          <w:sz w:val="20"/>
        </w:rPr>
        <w:t>Financial Statements and Supplementary Data - Notes to Consolidated Financial Statements - Note 11, Income Taxes.</w:t>
      </w:r>
      <w:r>
        <w:rPr>
          <w:color w:val="000000"/>
        </w:rPr>
        <w:t>”</w: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and adjusted net income increased during the year ended December 31, 2025 primarily due to the growth in our total revenues, partially offset by increases in our insurance claims and claim expenses and income tax expense. Adjusted net income for the year ended December 31, 2024 reflects a $7.0 million adjustment for non-recurring costs incurred in connection with the refinancing of the 2020 Notes and 2021 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and adjusted diluted EPS increased during the year ended December 31, 2025 primarily due to the growth in our net income and adjusted net income, as well as a decline in the number of weighted average diluted shares outstanding tied to share repurchase activity.</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non-GAAP financial measures of adjusted income before tax, adjusted net income and adjusted diluted EPS are presented to enhance the comparability of financial results between periods. </w:t>
      </w:r>
    </w:p>
    <w:tbl>
      <w:tblPr>
        <w:tblW w:w="10205" w:type="dxa"/>
        <w:jc w:val="left"/>
        <w:tblInd w:w="0" w:type="dxa"/>
        <w:tblLayout w:type="fixed"/>
        <w:tblCellMar>
          <w:top w:w="28" w:type="dxa"/>
          <w:left w:w="28" w:type="dxa"/>
          <w:bottom w:w="28" w:type="dxa"/>
          <w:right w:w="28" w:type="dxa"/>
        </w:tblCellMar>
      </w:tblPr>
      <w:tblGrid>
        <w:gridCol w:w="1326"/>
        <w:gridCol w:w="1164"/>
        <w:gridCol w:w="1167"/>
        <w:gridCol w:w="211"/>
        <w:gridCol w:w="826"/>
        <w:gridCol w:w="109"/>
        <w:gridCol w:w="109"/>
        <w:gridCol w:w="109"/>
        <w:gridCol w:w="109"/>
        <w:gridCol w:w="211"/>
        <w:gridCol w:w="826"/>
        <w:gridCol w:w="109"/>
        <w:gridCol w:w="109"/>
        <w:gridCol w:w="796"/>
        <w:gridCol w:w="109"/>
        <w:gridCol w:w="109"/>
        <w:gridCol w:w="109"/>
        <w:gridCol w:w="211"/>
        <w:gridCol w:w="721"/>
        <w:gridCol w:w="109"/>
        <w:gridCol w:w="109"/>
        <w:gridCol w:w="109"/>
        <w:gridCol w:w="109"/>
        <w:gridCol w:w="264"/>
        <w:gridCol w:w="266"/>
        <w:gridCol w:w="316"/>
        <w:gridCol w:w="109"/>
        <w:gridCol w:w="109"/>
        <w:gridCol w:w="109"/>
        <w:gridCol w:w="156"/>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Financial Measure Reconciliations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656" w:type="dxa"/>
            <w:gridSpan w:val="10"/>
            <w:tcBorders/>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(benefit) expense on adjustments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Not meaningful.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Explanation and Reconciliation of Our Use of 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use of the non-GAAP measures of adjusted income before tax, adjusted net income and adjusted diluted EPS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 </w:t>
      </w:r>
    </w:p>
    <w:p>
      <w:pPr>
        <w:pStyle w:val="TextBody"/>
        <w:bidi w:val="0"/>
        <w:spacing w:lineRule="auto" w:line="288" w:before="0" w:after="180"/>
        <w:ind w:left="0" w:right="0" w:firstLine="720"/>
        <w:jc w:val="both"/>
        <w:rPr/>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180"/>
        <w:ind w:left="0" w:right="0" w:firstLine="720"/>
        <w:jc w:val="both"/>
        <w:rPr/>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ind w:left="0" w:right="0" w:firstLine="720"/>
        <w:jc w:val="both"/>
        <w:rPr/>
      </w:pPr>
      <w:r>
        <w:rPr>
          <w:rFonts w:ascii="Times New Roman;serif" w:hAnsi="Times New Roman;serif"/>
          <w:b/>
          <w:color w:val="000000"/>
          <w:sz w:val="20"/>
        </w:rPr>
        <w:t>Adjusted diluted EPS</w:t>
      </w:r>
      <w:r>
        <w:rPr>
          <w:color w:val="000000"/>
        </w:rPr>
        <w:t xml:space="preserve">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Capital markets transaction costs</w:t>
      </w:r>
      <w:r>
        <w:rPr>
          <w:rFonts w:ascii="Times New Roman;serif" w:hAnsi="Times New Roman;serif"/>
          <w:b w:val="false"/>
          <w:color w:val="000000"/>
          <w:sz w:val="20"/>
        </w:rPr>
        <w:t>.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xml:space="preserve">. 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2021,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 </w:t>
      </w:r>
    </w:p>
    <w:tbl>
      <w:tblPr>
        <w:tblW w:w="10157" w:type="dxa"/>
        <w:jc w:val="left"/>
        <w:tblInd w:w="0" w:type="dxa"/>
        <w:tblLayout w:type="fixed"/>
        <w:tblCellMar>
          <w:top w:w="28" w:type="dxa"/>
          <w:left w:w="28" w:type="dxa"/>
          <w:bottom w:w="28" w:type="dxa"/>
          <w:right w:w="28" w:type="dxa"/>
        </w:tblCellMar>
      </w:tblPr>
      <w:tblGrid>
        <w:gridCol w:w="1467"/>
        <w:gridCol w:w="1288"/>
        <w:gridCol w:w="1295"/>
        <w:gridCol w:w="244"/>
        <w:gridCol w:w="1130"/>
        <w:gridCol w:w="126"/>
        <w:gridCol w:w="109"/>
        <w:gridCol w:w="109"/>
        <w:gridCol w:w="109"/>
        <w:gridCol w:w="244"/>
        <w:gridCol w:w="1130"/>
        <w:gridCol w:w="126"/>
        <w:gridCol w:w="109"/>
        <w:gridCol w:w="109"/>
        <w:gridCol w:w="109"/>
        <w:gridCol w:w="211"/>
        <w:gridCol w:w="826"/>
        <w:gridCol w:w="109"/>
        <w:gridCol w:w="109"/>
        <w:gridCol w:w="109"/>
        <w:gridCol w:w="109"/>
        <w:gridCol w:w="218"/>
        <w:gridCol w:w="218"/>
        <w:gridCol w:w="54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portfolio</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increased at December 31, 2025 with the addition of incremental cash provided by operating activities and a decrease in the unrealized loss position of our fixed income portfolio primarily tied to changes in interest rates during the year ended December 31, 2025, partially offset by share repurchase activity during the period. Cash and investments at December 31, 2025 included $130.6 million held by NMIH.</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policy acquisition costs increased at December 31, 2025 due to the deferral of certain costs associated with the origination of new policies, largely offset by the recognition of previously deferred policy acquisition costs during the year ended December 31, 2025.</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software and equipment decreased at December 31, 2025 due to the amortization of previously capitalized amounts, partially offset by the capitalization of certain software and equipment expenditures during the year ended December 31, 2025.</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increased at December 31, 2025 as a result of an increase in ceded losses recoverable under our QSR Transactions tied to an increase in our gross reserve for insurance claims and claim expenses during the year ended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December 31, 2025, partially offset by the settlement of loss recoverable in conjunction with the termination and amendment of certain QSR transactions.</w:t>
      </w:r>
    </w:p>
    <w:p>
      <w:pPr>
        <w:pStyle w:val="TextBody"/>
        <w:bidi w:val="0"/>
        <w:spacing w:lineRule="auto" w:line="288" w:before="100" w:after="180"/>
        <w:ind w:left="0" w:right="0" w:firstLine="720"/>
        <w:jc w:val="both"/>
        <w:rPr/>
      </w:pPr>
      <w:r>
        <w:rPr>
          <w:rFonts w:ascii="Times New Roman;serif" w:hAnsi="Times New Roman;serif"/>
          <w:b w:val="false"/>
          <w:color w:val="000000"/>
          <w:sz w:val="20"/>
        </w:rPr>
        <w:t>Prepaid federal income taxes increased at December 31, 2025 due to the purchase of $78.1 million of tax and loss bonds during the year ended December 31, 2025. For further information, see Item 8, “</w:t>
      </w:r>
      <w:r>
        <w:rPr>
          <w:rFonts w:ascii="Times New Roman;serif" w:hAnsi="Times New Roman;serif"/>
          <w:b w:val="false"/>
          <w:i/>
          <w:color w:val="000000"/>
          <w:sz w:val="20"/>
        </w:rPr>
        <w:t>Financial Statements and Supplementary Data - Notes to Consolidated Financial Statements - Note 11, Income Taxes.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increased at December 31, 2025 primarily due to an increase in accrued investment income and income taxes receivable, partially offset by a reduction in our ROU assets tied to the amortization of the operating lease for our corporate headquarters and the amortization of deferred debt issuance costs incurred in connection with the establishment of the 2024 Revolving Credit Facility during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Unearned premiums decreased at December 31, 2025 driven by the amortization of existing unearned premiums through earnings in accordance with the expiration of risk on related single premium policies and the cancellations of other single premium policies, partially offset by single premium policy originations during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decreased at December 31, 2025 primarily due to a reduction in accrued interest on the 2024 Notes, which is payable semi-annually beginning in February 2025, a decrease in taxes payable and the settlement of previously accrued compensation expenses, partially offset by an increase in reinsurance premiums payable during the year ended December 31,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Reserve for insurance claims and claim expenses increased at December 31, 2025 in connection with the establishment of initial reserves on newly defaulted loans, as well as an increase in the average case reserve held against previously defaulted loans that aged in their delinquency status during the year ended December 31, 2025.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year. See “</w:t>
      </w:r>
      <w:r>
        <w:rPr>
          <w:rFonts w:ascii="Times New Roman;serif" w:hAnsi="Times New Roman;serif"/>
          <w:b w:val="false"/>
          <w:i/>
          <w:color w:val="000000"/>
          <w:sz w:val="20"/>
        </w:rPr>
        <w:t>Insurance Claims and Claim Expenses</w:t>
      </w:r>
      <w:r>
        <w:rPr>
          <w:rFonts w:ascii="Times New Roman;serif" w:hAnsi="Times New Roman;serif"/>
          <w:b w:val="false"/>
          <w:color w:val="000000"/>
          <w:sz w:val="20"/>
        </w:rPr>
        <w:t>,” above</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0"/>
        <w:ind w:left="0" w:right="0" w:firstLine="720"/>
        <w:jc w:val="both"/>
        <w:rPr/>
      </w:pPr>
      <w:r>
        <w:rPr>
          <w:rFonts w:ascii="Times New Roman;serif" w:hAnsi="Times New Roman;serif"/>
          <w:b w:val="false"/>
          <w:color w:val="000000"/>
          <w:sz w:val="20"/>
        </w:rPr>
        <w:t>Net deferred tax liability increased at December 31, 2025 due to an increase in the claimed deductibility of our statutory contingency reserve, as well as a decrease in the aggregate unrealized loss position of our fixed income portfolio recorded in other comprehensive income during the year ended December 31, 2025. For further information regarding income taxes and their impact on our results of operations and financial position, see Item 8, “</w:t>
      </w:r>
      <w:r>
        <w:rPr>
          <w:rFonts w:ascii="Times New Roman;serif" w:hAnsi="Times New Roman;serif"/>
          <w:b w:val="false"/>
          <w:i/>
          <w:color w:val="000000"/>
          <w:sz w:val="20"/>
        </w:rPr>
        <w:t>Financial Statements and Supplementary Data - Notes to Consolidated Financial Statements - Note 11, Income Taxes.</w:t>
      </w:r>
      <w:r>
        <w:rPr>
          <w:color w:val="000000"/>
        </w:rPr>
        <w:t>”</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tbl>
      <w:tblPr>
        <w:tblW w:w="9900" w:type="dxa"/>
        <w:jc w:val="center"/>
        <w:tblInd w:w="0" w:type="dxa"/>
        <w:tblLayout w:type="fixed"/>
        <w:tblCellMar>
          <w:top w:w="28" w:type="dxa"/>
          <w:left w:w="28" w:type="dxa"/>
          <w:bottom w:w="28" w:type="dxa"/>
          <w:right w:w="28" w:type="dxa"/>
        </w:tblCellMar>
      </w:tblPr>
      <w:tblGrid>
        <w:gridCol w:w="1265"/>
        <w:gridCol w:w="1112"/>
        <w:gridCol w:w="1117"/>
        <w:gridCol w:w="211"/>
        <w:gridCol w:w="826"/>
        <w:gridCol w:w="109"/>
        <w:gridCol w:w="109"/>
        <w:gridCol w:w="109"/>
        <w:gridCol w:w="109"/>
        <w:gridCol w:w="211"/>
        <w:gridCol w:w="826"/>
        <w:gridCol w:w="109"/>
        <w:gridCol w:w="109"/>
        <w:gridCol w:w="796"/>
        <w:gridCol w:w="109"/>
        <w:gridCol w:w="109"/>
        <w:gridCol w:w="109"/>
        <w:gridCol w:w="211"/>
        <w:gridCol w:w="721"/>
        <w:gridCol w:w="109"/>
        <w:gridCol w:w="109"/>
        <w:gridCol w:w="109"/>
        <w:gridCol w:w="109"/>
        <w:gridCol w:w="215"/>
        <w:gridCol w:w="220"/>
        <w:gridCol w:w="271"/>
        <w:gridCol w:w="109"/>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cash flows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489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14" w:type="dxa"/>
            <w:gridSpan w:val="10"/>
            <w:tcBorders/>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(42,381)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year-on-year primarily due to an increase in our net premium receipts, growth in our investment income and a reduction in the purchase of tax and loss bonds, partially offset by an increase in cash taxes paid, an increase in the interest payments made on the 2024 Notes and an increase in net claims paid during the year.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years ended December 31, 2025 and 2024 reflects the purchase of fixed and short-term maturities with cash provided by operating activities, and the reinvestment of coupon payments, maturities, redemptions and sales proceeds within our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primarily relates to the repurchase of common stock and taxes paid on the net share settlement of equity awards for certain employees. Cash used in financing activities for the year ended December 31, 2024 further reflects the net impact of the issuance of the 2024 Notes and redemption of the 2020 Notes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of December 31, 2025, NMIH had $130.6 million of cash, cash equivalents and investments. NMIH</w:t>
      </w:r>
      <w:r>
        <w:rPr>
          <w:color w:val="000000"/>
        </w:rPr>
        <w:t>’</w:t>
      </w:r>
      <w:r>
        <w:rPr>
          <w:rFonts w:ascii="Times New Roman;serif" w:hAnsi="Times New Roman;serif"/>
          <w:b w:val="false"/>
          <w:color w:val="000000"/>
          <w:sz w:val="20"/>
        </w:rPr>
        <w:t>s principal sources of net cash are dividends from its subsidiaries and investment income. NMIC paid a $98.4 million ordinary course dividend to NMIH on June 2, 2025, representing its full ordinary course dividend capacity payable under Wisconsin insurance laws for the twelve-month period ending December 31, 2025. NMIH also has access to $250 million of undrawn revolving credit capacity under the 2024 Revolving Credit Facility.</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2023, our Board of Directors authorized a $200 million repurchase program (the 2023 Repurchase Program), effective through December 31, 2025. On February 5, 2025, our Board of Directors authorized a new $250 million repurchase program (the 2025 Repurchase Program), effective through December 31, 2027, and extended the effectiveness of the 2023 Repurchase Program through December 31, 2027 to align its remaining tenor with that of the 2025 Repurchase Program. The authorizations provide NMIH with the flexibility, based on market and business conditions, stock price and other factors, to repurchase stock, from time to time, through open market repurchases, privately negotiated transactions, or other means, including pursuant to Rule 10b5-1 trading plans.</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NMIH repurchased 2.8 million shares of common stock at a total cost of $104.2 million, excluding associated costs and applicable taxes. As of December 31, 2025, NMIH had $225.9 million of repurchase authority remaining.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NMIH is required to pay a quarterly commitment fee on the average daily undrawn amount of 0.175% to 0.525%, based on the applicable corporate credit rating at the time. As of December 31, 2025, the applicable commitment fee was 0.225%.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by the GSEs. Under Wisconsin insurance laws, NMIC and Re One may pay dividends up to specified levels (i.e., “ordinary” dividends) with 30 days' prior notice to the Wisconsin OCI. Dividends in larger amounts, or “extraordinary” dividends, are subject to the Wisconsin OCI's prior approval. Under Wisconsin insurance laws, an ordinary dividend is defined as any payment or distribution that, together with other dividends and distributions made within the preceding twelve months, is less than the lesser of (i) 10% of the insurer's statutory policyholders' surplus as of the preceding December 31 or (ii) adjusted statutory net income for the twelve-month period ending the preceding December 31. During the year ended December 31, 2025, NMIC paid a $98.4 million ordinary dividend to NMIH. NMIC has the capacity to pay aggregate ordinary dividends of $101.0 million to NMIH during the twelve-month period ending December 31, 2026.</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pStyle w:val="TextBody"/>
        <w:bidi w:val="0"/>
        <w:spacing w:lineRule="auto" w:line="276" w:before="0" w:after="180"/>
        <w:ind w:left="0" w:right="0" w:firstLine="720"/>
        <w:jc w:val="both"/>
        <w:rPr/>
      </w:pPr>
      <w:r>
        <w:rPr>
          <w:rFonts w:ascii="Times New Roman;serif" w:hAnsi="Times New Roman;serif"/>
          <w:b w:val="false"/>
          <w:color w:val="000000"/>
          <w:sz w:val="20"/>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serif" w:hAnsi="Times New Roman;serif"/>
          <w:b w:val="false"/>
          <w:i/>
          <w:color w:val="000000"/>
          <w:sz w:val="20"/>
        </w:rPr>
        <w:t>minimum required asset</w:t>
      </w:r>
      <w:r>
        <w:rPr>
          <w:color w:val="000000"/>
        </w:rPr>
        <w:t xml:space="preserve"> </w:t>
      </w:r>
      <w:r>
        <w:rPr>
          <w:rFonts w:ascii="Times New Roman;serif" w:hAnsi="Times New Roman;serif"/>
          <w:b w:val="false"/>
          <w:color w:val="000000"/>
          <w:sz w:val="20"/>
        </w:rPr>
        <w:t>thresholds under the PMIERs and minimum state capital requirements (respectively, as defined therein).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subject to a minimum floor of $400 million.</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NMIC’s PMIERs minimum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is also adjusted for its reinsurance transactions (as approved by the GSEs). Under NMIC’s quota share reinsurance treaties, it receives credit for the PMIERs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on ceded RIF. As its gross PMIERs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on ceded RIF increases, the PMIERs credit for ceded RIF automatically increases as well (in an unlimited amount). Under NMIC’s ILN and XOL Transactions, it generally receives credit for the PMIERs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on ceded RIF to the extent such requirement is within the subordinated coverage (excess of loss detachment threshold) afforded by the transaction.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On August 21, 2024, the GSEs and FHFA updated PMIERs to revise the Available Asset credit mortgage insurers will receive for certain assets based on several factors, including asset class and credit rating. The updated PMIERs took effect on a phased basis on March 31, 2025 and will be fully implemented on September 30, 2026. We do not expect the updated PMIERs to have a material impact on our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risk-based required assets</w:t>
      </w:r>
      <w:r>
        <w:rPr>
          <w:rFonts w:ascii="Times New Roman;serif" w:hAnsi="Times New Roman;serif"/>
          <w:b w:val="false"/>
          <w:color w:val="000000"/>
          <w:sz w:val="20"/>
        </w:rPr>
        <w:t>, and we expect to remain in full compliance with the existing and updated PMIERs, as applicable, prior to, on and after September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NMIC had a RTC ratio of 13.0:1 with $42.4 billion of primary RIF, net of reinsurance, and $3.3 billion of total statutory capital, including contingency reserves. Re One has no RIF remaining and no longer reports a RTC ratio.</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2025, NMIC had $3.0 billion of cash and investments, including $15.0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2025, NMIC generated $414 million of cash flow from operations and received an additional $425 million of cash flow on the maturities, redemptions and sales of securities held in its investment portfolio. NMIC is not a party to any contracts (derivative or otherwise) that require it to post an increasing amount of collateral to any counterparty and NMIC’s principal liquidity demands (other than claims payments) generally develop along a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0"/>
        </w:rPr>
        <w:t>scheduled path (</w:t>
      </w:r>
      <w:r>
        <w:rPr>
          <w:rFonts w:ascii="Times New Roman;serif" w:hAnsi="Times New Roman;serif"/>
          <w:b w:val="false"/>
          <w:i/>
          <w:color w:val="000000"/>
          <w:sz w:val="20"/>
        </w:rPr>
        <w:t>i.e.</w:t>
      </w:r>
      <w:r>
        <w:rPr>
          <w:rFonts w:ascii="Times New Roman;serif" w:hAnsi="Times New Roman;serif"/>
          <w:b w:val="false"/>
          <w:color w:val="000000"/>
          <w:sz w:val="20"/>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available at both NMIH and NMIC to meet our operating cash and capital obligations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 and Financial Strength Ratings</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NMIC’s financial strength is rated “A” by Fitch Ratings (Fitch), “A3” by Moody’s, and “A-” by S&amp;P. NMIH’s 2024 Notes are rated “BBB” by Fitch and “Baa3” by Moody’s. The outlook for all ratings provided by Moody’s is positive and the outlook for all ratings provided by Fitch and S&amp;P is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Consolidated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comprised entirely of fixed maturity instruments. As of December 31, 2025, the fair value of our investment portfolio was $3.1 billion and we held an additional $43.9 million of cash and cash equivalents. Pre-tax book yield on the investment portfolio for the year ended December 31, 2025 was 3.3%.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breakdown of our investment portfolio and cash and cash equivalents by investment type and credit rating: </w:t>
      </w:r>
    </w:p>
    <w:tbl>
      <w:tblPr>
        <w:tblW w:w="8997" w:type="dxa"/>
        <w:jc w:val="left"/>
        <w:tblInd w:w="0" w:type="dxa"/>
        <w:tblLayout w:type="fixed"/>
        <w:tblCellMar>
          <w:top w:w="28" w:type="dxa"/>
          <w:left w:w="28" w:type="dxa"/>
          <w:bottom w:w="28" w:type="dxa"/>
          <w:right w:w="28" w:type="dxa"/>
        </w:tblCellMar>
      </w:tblPr>
      <w:tblGrid>
        <w:gridCol w:w="2036"/>
        <w:gridCol w:w="1789"/>
        <w:gridCol w:w="1800"/>
        <w:gridCol w:w="334"/>
        <w:gridCol w:w="334"/>
        <w:gridCol w:w="832"/>
        <w:gridCol w:w="109"/>
        <w:gridCol w:w="109"/>
        <w:gridCol w:w="109"/>
        <w:gridCol w:w="314"/>
        <w:gridCol w:w="314"/>
        <w:gridCol w:w="917"/>
      </w:tblGrid>
      <w:tr>
        <w:trP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Percentage of portfolio's fair value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642" w:type="dxa"/>
        <w:jc w:val="center"/>
        <w:tblInd w:w="0" w:type="dxa"/>
        <w:tblLayout w:type="fixed"/>
        <w:tblCellMar>
          <w:top w:w="28" w:type="dxa"/>
          <w:left w:w="28" w:type="dxa"/>
          <w:bottom w:w="28" w:type="dxa"/>
          <w:right w:w="28" w:type="dxa"/>
        </w:tblCellMar>
      </w:tblPr>
      <w:tblGrid>
        <w:gridCol w:w="1185"/>
        <w:gridCol w:w="1039"/>
        <w:gridCol w:w="1046"/>
        <w:gridCol w:w="334"/>
        <w:gridCol w:w="334"/>
        <w:gridCol w:w="832"/>
        <w:gridCol w:w="109"/>
        <w:gridCol w:w="109"/>
        <w:gridCol w:w="109"/>
        <w:gridCol w:w="314"/>
        <w:gridCol w:w="314"/>
        <w:gridCol w:w="917"/>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portfolio ratings at fair value </w:t>
            </w:r>
            <w:r>
              <w:rPr>
                <w:rFonts w:ascii="Times New Roman;serif" w:hAnsi="Times New Roman;serif"/>
                <w:b/>
                <w:color w:val="000000"/>
                <w:sz w:val="10"/>
              </w:rPr>
              <w:t>(1)</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AAA </w:t>
            </w:r>
            <w:r>
              <w:rPr>
                <w:rFonts w:ascii="Times New Roman;serif" w:hAnsi="Times New Roman;serif"/>
                <w:b w:val="false"/>
                <w:color w:val="000000"/>
                <w:sz w:val="13"/>
              </w:rPr>
              <w:t>(2)</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 </w:t>
            </w:r>
            <w:r>
              <w:rPr>
                <w:rFonts w:ascii="Times New Roman;serif" w:hAnsi="Times New Roman;serif"/>
                <w:b w:val="false"/>
                <w:color w:val="000000"/>
                <w:sz w:val="13"/>
              </w:rPr>
              <w:t>(3)</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 </w:t>
            </w:r>
            <w:r>
              <w:rPr>
                <w:rFonts w:ascii="Times New Roman;serif" w:hAnsi="Times New Roman;serif"/>
                <w:b w:val="false"/>
                <w:color w:val="000000"/>
                <w:sz w:val="13"/>
              </w:rPr>
              <w:t>(3)</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BBB </w:t>
            </w:r>
            <w:r>
              <w:rPr>
                <w:rFonts w:ascii="Times New Roman;serif" w:hAnsi="Times New Roman;serif"/>
                <w:b w:val="false"/>
                <w:color w:val="000000"/>
                <w:sz w:val="13"/>
              </w:rPr>
              <w:t>(3)</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 </w:t>
            </w:r>
            <w:r>
              <w:rPr>
                <w:rFonts w:ascii="Times New Roman;serif" w:hAnsi="Times New Roman;serif"/>
                <w:b w:val="false"/>
                <w:color w:val="000000"/>
                <w:sz w:val="13"/>
              </w:rPr>
              <w:t>(4)</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Excluding certain operating cash accounts.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short-term securities rated A-1+.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 ratings.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We held one security with a BB rating at December 31, 2024, which is not identifiable in the table due to rounding.</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investments are rated by one or more nationally recognized statistical rating organizations. If three or more ratings are available, we assign the middle rating for classification purposes, otherwise we assign the lowest rating.</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 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 allowance for credit loss for any security in the investment portfolio as of December 31, 2025 or 2024, and we did not record any provision for credit loss for investment securities during the years ended December 31, 2025, 2024 or 2023.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investment portfolio had gross unrealized losses of $86.3 million, of which $84.3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December 31, 2025,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2025 are not indicative of the ultimate collectability of the current amortized cost of the securities. Rather, the unrealized losses on securities held as of December 31, 2025 were primarily driven by fluctuations in interest rates, and to a lesser extent, movements in credit spreads following the purchase of those securities.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U.S. taxpayer and are subject to a statutory U.S. federal corporate income tax rate of 21%. Our holding company files a consolidated U.S. federal and various state income tax returns on behalf of itself and its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on pre-tax income was 22.2%, 22.3% and 22.0% for the years ended December 31, 2025, 2024 and 2023, respectively. Our effective income tax rate may vary from the statutory tax rate in a given period due to the inclusions and exclusions of income and deductions for tax purposes. Inclusions of tax deductions may include tax benefits from excess share-based compensation for vested RSUs and exercised stock options.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a federal net operating loss carryforward of $0.7 million, which expires in varying amounts in 2030 and 2031, and state net operating loss carryforwards of $133.1 million, which begin to expire in varying amounts in 2032. Our ability to utilize our remaining federal net operating loss carryforward is restricted by Section 382 of the Internal Revenue Code (IRC), which imposes annual utilization limitations in the event of an “ownership change.” As a result of the acquisition of our insurance subsidiaries in 2012, $7.3 million of federal net operating losses were subject to annual utilization limitations of $0.8 million through 2016, $0.5 million in 2017 and $0.3 million, thereafter through 2028. Our remaining federal net operating loss carryforward balance is a result of this limitation.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2025, we held $400.3 million of tax and loss bonds in “</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a valuation allowance against the state net operating losses generated by NMIH as NMIH has historically operated at a loss, and we do not expect to utilize such net deferred tax assets in the future. We continue to evaluate the realizability of our state net deferred tax asset position, and our examination of results through December 31, 2025 and review of future expectations support the continued application of a valuation allowance against such state net deferred tax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estimates that management believes are critical to the preparation of our consolidated financial statements is set forth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Insurance Premium Revenue Recognition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for primary mortgage insurance policies may be paid on a single, monthly or annual premium basis,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which is derived on an individual policy basis primarily from the term, original LTV and interest rate of the underlying insured mortgage.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Reserve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establish reserves for claims based on our best estimate of the ultimate claim costs for defaulted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reserves. We also establish reserves for claim expenses, which represent the estimated cost of the claim administration process, including legal and other fees, as well as other general expenses of administering the claim settlement process.</w:t>
      </w:r>
      <w:r>
        <w:rPr>
          <w:color w:val="000000"/>
        </w:rPr>
        <w:t xml:space="preserve"> </w:t>
      </w:r>
      <w:r>
        <w:rPr>
          <w:rFonts w:ascii="Times New Roman;serif" w:hAnsi="Times New Roman;serif"/>
          <w:b w:val="false"/>
          <w:color w:val="000000"/>
          <w:sz w:val="20"/>
        </w:rPr>
        <w:t>Claim expense reserves are either allocated (</w:t>
      </w:r>
      <w:r>
        <w:rPr>
          <w:rFonts w:ascii="Times New Roman;serif" w:hAnsi="Times New Roman;serif"/>
          <w:b w:val="false"/>
          <w:i/>
          <w:color w:val="000000"/>
          <w:sz w:val="20"/>
        </w:rPr>
        <w:t>i.e.</w:t>
      </w:r>
      <w:r>
        <w:rPr>
          <w:rFonts w:ascii="Times New Roman;serif" w:hAnsi="Times New Roman;serif"/>
          <w:b w:val="false"/>
          <w:color w:val="000000"/>
          <w:sz w:val="20"/>
        </w:rPr>
        <w:t>, associated with a specific claim) or unallocated (</w:t>
      </w:r>
      <w:r>
        <w:rPr>
          <w:rFonts w:ascii="Times New Roman;serif" w:hAnsi="Times New Roman;serif"/>
          <w:b w:val="false"/>
          <w:i/>
          <w:color w:val="000000"/>
          <w:sz w:val="20"/>
        </w:rPr>
        <w:t>i.e.</w:t>
      </w:r>
      <w:r>
        <w:rPr>
          <w:rFonts w:ascii="Times New Roman;serif" w:hAnsi="Times New Roman;serif"/>
          <w:b w:val="false"/>
          <w:color w:val="000000"/>
          <w:sz w:val="20"/>
        </w:rPr>
        <w:t xml:space="preserve">, not associated with a specific claim).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establishment of claims and claim expense reserves is subject to inherent uncertainty and requires significant judgment by management.</w:t>
      </w:r>
      <w:r>
        <w:rPr>
          <w:color w:val="000000"/>
        </w:rPr>
        <w:t xml:space="preserve"> </w:t>
      </w:r>
      <w:r>
        <w:rPr>
          <w:rFonts w:ascii="Times New Roman;serif" w:hAnsi="Times New Roman;serif"/>
          <w:b w:val="false"/>
          <w:color w:val="000000"/>
          <w:sz w:val="20"/>
        </w:rPr>
        <w:t>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 assumptions about the path of certain economic factors, such as house price appreciation, trends in unemployment and mortgage rates.</w:t>
      </w:r>
      <w:r>
        <w:rPr>
          <w:color w:val="000000"/>
        </w:rPr>
        <w:t xml:space="preserve"> </w:t>
      </w:r>
      <w:r>
        <w:rPr>
          <w:rFonts w:ascii="Times New Roman;serif" w:hAnsi="Times New Roman;serif"/>
          <w:b w:val="false"/>
          <w:color w:val="000000"/>
          <w:sz w:val="20"/>
        </w:rPr>
        <w:t xml:space="preserve">We consider the appropriateness of such inputs at each fiscal quarter and conduct an actuarial review annually to evaluate and, if necessary, update these assumptions. </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a relatively small change in our estimates of claim frequency or claim severity could have a material impact on our reserve position and our consolidated results of operations, even in a stable macroeconomic environment. At December 31, 2025, assuming all other estimates remain constant, a one percentage point increase/decrease in our average claim frequency factor would have caused approximately a +/- $6.3 million change in our reserve position and a one percentage point increase/decrease in our average claim severity factor would have caused approximately a +/- $1.8 million change in our reserve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risk via a defined investment policy implemented by our treasury function with oversight from our Board's Risk Committee. Important drivers of our market risk exposure monitored and managed by us include but are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to the level of interest rates</w:t>
      </w:r>
      <w:r>
        <w:rPr>
          <w:rFonts w:ascii="Times New Roman;serif" w:hAnsi="Times New Roman;serif"/>
          <w:b w:val="false"/>
          <w:color w:val="000000"/>
          <w:sz w:val="20"/>
        </w:rPr>
        <w:t xml:space="preserve">. 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Changes to the term structure of interest rates</w:t>
      </w:r>
      <w:r>
        <w:rPr>
          <w:rFonts w:ascii="Times New Roman;serif" w:hAnsi="Times New Roman;serif"/>
          <w:b w:val="false"/>
          <w:color w:val="000000"/>
          <w:sz w:val="20"/>
        </w:rPr>
        <w:t>. Rising or falling rates typically change by different amounts along the yield curve. These changes may have unforeseen impacts on the value of certain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Market volatility/changes in the real or perceived credit quality of investments</w:t>
      </w:r>
      <w:r>
        <w:rPr>
          <w:rFonts w:ascii="Times New Roman;serif" w:hAnsi="Times New Roman;serif"/>
          <w:b w:val="false"/>
          <w:color w:val="000000"/>
          <w:sz w:val="20"/>
        </w:rPr>
        <w:t>. Deterioration in the quality of investments, identified through changes to our own or third-party (</w:t>
      </w:r>
      <w:r>
        <w:rPr>
          <w:rFonts w:ascii="Times New Roman;serif" w:hAnsi="Times New Roman;serif"/>
          <w:b w:val="false"/>
          <w:i/>
          <w:color w:val="000000"/>
          <w:sz w:val="20"/>
        </w:rPr>
        <w:t>e.g.</w:t>
      </w:r>
      <w:r>
        <w:rPr>
          <w:rFonts w:ascii="Times New Roman;serif" w:hAnsi="Times New Roman;serif"/>
          <w:b w:val="false"/>
          <w:color w:val="000000"/>
          <w:sz w:val="20"/>
        </w:rPr>
        <w:t>, rating agency or investment advisors) assessments, will reduce the value and potentially the liquidity of investments.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Concentration risk</w:t>
      </w:r>
      <w:r>
        <w:rPr>
          <w:rFonts w:ascii="Times New Roman;serif" w:hAnsi="Times New Roman;serif"/>
          <w:b w:val="false"/>
          <w:color w:val="000000"/>
          <w:sz w:val="20"/>
        </w:rPr>
        <w:t xml:space="preserve">. If the investment portfolio is highly concentrated in one asset, or in multiple assets whose values are highly correlated, the value of the total portfolio may be greatly affected by the change in value of just one asset or a group of highly correlated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Prepayment risk</w:t>
      </w:r>
      <w:r>
        <w:rPr>
          <w:rFonts w:ascii="Times New Roman;serif" w:hAnsi="Times New Roman;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 of our investment portfolio as of December 31, 2025 and 2024 was $3.1 billion and $2.7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duration of our fixed income portfolio, including cash and cash equivalents, was 3.66 years, which means that an instantaneous parallel shift (movement up or down) in the yield curve of 100 basis points would result in a change of 3.66% in fair value of our fixed income portfolio. Excluding cash, our fixed income portfolio duration was 3.68 years, which means that an instantaneous parallel shift (movement up or down) in the yield curve of 100 basis points would result in a change of 3.68% in fair value of our fixed income portfolio.</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are also subject to market risk related to the 2024 Revolving Credit Facility and the ILN Transactions. As discussed in Item 8, “</w:t>
      </w:r>
      <w:r>
        <w:rPr>
          <w:rFonts w:ascii="Times New Roman;serif" w:hAnsi="Times New Roman;serif"/>
          <w:b w:val="false"/>
          <w:i/>
          <w:color w:val="000000"/>
          <w:sz w:val="20"/>
        </w:rPr>
        <w:t>Financial Statements - Notes to Consolidated Financial Statements - Note 5, Debt”</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2024 Revolving Credit Facility</w:t>
      </w:r>
      <w:r>
        <w:rPr>
          <w:color w:val="000000"/>
        </w:rPr>
        <w:t xml:space="preserve"> </w:t>
      </w:r>
      <w:r>
        <w:rPr>
          <w:rFonts w:ascii="Times New Roman;serif" w:hAnsi="Times New Roman;serif"/>
          <w:b w:val="false"/>
          <w:color w:val="000000"/>
          <w:sz w:val="20"/>
        </w:rPr>
        <w:t>bears interest at a variable rate and, as a result, increases in market interest rates would generally result in increased interest expense on our outstanding drawn balance.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STATEMENTS</w:t>
      </w:r>
    </w:p>
    <w:p>
      <w:pPr>
        <w:pStyle w:val="TextBody"/>
        <w:bidi w:val="0"/>
        <w:spacing w:before="0" w:after="240"/>
        <w:jc w:val="center"/>
        <w:rPr/>
      </w:pPr>
      <w:r>
        <w:rPr/>
      </w:r>
    </w:p>
    <w:tbl>
      <w:tblPr>
        <w:tblW w:w="9687" w:type="dxa"/>
        <w:jc w:val="center"/>
        <w:tblInd w:w="0" w:type="dxa"/>
        <w:tblLayout w:type="fixed"/>
        <w:tblCellMar>
          <w:top w:w="28" w:type="dxa"/>
          <w:left w:w="28" w:type="dxa"/>
          <w:bottom w:w="28" w:type="dxa"/>
          <w:right w:w="28" w:type="dxa"/>
        </w:tblCellMar>
      </w:tblPr>
      <w:tblGrid>
        <w:gridCol w:w="3372"/>
        <w:gridCol w:w="2963"/>
        <w:gridCol w:w="2980"/>
        <w:gridCol w:w="109"/>
        <w:gridCol w:w="109"/>
        <w:gridCol w:w="154"/>
      </w:tblGrid>
      <w:tr>
        <w:trPr/>
        <w:tc>
          <w:tcPr>
            <w:tcW w:w="3372"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Report of Independent Registered Public Accounting Firm (BDO USA, P.C.; San Francisco, CA; PCAOB ID#243)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50">
              <w:r>
                <w:rPr>
                  <w:rStyle w:val="InternetLink"/>
                  <w:rFonts w:ascii="Times New Roman;serif" w:hAnsi="Times New Roman;serif"/>
                  <w:b w:val="false"/>
                  <w:color w:val="0000FF"/>
                  <w:sz w:val="20"/>
                  <w:u w:val="single"/>
                </w:rPr>
                <w:t>81</w:t>
              </w:r>
            </w:hyperlink>
          </w:p>
        </w:tc>
      </w:tr>
      <w:tr>
        <w:trPr/>
        <w:tc>
          <w:tcPr>
            <w:tcW w:w="9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56">
              <w:r>
                <w:rPr>
                  <w:rStyle w:val="InternetLink"/>
                  <w:rFonts w:ascii="Times New Roman;serif" w:hAnsi="Times New Roman;serif"/>
                  <w:b w:val="false"/>
                  <w:color w:val="0000FF"/>
                  <w:sz w:val="20"/>
                  <w:u w:val="single"/>
                </w:rPr>
                <w:t>83</w:t>
              </w:r>
            </w:hyperlink>
          </w:p>
        </w:tc>
      </w:tr>
      <w:tr>
        <w:trPr/>
        <w:tc>
          <w:tcPr>
            <w:tcW w:w="9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Income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59">
              <w:r>
                <w:rPr>
                  <w:rStyle w:val="InternetLink"/>
                  <w:rFonts w:ascii="Times New Roman;serif" w:hAnsi="Times New Roman;serif"/>
                  <w:b w:val="false"/>
                  <w:color w:val="0000FF"/>
                  <w:sz w:val="20"/>
                  <w:u w:val="single"/>
                </w:rPr>
                <w:t>84</w:t>
              </w:r>
            </w:hyperlink>
          </w:p>
        </w:tc>
      </w:tr>
      <w:tr>
        <w:trPr/>
        <w:tc>
          <w:tcPr>
            <w:tcW w:w="9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Changes in Shareholders'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65">
              <w:r>
                <w:rPr>
                  <w:rStyle w:val="InternetLink"/>
                  <w:rFonts w:ascii="Times New Roman;serif" w:hAnsi="Times New Roman;serif"/>
                  <w:b w:val="false"/>
                  <w:color w:val="0000FF"/>
                  <w:sz w:val="20"/>
                  <w:u w:val="single"/>
                </w:rPr>
                <w:t>85</w:t>
              </w:r>
            </w:hyperlink>
          </w:p>
        </w:tc>
      </w:tr>
      <w:tr>
        <w:trPr/>
        <w:tc>
          <w:tcPr>
            <w:tcW w:w="9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71">
              <w:r>
                <w:rPr>
                  <w:rStyle w:val="InternetLink"/>
                  <w:rFonts w:ascii="Times New Roman;serif" w:hAnsi="Times New Roman;serif"/>
                  <w:b w:val="false"/>
                  <w:color w:val="0000FF"/>
                  <w:sz w:val="20"/>
                  <w:u w:val="single"/>
                </w:rPr>
                <w:t>86</w:t>
              </w:r>
            </w:hyperlink>
          </w:p>
        </w:tc>
      </w:tr>
      <w:tr>
        <w:trPr/>
        <w:tc>
          <w:tcPr>
            <w:tcW w:w="9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5912e4d3e514221a54044ba2adc2e6d_274">
              <w:r>
                <w:rPr>
                  <w:rStyle w:val="InternetLink"/>
                  <w:rFonts w:ascii="Times New Roman;serif" w:hAnsi="Times New Roman;serif"/>
                  <w:b w:val="false"/>
                  <w:color w:val="0000FF"/>
                  <w:sz w:val="20"/>
                  <w:u w:val="single"/>
                </w:rPr>
                <w:t>87</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and Board of Directors of NMI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Emeryville, California</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Opinion on the Consolidated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NMI Holdings, Inc. (the “Company”) as of December 31, 2025 and 2024, the related consolidated statements of operations and comprehensive income, changes in shareholders’ equity, and cash flows for each of the three years in the period ended December 31, 2025, and the related notes and financial statement schedules listed in the accompanying index appearing under Part IV, Item 15 – Exhibits and Financial Statement Schedules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(“COSO”) and our report dated February 12, 2026, expressed an unqualified opinion thereon.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Reserve for Insurance Claims and Claim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7 to the consolidated financial statements, the Company’s consolidated reserve for insurance claims and claim expenses balance was $196.4 million at December 31, 2025. As described in Note 2 to the consolidated financial statements, the establishment of the insurance claims and claim expenses reserve is subject to inherent uncertainty and requires significant judgment by management. The insurance claims reserve is established by estimating: (i) claim frequency which is the number of loans in default expected to result in a claim payment and (ii) claim severity which is the amount of the claim payment expected to be paid on each loan in default. The claim frequency and claim severity are determined based on historical experience regarding certain loan factors and are also strongly influenced by current and expected economic conditions including the housing market.</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identified the Company’s estimation of the reserve for insurance claims within the reserve for insurance claims and claim expenses as a critical audit matter. The principal consideration for our determination is the high degree of subjectivity in estimating claim frequency and claim severity. Estimation of these factors is inherently subjective as it requires the Company to make assumptions with respect to the future of the housing market. Auditing these elements involved especially challenging auditor judgment due to the nature and extent of audit effort required to address these matters, including the extent of specialized skill and knowledge needed.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primary procedures we performed to address this critical audit matter included: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Testing the design and operating effectiveness of certain internal controls related to the Company’s valuation of reserve for insurance claims, including automated application controls over the source data utilized in the development of significant assumptions.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Testing a sample of the underlying loans and claims data used in management’s insurance claims reserve calculations, which supported estimates of claim frequency and claim severity, by agreeing key characteristics, of the underlying loans and claims data to source documents and data provided by third party loan servicers.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Utilizing personnel with specialized skill and knowledge in actuarial methods to assist in: (i) evaluating the appropriateness of the methodology and the assumptions used by management and management’s specialist, including assessment of the reasonableness of assumptions and inputs used in developing claim frequency and claim severity by evaluating industry data such as macroeconomic trends in delinquency rates, the Freddie Mac House Price Index data, historical pandemic data, and expected impact of natural disasters; (ii) developing an independent estimate of the reserve for insurance claims using Company and historical mortgage industry data and comparing this independent estimate to management’s and management’s specialist’s estimated reserve; and (iii) performing a retrospective review of the development of the prior year reserve estimate compared to current year actual results and continued estimated reserves.</w:t>
      </w:r>
    </w:p>
    <w:p>
      <w:pPr>
        <w:pStyle w:val="TextBody"/>
        <w:bidi w:val="0"/>
        <w:spacing w:before="240" w:after="283"/>
        <w:jc w:val="both"/>
        <w:rPr/>
      </w:pPr>
      <w:r>
        <w:rPr/>
      </w:r>
    </w:p>
    <w:p>
      <w:pPr>
        <w:pStyle w:val="TextBody"/>
        <w:bidi w:val="0"/>
        <w:spacing w:before="0" w:after="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97"/>
        <w:gridCol w:w="2194"/>
        <w:gridCol w:w="2221"/>
        <w:gridCol w:w="221"/>
        <w:gridCol w:w="1024"/>
        <w:gridCol w:w="114"/>
        <w:gridCol w:w="109"/>
        <w:gridCol w:w="109"/>
        <w:gridCol w:w="109"/>
        <w:gridCol w:w="220"/>
        <w:gridCol w:w="1022"/>
        <w:gridCol w:w="165"/>
      </w:tblGrid>
      <w:tr>
        <w:trPr/>
        <w:tc>
          <w:tcPr>
            <w:tcW w:w="269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$3,190,174 and $2,876,343)</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of $0 and $90)</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1,132,541 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15)</w:t>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88,371,465 shares issued and 76,285,242 shares outstanding as of December 31, 2025 and 87,902,626 shares issued and 78,600,726 shares outstanding as of December 31, 2024 (250,000,000 shares authorized)</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12,086,223 and 9,301,900 common shares as of December 31, 2025 and December 31, 2024, respectively</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3,349,973 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AND COMPREHENSIVE INCOME </w:t>
      </w:r>
    </w:p>
    <w:tbl>
      <w:tblPr>
        <w:tblW w:w="10205" w:type="dxa"/>
        <w:jc w:val="center"/>
        <w:tblInd w:w="0" w:type="dxa"/>
        <w:tblLayout w:type="fixed"/>
        <w:tblCellMar>
          <w:top w:w="28" w:type="dxa"/>
          <w:left w:w="28" w:type="dxa"/>
          <w:bottom w:w="28" w:type="dxa"/>
          <w:right w:w="28" w:type="dxa"/>
        </w:tblCellMar>
      </w:tblPr>
      <w:tblGrid>
        <w:gridCol w:w="2350"/>
        <w:gridCol w:w="1744"/>
        <w:gridCol w:w="1755"/>
        <w:gridCol w:w="211"/>
        <w:gridCol w:w="826"/>
        <w:gridCol w:w="109"/>
        <w:gridCol w:w="109"/>
        <w:gridCol w:w="109"/>
        <w:gridCol w:w="109"/>
        <w:gridCol w:w="211"/>
        <w:gridCol w:w="826"/>
        <w:gridCol w:w="109"/>
        <w:gridCol w:w="109"/>
        <w:gridCol w:w="109"/>
        <w:gridCol w:w="109"/>
        <w:gridCol w:w="211"/>
        <w:gridCol w:w="826"/>
        <w:gridCol w:w="109"/>
        <w:gridCol w:w="109"/>
        <w:gridCol w:w="155"/>
      </w:tblGrid>
      <w:tr>
        <w:trPr/>
        <w:tc>
          <w:tcPr>
            <w:tcW w:w="235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264" w:type="dxa"/>
            <w:gridSpan w:val="2"/>
            <w:tcBorders/>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in accumulated other comprehensive loss, net of tax expense of $20,995, $3,921 and $17,113 for each of the years in the three-year period ended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(gains) losses included in net income, net of tax expense (benefit) of $69, $0 and $(7) for each of the years in the three-years ended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CHANGES IN SHAREHOLDERS' EQUITY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3"/>
        <w:gridCol w:w="503"/>
        <w:gridCol w:w="504"/>
        <w:gridCol w:w="360"/>
        <w:gridCol w:w="361"/>
        <w:gridCol w:w="196"/>
        <w:gridCol w:w="212"/>
        <w:gridCol w:w="470"/>
        <w:gridCol w:w="110"/>
        <w:gridCol w:w="211"/>
        <w:gridCol w:w="976"/>
        <w:gridCol w:w="109"/>
        <w:gridCol w:w="222"/>
        <w:gridCol w:w="896"/>
        <w:gridCol w:w="114"/>
        <w:gridCol w:w="243"/>
        <w:gridCol w:w="1036"/>
        <w:gridCol w:w="125"/>
        <w:gridCol w:w="214"/>
        <w:gridCol w:w="990"/>
        <w:gridCol w:w="110"/>
        <w:gridCol w:w="211"/>
        <w:gridCol w:w="976"/>
        <w:gridCol w:w="163"/>
      </w:tblGrid>
      <w:tr>
        <w:trPr/>
        <w:tc>
          <w:tcPr>
            <w:tcW w:w="8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$17,120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1,926,004 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$3,921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$20,926</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bl>
      <w:tblPr>
        <w:tblW w:w="10205" w:type="dxa"/>
        <w:jc w:val="right"/>
        <w:tblInd w:w="0" w:type="dxa"/>
        <w:tblLayout w:type="fixed"/>
        <w:tblCellMar>
          <w:top w:w="28" w:type="dxa"/>
          <w:left w:w="28" w:type="dxa"/>
          <w:bottom w:w="28" w:type="dxa"/>
          <w:right w:w="28" w:type="dxa"/>
        </w:tblCellMar>
      </w:tblPr>
      <w:tblGrid>
        <w:gridCol w:w="2253"/>
        <w:gridCol w:w="1947"/>
        <w:gridCol w:w="1963"/>
        <w:gridCol w:w="196"/>
        <w:gridCol w:w="736"/>
        <w:gridCol w:w="109"/>
        <w:gridCol w:w="109"/>
        <w:gridCol w:w="109"/>
        <w:gridCol w:w="109"/>
        <w:gridCol w:w="196"/>
        <w:gridCol w:w="736"/>
        <w:gridCol w:w="109"/>
        <w:gridCol w:w="109"/>
        <w:gridCol w:w="109"/>
        <w:gridCol w:w="109"/>
        <w:gridCol w:w="196"/>
        <w:gridCol w:w="736"/>
        <w:gridCol w:w="109"/>
        <w:gridCol w:w="109"/>
        <w:gridCol w:w="156"/>
      </w:tblGrid>
      <w:tr>
        <w:trPr/>
        <w:tc>
          <w:tcPr>
            <w:tcW w:w="225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6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realized investment (gains)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(accretion)/amortization of (discount)/premium on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Premiums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federal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insurance claims and claim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Reinsurance balances, net</w:t>
            </w:r>
            <w:r>
              <w:rPr>
                <w:color w:val="000000"/>
              </w:rPr>
              <w:t xml:space="preser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fixed-maturity investments, available-for-sale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redemptions of fixed-maturity investments, available-for-sale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sales of fixed-maturity investments, available-for-sale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Additions to software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employee equity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senior unsecured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financing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Summary of Accounting Principles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requires management to make estimates and assumptions that affect reported amounts of assets and liabilities, and the disclosure of contingent assets and liabilities as of the balance sheet date, as well as reported amounts of income and expenses for the periods presented. Actual results could differ from those estimates.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Insurance Premium Revenue Recognition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Concentrations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no customer accounted for more than 10% of our consolidated revenues. At December 31, 2025, 2024 and 2023 approximately 10% of our total risk-in-force (RIF) was concentrated in California.</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Reserves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establish reserves for claims based on our best estimate of the ultimate claim costs for defaulted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Times New Roman;serif" w:hAnsi="Times New Roman;serif"/>
          <w:b w:val="false"/>
          <w:i/>
          <w:color w:val="000000"/>
          <w:sz w:val="20"/>
        </w:rPr>
        <w:t>i.e.</w:t>
      </w:r>
      <w:r>
        <w:rPr>
          <w:rFonts w:ascii="Times New Roman;serif" w:hAnsi="Times New Roman;serif"/>
          <w:b w:val="false"/>
          <w:color w:val="000000"/>
          <w:sz w:val="20"/>
        </w:rPr>
        <w:t>, associated with a specific claim) or unallocated (</w:t>
      </w:r>
      <w:r>
        <w:rPr>
          <w:rFonts w:ascii="Times New Roman;serif" w:hAnsi="Times New Roman;serif"/>
          <w:b w:val="false"/>
          <w:i/>
          <w:color w:val="000000"/>
          <w:sz w:val="20"/>
        </w:rPr>
        <w:t>i.e.</w:t>
      </w:r>
      <w:r>
        <w:rPr>
          <w:rFonts w:ascii="Times New Roman;serif" w:hAnsi="Times New Roman;serif"/>
          <w:b w:val="false"/>
          <w:color w:val="000000"/>
          <w:sz w:val="20"/>
        </w:rPr>
        <w:t xml:space="preserve">, not associated with a specific claim).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establishment of claims and claim expense reserves is subject to inherent uncertainty and requires significant judgment by management. Reserves are established by estimating the number of loans in default that will result in a claim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designated our investment portfolio as available-for-sale and report our invested assets at fair value. Unrealized gains and losses in the portfolio, net of related tax expense or benefit, are recognized as a component of accumulated other comprehensive</w:t>
      </w:r>
      <w:r>
        <w:rPr>
          <w:color w:val="000000"/>
        </w:rPr>
        <w:t xml:space="preserve"> </w:t>
      </w:r>
      <w:r>
        <w:rPr>
          <w:rFonts w:ascii="Times New Roman;serif" w:hAnsi="Times New Roman;serif"/>
          <w:b w:val="false"/>
          <w:color w:val="000000"/>
          <w:sz w:val="20"/>
        </w:rPr>
        <w:t>income (AOCI) in shareholders' equity.</w:t>
      </w:r>
    </w:p>
    <w:p>
      <w:pPr>
        <w:pStyle w:val="TextBody"/>
        <w:bidi w:val="0"/>
        <w:spacing w:lineRule="auto" w:line="276" w:before="0" w:after="0"/>
        <w:ind w:left="0" w:right="0" w:firstLine="720"/>
        <w:jc w:val="both"/>
        <w:rPr/>
      </w:pPr>
      <w:r>
        <w:rPr>
          <w:rFonts w:ascii="Times New Roman;serif" w:hAnsi="Times New Roman;serif"/>
          <w:b w:val="false"/>
          <w:color w:val="000000"/>
          <w:sz w:val="20"/>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Times New Roman;serif" w:hAnsi="Times New Roman;serif"/>
          <w:b w:val="false"/>
          <w:i/>
          <w:color w:val="000000"/>
          <w:sz w:val="20"/>
        </w:rPr>
        <w:t>Fair Value of Financial Instruments</w:t>
      </w:r>
      <w:r>
        <w:rPr>
          <w:color w:val="000000"/>
        </w:rPr>
        <w:t xml:space="preserve">” </w:t>
      </w:r>
      <w:r>
        <w:rPr>
          <w:rFonts w:ascii="Times New Roman;serif" w:hAnsi="Times New Roman;serif"/>
          <w:b w:val="false"/>
          <w:color w:val="000000"/>
          <w:sz w:val="20"/>
        </w:rPr>
        <w:t>for further discussion.</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investment-related expenses. For asset-backed securities, mortgage-backed securities, and any other holdings for which there is a prepayment risk, prepayment assumptions are evaluated and revised as necessary. Any adjustments required due to changes in effective yields and prepayment assumptions are recognized on a prospective basis. Realized gains and losses are computed using the specific identification method.</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Times New Roman;serif" w:hAnsi="Times New Roman;serif"/>
          <w:b w:val="false"/>
          <w:i/>
          <w:color w:val="000000"/>
          <w:sz w:val="20"/>
        </w:rPr>
        <w:t>Realized Investment Loss</w:t>
      </w:r>
      <w:r>
        <w:rPr>
          <w:rFonts w:ascii="Times New Roman;serif" w:hAnsi="Times New Roman;serif"/>
          <w:b w:val="false"/>
          <w:color w:val="000000"/>
          <w:sz w:val="20"/>
        </w:rPr>
        <w: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securities in an unrealized loss position where a sale is not intended or likely to be required, we further assess if the decline in fair value below amortized cost is driven by a credit-related impairment, considering several items including, but not limited to:</w:t>
      </w:r>
    </w:p>
    <w:p>
      <w:pPr>
        <w:pStyle w:val="TextBody"/>
        <w:bidi w:val="0"/>
        <w:spacing w:lineRule="auto" w:line="288" w:before="0" w:after="120"/>
        <w:ind w:left="0" w:right="0" w:firstLine="360"/>
        <w:jc w:val="both"/>
        <w:rPr/>
      </w:pPr>
      <w:r>
        <w:rPr>
          <w:color w:val="000000"/>
        </w:rPr>
        <w:t>•</w:t>
      </w:r>
      <w:r>
        <w:rPr>
          <w:rFonts w:ascii="Times New Roman;serif" w:hAnsi="Times New Roman;serif"/>
          <w:b w:val="false"/>
          <w:color w:val="000000"/>
          <w:sz w:val="20"/>
        </w:rPr>
        <w:t>the severity of the decline in fair value;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financial condition of the issuer;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failure of the issuer to make scheduled interest or principal payments;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recent rating downgrades of the applicable security or issuer by one or more nationally recognized statistical ratings organization;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adverse conditions related to or impacting the security or issuer.</w:t>
      </w:r>
    </w:p>
    <w:p>
      <w:pPr>
        <w:pStyle w:val="TextBody"/>
        <w:bidi w:val="0"/>
        <w:spacing w:lineRule="auto" w:line="288" w:before="0" w:after="180"/>
        <w:ind w:left="0" w:right="0" w:firstLine="720"/>
        <w:jc w:val="both"/>
        <w:rPr/>
      </w:pPr>
      <w:r>
        <w:rPr>
          <w:rFonts w:ascii="Times New Roman;serif" w:hAnsi="Times New Roman;serif"/>
          <w:b w:val="false"/>
          <w:color w:val="000000"/>
          <w:sz w:val="20"/>
        </w:rPr>
        <w:t>To the extent we determine that a security impairment is credit-related, an impairment loss is recognized through the statement of operations as a provision for credit loss expense, and presented as a “</w:t>
      </w:r>
      <w:r>
        <w:rPr>
          <w:rFonts w:ascii="Times New Roman;serif" w:hAnsi="Times New Roman;serif"/>
          <w:b w:val="false"/>
          <w:i/>
          <w:color w:val="000000"/>
          <w:sz w:val="20"/>
        </w:rPr>
        <w:t>Realized Investment Loss.”</w:t>
      </w:r>
      <w:r>
        <w:rPr>
          <w:color w:val="000000"/>
        </w:rPr>
        <w:t xml:space="preserve"> </w:t>
      </w:r>
      <w:r>
        <w:rPr>
          <w:rFonts w:ascii="Times New Roman;serif" w:hAnsi="Times New Roman;serif"/>
          <w:b w:val="false"/>
          <w:color w:val="000000"/>
          <w:sz w:val="20"/>
        </w:rPr>
        <w:t>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Times New Roman;serif" w:hAnsi="Times New Roman;serif"/>
          <w:b w:val="false"/>
          <w:i/>
          <w:color w:val="000000"/>
          <w:sz w:val="20"/>
        </w:rPr>
        <w:t>Realized Investment Gain or Loss.”</w:t>
      </w:r>
      <w:r>
        <w:rPr>
          <w:color w:val="000000"/>
        </w:rPr>
        <w:t xml:space="preserve"> </w:t>
      </w:r>
      <w:r>
        <w:rPr>
          <w:rFonts w:ascii="Times New Roman;serif" w:hAnsi="Times New Roman;serif"/>
          <w:b w:val="false"/>
          <w:color w:val="000000"/>
          <w:sz w:val="20"/>
        </w:rPr>
        <w:t>The portion of a security impairment attributed to other non-credit related factors is recognized in other comprehensive income, net of taxes.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elected to present accrued interest receivable separately from available-for-sale securities on our consolidated balance sheets. Accrued interest receivable was $27.3 million and $22.4 million as of December 31, 2025 and 2024, respectively, and is included in “</w:t>
      </w:r>
      <w:r>
        <w:rPr>
          <w:rFonts w:ascii="Times New Roman;serif" w:hAnsi="Times New Roman;serif"/>
          <w:b w:val="false"/>
          <w:i/>
          <w:color w:val="000000"/>
          <w:sz w:val="20"/>
        </w:rPr>
        <w:t>Accrued Investment Income.”</w:t>
      </w:r>
      <w:r>
        <w:rPr>
          <w:color w:val="000000"/>
        </w:rPr>
        <w:t xml:space="preserve"> </w:t>
      </w:r>
      <w:r>
        <w:rPr>
          <w:rFonts w:ascii="Times New Roman;serif" w:hAnsi="Times New Roman;serif"/>
          <w:b w:val="false"/>
          <w:color w:val="000000"/>
          <w:sz w:val="20"/>
        </w:rPr>
        <w:t xml:space="preserve">We have elected not to measure an allowance for credit losses for accrued interest receivable on available-for-sale securities. Accrued interest for available-for-sale securities is written off against interest income when the receivable has aged 90 days past due. We did not write off any accrued interest receivable during the years ended December 31, 2025, 2024 or 2023.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items such as U.S. Treasury Bills and commercial paper with original maturities of 12 months or less to be short-term investments.</w:t>
      </w:r>
    </w:p>
    <w:p>
      <w:pPr>
        <w:pStyle w:val="TextBody"/>
        <w:bidi w:val="0"/>
        <w:spacing w:lineRule="auto" w:line="288" w:before="0" w:after="18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Deferred Policy Acquisition Costs (DAC)</w:t>
      </w:r>
    </w:p>
    <w:p>
      <w:pPr>
        <w:pStyle w:val="TextBody"/>
        <w:bidi w:val="0"/>
        <w:spacing w:lineRule="auto" w:line="288" w:before="0" w:after="180"/>
        <w:ind w:left="0" w:right="0" w:firstLine="720"/>
        <w:jc w:val="both"/>
        <w:rPr/>
      </w:pPr>
      <w:r>
        <w:rPr>
          <w:rFonts w:ascii="Times New Roman;serif" w:hAnsi="Times New Roman;serif"/>
          <w:b w:val="false"/>
          <w:color w:val="000000"/>
          <w:sz w:val="20"/>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2025, 2024 and 2023, net of a portion of the ceding commissions earned under our quota share reinsurance agreements (see “</w:t>
      </w:r>
      <w:r>
        <w:rPr>
          <w:rFonts w:ascii="Times New Roman;serif" w:hAnsi="Times New Roman;serif"/>
          <w:b w:val="false"/>
          <w:i/>
          <w:color w:val="000000"/>
          <w:sz w:val="20"/>
        </w:rPr>
        <w:t>Reinsurance”</w:t>
      </w:r>
      <w:r>
        <w:rPr>
          <w:rFonts w:ascii="Times New Roman;serif" w:hAnsi="Times New Roman;serif"/>
          <w:b w:val="false"/>
          <w:color w:val="000000"/>
          <w:sz w:val="20"/>
        </w:rPr>
        <w:t>, below</w:t>
      </w:r>
      <w:r>
        <w:rPr>
          <w:rFonts w:ascii="Times New Roman;serif" w:hAnsi="Times New Roman;serif"/>
          <w:b w:val="false"/>
          <w:i/>
          <w:color w:val="000000"/>
          <w:sz w:val="20"/>
        </w:rPr>
        <w:t>)</w:t>
      </w:r>
      <w:r>
        <w:rPr>
          <w:rFonts w:ascii="Times New Roman;serif" w:hAnsi="Times New Roman;serif"/>
          <w:b w:val="false"/>
          <w:color w:val="000000"/>
          <w:sz w:val="20"/>
        </w:rPr>
        <w:t>, was $7.7 million, $7.1 million and $3.6 million, respectively.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Premium Deficiency Reserves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whether a premium deficiency exists and a premium deficiency reserve is required at each fiscal quarter using best estimate assumptions as of the testing date. A premium deficiency reserve is established if the net present value of expected future claim costs, claim adjustment expenses, policyholder dividends, unamortized acquisition costs and maintenance costs exceeds the net present value of expected future premiums, anticipated investment income and existing reserves for a specified group of policies. We have determined that no premium deficiency reserves were necessary for any of the years in the three-year period ended December 31, 2025.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cede insurance risk through the use of reinsurance contracts and follow reinsurance accounting for those transactions where significant risk is transferred. We account for premiums, claims and claim expenses that are ceded to reinsurers on a basis consistent with that which we use to account for the original policies we issue and pursuant to the terms of our reinsurance contracts. We account for premiums ceded or otherwise paid to reinsurers as a reduction to premium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entered into quota share reinsurance treaties effective January 1, 2018 (the 2018 QSR Transaction), April 1, 2020 (the 2020 QSR Transaction), January 1, 2021 (the 2021 QSR Transaction), October 1, 2021 (the 2022 QSR Transaction), July 1, 2022 (the 2022 Seasoned QSR Transaction), January 1, 2023 (the 2023 QSR Transaction), January 1, 2024 (the 2024 QSR Transaction), and January 1, 2025 (the 2025 QSR Transaction), which we refer to collectively as the QSR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earn profit and ceding commissions in connection with the QSR Transactions. Profit commissions represent a percentage of the profits recognized by reinsurers that are returned to us, based on the level of claims and claim expenses that we cede. Ceded claims and claim expenses reduce the profit commission due to NMIC under each respective QSR Transaction on a dollar-for-dollar basis. We recognize any profit commissions we earn as a decrease to ceded earned premiums. Ceding commissions are calculated as a percentage of ceded earned premiums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Under the QSR Transactions, we cede a portion of claims and claim expenses and reserves to our reinsurers, and account for such ceded reserves as “</w:t>
      </w:r>
      <w:r>
        <w:rPr>
          <w:rFonts w:ascii="Times New Roman;serif" w:hAnsi="Times New Roman;serif"/>
          <w:b w:val="false"/>
          <w:i/>
          <w:color w:val="000000"/>
          <w:sz w:val="20"/>
        </w:rPr>
        <w:t>Reinsurance Recoverables”</w:t>
      </w:r>
      <w:r>
        <w:rPr>
          <w:color w:val="000000"/>
        </w:rPr>
        <w:t xml:space="preserve"> </w:t>
      </w:r>
      <w:r>
        <w:rPr>
          <w:rFonts w:ascii="Times New Roman;serif" w:hAnsi="Times New Roman;serif"/>
          <w:b w:val="false"/>
          <w:color w:val="000000"/>
          <w:sz w:val="20"/>
        </w:rPr>
        <w:t>on the consolidated balance sheets and such ceded expenses as reductions to claims and claim expenses on the consolidated statements of operations.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The allowance for credit loss established with respect to our reinsurance recoverables was deemed immaterial as of December 31, 2025 and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NMIC is a party to excess-of-loss reinsurance agreements with Oaktown Re VI Ltd., and Oaktown Re VII Ltd. (special purpose reinsurance entities collectively referred to as the Oaktown Re Vehicles) effective April 27, 2021 and October 26, 2021, respectively. At inception of the respective reinsurance agreements, we determined that Oaktown Re VI Ltd. and Oaktown Re VII Ltd. were variable interest entities (VIEs),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Times New Roman;serif" w:hAnsi="Times New Roman;serif"/>
          <w:b w:val="false"/>
          <w:i/>
          <w:color w:val="000000"/>
          <w:sz w:val="20"/>
        </w:rPr>
        <w:t>i.e.</w:t>
      </w:r>
      <w:r>
        <w:rPr>
          <w:rFonts w:ascii="Times New Roman;serif" w:hAnsi="Times New Roman;serif"/>
          <w:b w:val="false"/>
          <w:color w:val="000000"/>
          <w:sz w:val="20"/>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pStyle w:val="TextBody"/>
        <w:bidi w:val="0"/>
        <w:spacing w:lineRule="auto" w:line="288" w:before="0" w:after="180"/>
        <w:ind w:left="0" w:right="0" w:firstLine="720"/>
        <w:jc w:val="left"/>
        <w:rPr/>
      </w:pPr>
      <w:r>
        <w:rPr>
          <w:rFonts w:ascii="Times New Roman;serif" w:hAnsi="Times New Roman;serif"/>
          <w:b w:val="false"/>
          <w:color w:val="000000"/>
          <w:sz w:val="20"/>
        </w:rPr>
        <w:t>See Note 6, “</w:t>
      </w:r>
      <w:r>
        <w:rPr>
          <w:rFonts w:ascii="Times New Roman;serif" w:hAnsi="Times New Roman;serif"/>
          <w:b w:val="false"/>
          <w:i/>
          <w:color w:val="000000"/>
          <w:sz w:val="20"/>
        </w:rPr>
        <w:t xml:space="preserve">Reinsurance” </w:t>
      </w:r>
      <w:r>
        <w:rPr>
          <w:rFonts w:ascii="Times New Roman;serif" w:hAnsi="Times New Roman;serif"/>
          <w:b w:val="false"/>
          <w:color w:val="000000"/>
          <w:sz w:val="20"/>
        </w:rPr>
        <w:t>for further discussion of the reinsurance arrangements.</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liability method.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statements of operations.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purchase non-interest bearing U.S. Mortgage Guaranty Tax and Loss Bonds issued by the Treasury Department in order to claim a tax deduction for our contingency reserve balance. The tax and loss bonds are carried at cost and are reported as “</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the consolidated balance sheets.</w:t>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11, “</w:t>
      </w:r>
      <w:r>
        <w:rPr>
          <w:rFonts w:ascii="Times New Roman;serif" w:hAnsi="Times New Roman;serif"/>
          <w:b w:val="false"/>
          <w:i/>
          <w:color w:val="000000"/>
          <w:sz w:val="20"/>
        </w:rPr>
        <w:t>Income Taxes”</w:t>
      </w:r>
      <w:r>
        <w:rPr>
          <w:rFonts w:ascii="Times New Roman;serif" w:hAnsi="Times New Roman;serif"/>
          <w:b w:val="false"/>
          <w:color w:val="000000"/>
          <w:sz w:val="20"/>
        </w:rPr>
        <w:t>, for further discussion of the tax and loss bonds and other income tax matters.</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account for stock compensation awards using grant date fair value and recognize the associated compensation expense over the requisite service or performance period of the award. Share-based compensation includes restricted stock units (RSUs). We use the simplified method to estimate expected option term during the period as sufficient historical exercise data is not available. RSU grants may contain a service condition, or performance and service conditions. RSU grants are valued at our stock price on the date of grant less the present value of anticipated dividends, and we recognize their fair value as compensation expense over their requisite service or performance and service periods. We account for stock option and RSU forfeitures as they occur. Share-based compensation is recorded in </w:t>
      </w:r>
      <w:r>
        <w:rPr>
          <w:color w:val="000000"/>
        </w:rPr>
        <w:t>“</w:t>
      </w:r>
      <w:r>
        <w:rPr>
          <w:rFonts w:ascii="Times New Roman;serif" w:hAnsi="Times New Roman;serif"/>
          <w:b w:val="false"/>
          <w:i/>
          <w:color w:val="000000"/>
          <w:sz w:val="20"/>
        </w:rPr>
        <w:t>Underwriting and Operating Expenses”</w:t>
      </w:r>
      <w:r>
        <w:rPr>
          <w:color w:val="000000"/>
        </w:rPr>
        <w:t xml:space="preserve"> </w:t>
      </w:r>
      <w:r>
        <w:rPr>
          <w:rFonts w:ascii="Times New Roman;serif" w:hAnsi="Times New Roman;serif"/>
          <w:b w:val="false"/>
          <w:color w:val="000000"/>
          <w:sz w:val="20"/>
        </w:rPr>
        <w:t>on the consolidated statements of operations and comprehensive income.</w:t>
      </w:r>
    </w:p>
    <w:p>
      <w:pPr>
        <w:pStyle w:val="TextBody"/>
        <w:bidi w:val="0"/>
        <w:spacing w:lineRule="auto" w:line="256"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Earnings Per Share (EPS)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based on the weighted average number of common shares outstanding. Diluted earnings per share is based on the weighted average number of common shares outstanding and common share equivalents that would be issuable upon the vesting of existing service-based and performance and service-based RSUs, and exercise of vested and unvested stock options. Common share equivalents are excluded from EPS computations in the periods in which they have an anti-dilutive effect.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180"/>
        <w:ind w:left="0" w:right="0" w:firstLine="540"/>
        <w:jc w:val="both"/>
        <w:rPr/>
      </w:pPr>
      <w:r>
        <w:rPr>
          <w:rFonts w:ascii="Times New Roman;serif" w:hAnsi="Times New Roman;serif"/>
          <w:b w:val="false"/>
          <w:color w:val="000000"/>
          <w:sz w:val="20"/>
        </w:rPr>
        <w:t>Common stock repurchases are recorded at cost and presented as “</w:t>
      </w:r>
      <w:r>
        <w:rPr>
          <w:rFonts w:ascii="Times New Roman;serif" w:hAnsi="Times New Roman;serif"/>
          <w:b w:val="false"/>
          <w:i/>
          <w:color w:val="000000"/>
          <w:sz w:val="20"/>
        </w:rPr>
        <w:t>Treasury Stock</w:t>
      </w:r>
      <w:r>
        <w:rPr>
          <w:color w:val="000000"/>
        </w:rPr>
        <w:t xml:space="preserve">” </w:t>
      </w:r>
      <w:r>
        <w:rPr>
          <w:rFonts w:ascii="Times New Roman;serif" w:hAnsi="Times New Roman;serif"/>
          <w:b w:val="false"/>
          <w:color w:val="000000"/>
          <w:sz w:val="20"/>
        </w:rPr>
        <w:t>on the consolidated balance sheets and statements of changes in shareholders’ equity. At the date of repurchase, shareholders’ equity is reduced by the aggregate repurchase price plus commissions, applicable taxes and other expenses that arise from the repurchase transaction.</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items such as U.S. Treasury Bills, certificates of deposit and money market funds with original maturities when purchased of 90 days or less to be cash equivalents.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Software and Equipment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We amortize leasehold improvements over the shorter of the lives of the leases or estimated service lives of the leasehold improvements. Amortization and depreciation expense is recorded in “</w:t>
      </w:r>
      <w:r>
        <w:rPr>
          <w:rFonts w:ascii="Times New Roman;serif" w:hAnsi="Times New Roman;serif"/>
          <w:b w:val="false"/>
          <w:i/>
          <w:color w:val="000000"/>
          <w:sz w:val="20"/>
        </w:rPr>
        <w:t>Underwriting and Operating Expenses</w:t>
      </w:r>
      <w:r>
        <w:rPr>
          <w:color w:val="000000"/>
        </w:rPr>
        <w:t xml:space="preserve">” </w:t>
      </w:r>
      <w:r>
        <w:rPr>
          <w:rFonts w:ascii="Times New Roman;serif" w:hAnsi="Times New Roman;serif"/>
          <w:b w:val="false"/>
          <w:color w:val="000000"/>
          <w:sz w:val="20"/>
        </w:rPr>
        <w:t>on the consolidated statements of operations and comprehensive income. For further detail, see Note 12, “</w:t>
      </w:r>
      <w:r>
        <w:rPr>
          <w:rFonts w:ascii="Times New Roman;serif" w:hAnsi="Times New Roman;serif"/>
          <w:b w:val="false"/>
          <w:i/>
          <w:color w:val="000000"/>
          <w:sz w:val="20"/>
        </w:rPr>
        <w:t>Software and Equipment.</w:t>
      </w:r>
      <w:r>
        <w:rPr>
          <w:color w:val="000000"/>
        </w:rPr>
        <w: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taking into consideration the cost of any outstanding collateralized borrowings we have at such time with adjustment for the terms of the lease agreement, and prevailing market conditions and macroeconomic factors at the time of its commencement. ROU assets are measured as the associated lease liability plus any direct costs incurred in connection with the initial establishment of the lease, less any lease incentives received.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 Goodwill and Intangible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estimated fair value of net assets acquired from a business combination. We test goodwill for impairment annually or more frequently if we believe indicators of impairment exist. We have not identified any impairments of goodwill through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intangible assets consist of state licenses and Fannie Mae and Freddie Mac (collectively, the GSEs) applications which have indefinite lives. We test indefinite-lived intangible assets for impairment annually or more frequently if we believe indicators of impairment exist. We have not identified any impairments of indefinite-lived intangible assets through 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Premiums Receivable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receivables was deemed immaterial at December 31, 2025 and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may be written off prior to 120 days in the ordinary course of business for non-credit events including, but not limited to, the modification or refinancing of an underlying insured loan. We established a $1.4 million and $2.2 million reserve for premium write-offs at December 31, 2025 and 2024, respectively.</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revenues represent underwriting fee revenue from our subsidiary, NMIS, which provides outsourced loan review services to mortgage loan originators. NMIS fees are earned and recognized as services are provided, with cash payments typically received one month after billing.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Adopted</w:t>
      </w:r>
    </w:p>
    <w:p>
      <w:pPr>
        <w:pStyle w:val="TextBody"/>
        <w:bidi w:val="0"/>
        <w:spacing w:lineRule="auto" w:line="288" w:before="0" w:after="198"/>
        <w:ind w:left="0" w:right="0" w:firstLine="720"/>
        <w:jc w:val="both"/>
        <w:rPr/>
      </w:pPr>
      <w:r>
        <w:rPr>
          <w:rFonts w:ascii="Times New Roman;serif" w:hAnsi="Times New Roman;serif"/>
          <w:b w:val="false"/>
          <w:color w:val="000000"/>
          <w:sz w:val="20"/>
        </w:rPr>
        <w:t>On January 1 2025, we adopted ASU 2023-09, Income Taxes (Topic 740) on a retrospective basis. The update enhances the disclosure requirements related to tax rate reconciliations and income taxes paid and did not have any effect on our consolidated statement of operations and comprehensive income or consolidated balance sheets. See Note 11,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98"/>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Accounting for Internal-Use Software (Topic 350). The update clarifies the criteria surrounding the capitalization of certain costs and expands related disclosure requirements. The standard will take effect for all public business entities for annual reporting periods beginning after December 15, 2027, and interim reporting periods within those annual reporting periods. Early adoption is permitted. We are currently evaluating the impact the adoption of this ASU will have, if any, on our consolidated financial statements.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Improving Interim Reporting Guidance (Topic 270). The update establishes a principle that requires entities to disclose material events that have occurred since the end of the last annual reporting period and further clarifies interim disclosure requirements. The standard will take effect for all public business entities for interim reporting periods beginning after December 15, 2027. Early adoption is permitted. We are currently evaluating the impact the adoption of this ASU will have,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hold all investments on an available-for-sale basis at fair value on our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consolidated statements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 </w:t>
      </w:r>
    </w:p>
    <w:p>
      <w:pPr>
        <w:pStyle w:val="TextBody"/>
        <w:bidi w:val="0"/>
        <w:spacing w:lineRule="auto" w:line="288" w:before="0" w:after="60"/>
        <w:jc w:val="both"/>
        <w:rPr>
          <w:color w:val="000000"/>
        </w:rPr>
      </w:pPr>
      <w:r>
        <w:rPr>
          <w:color w:val="000000"/>
        </w:rPr>
        <w:t>    </w:t>
      </w:r>
      <w:r>
        <w:rPr>
          <w:rFonts w:ascii="Times New Roman;serif" w:hAnsi="Times New Roman;serif"/>
          <w:b w:val="false"/>
          <w:i/>
          <w:color w:val="000000"/>
          <w:sz w:val="20"/>
        </w:rPr>
        <w:t>Fair Values and Gross Unrealized Gains and Losses on Investments</w:t>
      </w:r>
    </w:p>
    <w:tbl>
      <w:tblPr>
        <w:tblW w:w="10205" w:type="dxa"/>
        <w:jc w:val="center"/>
        <w:tblInd w:w="0" w:type="dxa"/>
        <w:tblLayout w:type="fixed"/>
        <w:tblCellMar>
          <w:top w:w="28" w:type="dxa"/>
          <w:left w:w="28" w:type="dxa"/>
          <w:bottom w:w="28" w:type="dxa"/>
          <w:right w:w="28" w:type="dxa"/>
        </w:tblCellMar>
      </w:tblPr>
      <w:tblGrid>
        <w:gridCol w:w="1739"/>
        <w:gridCol w:w="1351"/>
        <w:gridCol w:w="1357"/>
        <w:gridCol w:w="211"/>
        <w:gridCol w:w="976"/>
        <w:gridCol w:w="109"/>
        <w:gridCol w:w="109"/>
        <w:gridCol w:w="109"/>
        <w:gridCol w:w="109"/>
        <w:gridCol w:w="211"/>
        <w:gridCol w:w="721"/>
        <w:gridCol w:w="109"/>
        <w:gridCol w:w="109"/>
        <w:gridCol w:w="109"/>
        <w:gridCol w:w="109"/>
        <w:gridCol w:w="211"/>
        <w:gridCol w:w="778"/>
        <w:gridCol w:w="109"/>
        <w:gridCol w:w="109"/>
        <w:gridCol w:w="109"/>
        <w:gridCol w:w="109"/>
        <w:gridCol w:w="211"/>
        <w:gridCol w:w="97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57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agency mortgage-backed securities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100% of our U.S. agency mortgage-backed securities are guaranteed by Ginnie Mae which has the full faith and credit of the U.S. federal government.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0205" w:type="dxa"/>
        <w:jc w:val="center"/>
        <w:tblInd w:w="0" w:type="dxa"/>
        <w:tblLayout w:type="fixed"/>
        <w:tblCellMar>
          <w:top w:w="28" w:type="dxa"/>
          <w:left w:w="28" w:type="dxa"/>
          <w:bottom w:w="28" w:type="dxa"/>
          <w:right w:w="28" w:type="dxa"/>
        </w:tblCellMar>
      </w:tblPr>
      <w:tblGrid>
        <w:gridCol w:w="1670"/>
        <w:gridCol w:w="1384"/>
        <w:gridCol w:w="1390"/>
        <w:gridCol w:w="211"/>
        <w:gridCol w:w="976"/>
        <w:gridCol w:w="109"/>
        <w:gridCol w:w="109"/>
        <w:gridCol w:w="109"/>
        <w:gridCol w:w="109"/>
        <w:gridCol w:w="211"/>
        <w:gridCol w:w="616"/>
        <w:gridCol w:w="109"/>
        <w:gridCol w:w="109"/>
        <w:gridCol w:w="109"/>
        <w:gridCol w:w="109"/>
        <w:gridCol w:w="211"/>
        <w:gridCol w:w="884"/>
        <w:gridCol w:w="109"/>
        <w:gridCol w:w="109"/>
        <w:gridCol w:w="109"/>
        <w:gridCol w:w="109"/>
        <w:gridCol w:w="211"/>
        <w:gridCol w:w="976"/>
        <w:gridCol w:w="157"/>
      </w:tblGrid>
      <w:tr>
        <w:trPr/>
        <w:tc>
          <w:tcPr>
            <w:tcW w:w="16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5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2,640,925 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own any mortgage-backed securities in our portfolio at December 31, 2024.</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breakdown of the fair value of our corporate debt securities by issuer industry group as of December 31, 2025 and 2024:</w:t>
      </w:r>
    </w:p>
    <w:tbl>
      <w:tblPr>
        <w:tblW w:w="4888" w:type="dxa"/>
        <w:jc w:val="center"/>
        <w:tblInd w:w="0" w:type="dxa"/>
        <w:tblLayout w:type="fixed"/>
        <w:tblCellMar>
          <w:top w:w="28" w:type="dxa"/>
          <w:left w:w="28" w:type="dxa"/>
          <w:bottom w:w="28" w:type="dxa"/>
          <w:right w:w="28" w:type="dxa"/>
        </w:tblCellMar>
      </w:tblPr>
      <w:tblGrid>
        <w:gridCol w:w="547"/>
        <w:gridCol w:w="481"/>
        <w:gridCol w:w="488"/>
        <w:gridCol w:w="334"/>
        <w:gridCol w:w="334"/>
        <w:gridCol w:w="832"/>
        <w:gridCol w:w="109"/>
        <w:gridCol w:w="109"/>
        <w:gridCol w:w="109"/>
        <w:gridCol w:w="314"/>
        <w:gridCol w:w="314"/>
        <w:gridCol w:w="917"/>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Consumer </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approximately $5.4 million and $5.3 million, respectively, of our cash and investments were held in the form of U.S. Treasury securities on deposit with various state insurance departments to satisfy regulatory requirements.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Scheduled Maturities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securities as of December 31, 2025 and 2024, by contractual maturity, are shown below. Expected maturities will differ from contractual maturities because issuers may have the right to call or prepay obligations with or without call or prepayment penalties. Because most asset-backed securities and U.S. agency mortgage-backed securities provide for periodic payments throughout their lives, they are listed below in a separate category.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6309" w:type="dxa"/>
        <w:jc w:val="center"/>
        <w:tblInd w:w="0" w:type="dxa"/>
        <w:tblLayout w:type="fixed"/>
        <w:tblCellMar>
          <w:top w:w="28" w:type="dxa"/>
          <w:left w:w="28" w:type="dxa"/>
          <w:bottom w:w="28" w:type="dxa"/>
          <w:right w:w="28" w:type="dxa"/>
        </w:tblCellMar>
      </w:tblPr>
      <w:tblGrid>
        <w:gridCol w:w="1209"/>
        <w:gridCol w:w="1065"/>
        <w:gridCol w:w="1071"/>
        <w:gridCol w:w="211"/>
        <w:gridCol w:w="976"/>
        <w:gridCol w:w="109"/>
        <w:gridCol w:w="109"/>
        <w:gridCol w:w="109"/>
        <w:gridCol w:w="109"/>
        <w:gridCol w:w="211"/>
        <w:gridCol w:w="97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78" w:type="dxa"/>
        <w:jc w:val="center"/>
        <w:tblInd w:w="0" w:type="dxa"/>
        <w:tblLayout w:type="fixed"/>
        <w:tblCellMar>
          <w:top w:w="28" w:type="dxa"/>
          <w:left w:w="28" w:type="dxa"/>
          <w:bottom w:w="28" w:type="dxa"/>
          <w:right w:w="28" w:type="dxa"/>
        </w:tblCellMar>
      </w:tblPr>
      <w:tblGrid>
        <w:gridCol w:w="981"/>
        <w:gridCol w:w="864"/>
        <w:gridCol w:w="869"/>
        <w:gridCol w:w="211"/>
        <w:gridCol w:w="976"/>
        <w:gridCol w:w="109"/>
        <w:gridCol w:w="109"/>
        <w:gridCol w:w="109"/>
        <w:gridCol w:w="109"/>
        <w:gridCol w:w="211"/>
        <w:gridCol w:w="97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Aging of Unrealized Losses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As of December 31, 2025, the investment portfolio had gross unrealized losses of $86.3 million, of which $84.3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For those securities in an unrealized loss position, the length of time the securities were in such a position is as follows:</w:t>
      </w:r>
    </w:p>
    <w:tbl>
      <w:tblPr>
        <w:tblW w:w="11419" w:type="dxa"/>
        <w:jc w:val="center"/>
        <w:tblInd w:w="0" w:type="dxa"/>
        <w:tblLayout w:type="fixed"/>
        <w:tblCellMar>
          <w:top w:w="28" w:type="dxa"/>
          <w:left w:w="28" w:type="dxa"/>
          <w:bottom w:w="28" w:type="dxa"/>
          <w:right w:w="28" w:type="dxa"/>
        </w:tblCellMar>
      </w:tblPr>
      <w:tblGrid>
        <w:gridCol w:w="99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80"/>
        <w:ind w:left="0" w:right="0" w:hanging="360"/>
        <w:jc w:val="left"/>
        <w:rPr/>
      </w:pPr>
      <w:r>
        <w:rPr/>
      </w:r>
    </w:p>
    <w:p>
      <w:pPr>
        <w:pStyle w:val="TextBody"/>
        <w:bidi w:val="0"/>
        <w:spacing w:before="0" w:after="120"/>
        <w:jc w:val="left"/>
        <w:rPr/>
      </w:pPr>
      <w:r>
        <w:rPr/>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1299" w:type="dxa"/>
        <w:jc w:val="center"/>
        <w:tblInd w:w="0" w:type="dxa"/>
        <w:tblLayout w:type="fixed"/>
        <w:tblCellMar>
          <w:top w:w="28" w:type="dxa"/>
          <w:left w:w="28" w:type="dxa"/>
          <w:bottom w:w="28" w:type="dxa"/>
          <w:right w:w="28" w:type="dxa"/>
        </w:tblCellMar>
      </w:tblPr>
      <w:tblGrid>
        <w:gridCol w:w="66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841"/>
        <w:gridCol w:w="109"/>
        <w:gridCol w:w="109"/>
        <w:gridCol w:w="109"/>
        <w:gridCol w:w="109"/>
        <w:gridCol w:w="265"/>
        <w:gridCol w:w="265"/>
        <w:gridCol w:w="266"/>
        <w:gridCol w:w="211"/>
        <w:gridCol w:w="976"/>
        <w:gridCol w:w="109"/>
        <w:gridCol w:w="211"/>
        <w:gridCol w:w="84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Amounts not identifiable due to rounding.</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did not recognize an allowance for credit loss for any security in the investment portfolio and we did not record any provision for credit loss for investment securities during the years ended December 31, 2025, 2024 or 2023.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December 31, 2025,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2025 are not indicative of the ultimate collectability of the current amortized cost of the securities. Rather, the unrealized losses on securities held as of December 31, 2025 were primarily driven by fluctuations in interest rates, and to a lesser extent, movements in credit spreads following the purchase of those securities.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investment income:</w:t>
      </w:r>
    </w:p>
    <w:tbl>
      <w:tblPr>
        <w:tblW w:w="6140" w:type="dxa"/>
        <w:jc w:val="center"/>
        <w:tblInd w:w="0" w:type="dxa"/>
        <w:tblLayout w:type="fixed"/>
        <w:tblCellMar>
          <w:top w:w="28" w:type="dxa"/>
          <w:left w:w="28" w:type="dxa"/>
          <w:bottom w:w="28" w:type="dxa"/>
          <w:right w:w="28" w:type="dxa"/>
        </w:tblCellMar>
      </w:tblPr>
      <w:tblGrid>
        <w:gridCol w:w="723"/>
        <w:gridCol w:w="635"/>
        <w:gridCol w:w="637"/>
        <w:gridCol w:w="211"/>
        <w:gridCol w:w="826"/>
        <w:gridCol w:w="109"/>
        <w:gridCol w:w="109"/>
        <w:gridCol w:w="109"/>
        <w:gridCol w:w="109"/>
        <w:gridCol w:w="211"/>
        <w:gridCol w:w="721"/>
        <w:gridCol w:w="109"/>
        <w:gridCol w:w="109"/>
        <w:gridCol w:w="109"/>
        <w:gridCol w:w="109"/>
        <w:gridCol w:w="211"/>
        <w:gridCol w:w="721"/>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income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interest income recognized on cash and cash equivalents of $3.9 million, $5.0 million, and $2.3 million for the years ended December 31, 2025, 2024 and 2023,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realized investment gains (losses):</w:t>
      </w:r>
    </w:p>
    <w:tbl>
      <w:tblPr>
        <w:tblW w:w="7306" w:type="dxa"/>
        <w:jc w:val="left"/>
        <w:tblInd w:w="0" w:type="dxa"/>
        <w:tblLayout w:type="fixed"/>
        <w:tblCellMar>
          <w:top w:w="28" w:type="dxa"/>
          <w:left w:w="28" w:type="dxa"/>
          <w:bottom w:w="28" w:type="dxa"/>
          <w:right w:w="28" w:type="dxa"/>
        </w:tblCellMar>
      </w:tblPr>
      <w:tblGrid>
        <w:gridCol w:w="1148"/>
        <w:gridCol w:w="1006"/>
        <w:gridCol w:w="1011"/>
        <w:gridCol w:w="109"/>
        <w:gridCol w:w="109"/>
        <w:gridCol w:w="130"/>
        <w:gridCol w:w="130"/>
        <w:gridCol w:w="251"/>
        <w:gridCol w:w="735"/>
        <w:gridCol w:w="130"/>
        <w:gridCol w:w="130"/>
        <w:gridCol w:w="130"/>
        <w:gridCol w:w="130"/>
        <w:gridCol w:w="251"/>
        <w:gridCol w:w="430"/>
        <w:gridCol w:w="130"/>
        <w:gridCol w:w="109"/>
        <w:gridCol w:w="109"/>
        <w:gridCol w:w="109"/>
        <w:gridCol w:w="211"/>
        <w:gridCol w:w="436"/>
        <w:gridCol w:w="109"/>
        <w:gridCol w:w="109"/>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346" w:type="dxa"/>
            <w:gridSpan w:val="8"/>
            <w:tcBorders/>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4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80"/>
        <w:ind w:left="0" w:right="0" w:hanging="360"/>
        <w:jc w:val="left"/>
        <w:rPr/>
      </w:pPr>
      <w:r>
        <w:rPr/>
      </w:r>
    </w:p>
    <w:p>
      <w:pPr>
        <w:pStyle w:val="TextBody"/>
        <w:bidi w:val="0"/>
        <w:spacing w:before="10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used by us to determine the fair value of our financial instruments: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Classified as Level 1 and Level 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before="0" w:after="18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instruments that are measured at fair value on a recurring basis by hierarchy level:</w:t>
      </w:r>
    </w:p>
    <w:tbl>
      <w:tblPr>
        <w:tblW w:w="10205" w:type="dxa"/>
        <w:jc w:val="center"/>
        <w:tblInd w:w="0" w:type="dxa"/>
        <w:tblLayout w:type="fixed"/>
        <w:tblCellMar>
          <w:top w:w="28" w:type="dxa"/>
          <w:left w:w="28" w:type="dxa"/>
          <w:bottom w:w="28" w:type="dxa"/>
          <w:right w:w="28" w:type="dxa"/>
        </w:tblCellMar>
      </w:tblPr>
      <w:tblGrid>
        <w:gridCol w:w="1631"/>
        <w:gridCol w:w="1212"/>
        <w:gridCol w:w="1216"/>
        <w:gridCol w:w="248"/>
        <w:gridCol w:w="975"/>
        <w:gridCol w:w="128"/>
        <w:gridCol w:w="109"/>
        <w:gridCol w:w="109"/>
        <w:gridCol w:w="109"/>
        <w:gridCol w:w="223"/>
        <w:gridCol w:w="1035"/>
        <w:gridCol w:w="115"/>
        <w:gridCol w:w="109"/>
        <w:gridCol w:w="109"/>
        <w:gridCol w:w="109"/>
        <w:gridCol w:w="318"/>
        <w:gridCol w:w="612"/>
        <w:gridCol w:w="166"/>
        <w:gridCol w:w="109"/>
        <w:gridCol w:w="109"/>
        <w:gridCol w:w="109"/>
        <w:gridCol w:w="211"/>
        <w:gridCol w:w="976"/>
        <w:gridCol w:w="158"/>
      </w:tblGrid>
      <w:tr>
        <w:trPr/>
        <w:tc>
          <w:tcPr>
            <w:tcW w:w="163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6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3,180,960 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39"/>
        <w:gridCol w:w="1252"/>
        <w:gridCol w:w="1256"/>
        <w:gridCol w:w="250"/>
        <w:gridCol w:w="981"/>
        <w:gridCol w:w="129"/>
        <w:gridCol w:w="109"/>
        <w:gridCol w:w="109"/>
        <w:gridCol w:w="109"/>
        <w:gridCol w:w="224"/>
        <w:gridCol w:w="1037"/>
        <w:gridCol w:w="115"/>
        <w:gridCol w:w="109"/>
        <w:gridCol w:w="109"/>
        <w:gridCol w:w="109"/>
        <w:gridCol w:w="318"/>
        <w:gridCol w:w="612"/>
        <w:gridCol w:w="166"/>
        <w:gridCol w:w="109"/>
        <w:gridCol w:w="109"/>
        <w:gridCol w:w="109"/>
        <w:gridCol w:w="211"/>
        <w:gridCol w:w="976"/>
        <w:gridCol w:w="158"/>
      </w:tblGrid>
      <w:tr>
        <w:trPr/>
        <w:tc>
          <w:tcPr>
            <w:tcW w:w="15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61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2,524,865 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2,777,849 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2 and Level 3 of the fair value hierarchy during the years ended December 31, 2025 or 2024.</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Not Measured at Fair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21, 2024, we issued $425 million aggregate principal amount of senior unsecured notes that mature on August 15, 2029 (the 2024 Notes). Proceeds from the 2024 Notes offering were primarily used to repay our then-outstanding $400 million senior secured notes (the 2020 Notes). At December 31, 2025, the 2024 Notes were carried at an amortized cost of $417.0 million, net of unamortized debt issuance costs and an original issue discount totaling $8.0 million, and had a fair value of $441.3 million as assessed under our Level 2 hierarchy. At December 31, 2024 the 2024 Notes were carried at an amortized cost of $415.1 million, net of unamortized debt issuance costs and an original issue discount totaling $9.9 million, and had a fair value of $429.6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5. Debt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$425 million aggregate principal amount of senior unsecured notes outstanding. The 2024 Notes were issued pursuant to an indenture, dated May 21, 2024, and bear interest at a rate of 6.00%, payable semi-annually on February 15 and August 15.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 of the aggregate principal amount of the 2024 Notes to be redeemed plus accrued and unpaid interest thereon.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December 31, 2025 and 2024, $8.0 million and $9.9 million, respectively, of unamortized debt issuance costs and original issue discount remained. </w:t>
      </w:r>
    </w:p>
    <w:p>
      <w:pPr>
        <w:pStyle w:val="TextBody"/>
        <w:bidi w:val="0"/>
        <w:spacing w:lineRule="auto" w:line="288" w:before="0" w:after="180"/>
        <w:ind w:left="0" w:right="0" w:firstLine="720"/>
        <w:jc w:val="both"/>
        <w:rPr/>
      </w:pPr>
      <w:r>
        <w:rPr>
          <w:rFonts w:ascii="Times New Roman;serif" w:hAnsi="Times New Roman;serif"/>
          <w:b w:val="false"/>
          <w:color w:val="000000"/>
          <w:sz w:val="20"/>
        </w:rPr>
        <w:t>At December 31, 2025 and 2024, $9.6 million and $15.6 million, respectively, of accrued and unpaid interest on the 2024 Notes was included in “</w:t>
      </w:r>
      <w:r>
        <w:rPr>
          <w:rFonts w:ascii="Times New Roman;serif" w:hAnsi="Times New Roman;serif"/>
          <w:b w:val="false"/>
          <w:i/>
          <w:color w:val="000000"/>
          <w:sz w:val="20"/>
        </w:rPr>
        <w:t>Accounts Payable and Accrued Expenses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0" w:after="180"/>
        <w:ind w:left="0" w:right="0" w:firstLine="720"/>
        <w:jc w:val="both"/>
        <w:rPr/>
      </w:pPr>
      <w:r>
        <w:rPr>
          <w:rFonts w:ascii="Times New Roman;serif" w:hAnsi="Times New Roman;serif"/>
          <w:b w:val="false"/>
          <w:color w:val="000000"/>
          <w:sz w:val="20"/>
        </w:rPr>
        <w:t>During the twelve months ended December 31, 2024, we recorded a $6.8 million loss related to the redemption of the 2020 Notes in “</w:t>
      </w: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on our consolidated statements of operations and comprehensive income.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2024, we entered into a new $250 million five-year unsecured revolving credit facility (the 2024 Revolving Credit Facility) to replace our then-outstanding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(as defined in the 2024 Revolving Credit Facility) plus a margin of 1.375% to 2.875% per annum, with the margin in each of (i) or (ii) based on our applicable corporate credit rating at the time. As of December 31, 2025 and 2024, no amounts were drawn under the 2024 Revolving Credit Facility.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required to pay a quarterly commitment fee on the average daily undrawn amount of 0.175% to 0.525%, based on the applicable corporate credit rating at the time. As of December 31, 2025, the applicable commitment fee was 0.225%. For the years ended December 31, 2025, 2024 and 2023, we recorded $0.6 million, $0.6 million and $0.8 million, respectively, of commitment fees in interest expense under the 2024 or 2021 Revolving Credit Facilities.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December 31, 2025 and 2024, remaining unamortized deferred debt issuance costs of $1.8 million and $2.3 million, respectively, were recorded in </w:t>
      </w:r>
      <w:r>
        <w:rPr>
          <w:color w:val="000000"/>
        </w:rPr>
        <w:t>“</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on our consolidated balance sheets.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6.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 of our reinsurance agreements on premiums written and earned is as follows:</w:t>
      </w:r>
    </w:p>
    <w:tbl>
      <w:tblPr>
        <w:tblW w:w="6106" w:type="dxa"/>
        <w:jc w:val="center"/>
        <w:tblInd w:w="0" w:type="dxa"/>
        <w:tblLayout w:type="fixed"/>
        <w:tblCellMar>
          <w:top w:w="28" w:type="dxa"/>
          <w:left w:w="28" w:type="dxa"/>
          <w:bottom w:w="28" w:type="dxa"/>
          <w:right w:w="28" w:type="dxa"/>
        </w:tblCellMar>
      </w:tblPr>
      <w:tblGrid>
        <w:gridCol w:w="674"/>
        <w:gridCol w:w="591"/>
        <w:gridCol w:w="595"/>
        <w:gridCol w:w="211"/>
        <w:gridCol w:w="826"/>
        <w:gridCol w:w="109"/>
        <w:gridCol w:w="109"/>
        <w:gridCol w:w="109"/>
        <w:gridCol w:w="109"/>
        <w:gridCol w:w="211"/>
        <w:gridCol w:w="826"/>
        <w:gridCol w:w="109"/>
        <w:gridCol w:w="109"/>
        <w:gridCol w:w="109"/>
        <w:gridCol w:w="109"/>
        <w:gridCol w:w="211"/>
        <w:gridCol w:w="826"/>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54" w:type="dxa"/>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Net of profit commission.</w:t>
      </w:r>
    </w:p>
    <w:p>
      <w:pPr>
        <w:pStyle w:val="TextBody"/>
        <w:bidi w:val="0"/>
        <w:spacing w:lineRule="auto" w:line="276" w:before="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Quota Share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is party to eight quota share reinsurance treaties – the 2018 QSR Transaction, effective January 1, 2018, the 2020 QSR Transaction, effective April 1, 2020, the 2021 QSR Transaction, effective January 1, 2021, the 2022 QSR Transaction, effective October 1, 2021, the 2022 Seasoned QSR Transaction, effective July 1, 2022, the 2023 QSR Transaction, effective January 1, 2023, the 2024 QSR Transaction, effective January 1, 2024, and the 2025 QSR Transaction, effective January 1, 2025 – which we refer to collectively as the QSR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contractually-defined maximum) that varies directly and inversely with ceded claims.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serif" w:hAnsi="Times New Roman;serif"/>
          <w:b w:val="false"/>
          <w:i/>
          <w:color w:val="000000"/>
          <w:sz w:val="20"/>
        </w:rPr>
        <w:t>i.e.</w:t>
      </w:r>
      <w:r>
        <w:rPr>
          <w:rFonts w:ascii="Times New Roman;serif" w:hAnsi="Times New Roman;serif"/>
          <w:b w:val="false"/>
          <w:color w:val="000000"/>
          <w:sz w:val="20"/>
        </w:rPr>
        <w:t>, reinsurers continue providing coverage on all risk ceded prior to the termination date, with no new cessions going forward) or cut-off basis (</w:t>
      </w:r>
      <w:r>
        <w:rPr>
          <w:rFonts w:ascii="Times New Roman;serif" w:hAnsi="Times New Roman;serif"/>
          <w:b w:val="false"/>
          <w:i/>
          <w:color w:val="000000"/>
          <w:sz w:val="20"/>
        </w:rPr>
        <w:t>i.e.</w:t>
      </w:r>
      <w:r>
        <w:rPr>
          <w:rFonts w:ascii="Times New Roman;serif" w:hAnsi="Times New Roman;serif"/>
          <w:b w:val="false"/>
          <w:color w:val="000000"/>
          <w:sz w:val="20"/>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third-party reinsurance providers that is party to the QSR Transactions has an insurer financial strength rating of A- or better by S&amp;P, A.M. Best or both.</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inception date, covered production period, contractual and optional termination dates, current cession rate, ceding commission and profit commission for each outstanding QSR Transaction. Current amounts are presented as of December 31, 2025. </w:t>
      </w:r>
    </w:p>
    <w:tbl>
      <w:tblPr>
        <w:tblW w:w="10205" w:type="dxa"/>
        <w:jc w:val="left"/>
        <w:tblInd w:w="0" w:type="dxa"/>
        <w:tblLayout w:type="fixed"/>
        <w:tblCellMar>
          <w:top w:w="28" w:type="dxa"/>
          <w:left w:w="28" w:type="dxa"/>
          <w:bottom w:w="28" w:type="dxa"/>
          <w:right w:w="28" w:type="dxa"/>
        </w:tblCellMar>
      </w:tblPr>
      <w:tblGrid>
        <w:gridCol w:w="395"/>
        <w:gridCol w:w="346"/>
        <w:gridCol w:w="286"/>
        <w:gridCol w:w="280"/>
        <w:gridCol w:w="280"/>
        <w:gridCol w:w="282"/>
        <w:gridCol w:w="375"/>
        <w:gridCol w:w="375"/>
        <w:gridCol w:w="376"/>
        <w:gridCol w:w="109"/>
        <w:gridCol w:w="109"/>
        <w:gridCol w:w="109"/>
        <w:gridCol w:w="406"/>
        <w:gridCol w:w="406"/>
        <w:gridCol w:w="407"/>
        <w:gridCol w:w="109"/>
        <w:gridCol w:w="109"/>
        <w:gridCol w:w="109"/>
        <w:gridCol w:w="393"/>
        <w:gridCol w:w="393"/>
        <w:gridCol w:w="394"/>
        <w:gridCol w:w="109"/>
        <w:gridCol w:w="109"/>
        <w:gridCol w:w="109"/>
        <w:gridCol w:w="334"/>
        <w:gridCol w:w="334"/>
        <w:gridCol w:w="335"/>
        <w:gridCol w:w="109"/>
        <w:gridCol w:w="109"/>
        <w:gridCol w:w="109"/>
        <w:gridCol w:w="354"/>
        <w:gridCol w:w="354"/>
        <w:gridCol w:w="355"/>
        <w:gridCol w:w="109"/>
        <w:gridCol w:w="109"/>
        <w:gridCol w:w="109"/>
        <w:gridCol w:w="321"/>
        <w:gridCol w:w="321"/>
        <w:gridCol w:w="468"/>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Inception Date</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Optional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Profit Commission</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2018 QSR</w:t>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1/1/2018</w:t>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1/1/2018 – 12/31/2018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1/1/2019 – 12/31/2019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12/31/2022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p>
            <w:pPr>
              <w:pStyle w:val="TableContents"/>
              <w:bidi w:val="0"/>
              <w:spacing w:lineRule="auto" w:line="240" w:before="0" w:after="0"/>
              <w:jc w:val="center"/>
              <w:rPr/>
            </w:pPr>
            <w:r>
              <w:rPr>
                <w:rFonts w:ascii="Times New Roman;serif" w:hAnsi="Times New Roman;serif"/>
                <w:b w:val="false"/>
                <w:color w:val="000000"/>
                <w:sz w:val="19"/>
              </w:rPr>
              <w:t xml:space="preserve">17% </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61%</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2020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 – 12/31/2020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12/31/2025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up to 50% </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2021 QSR</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 – 10/30/2021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12/31/2024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54%</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2022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10/1/2021</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10/30/2021 –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12/31/2024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up to 62% </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2022 Seasoned QSR</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7/1/2022</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1/1/2013 – 12/31/2016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7/1/2019 –3/31/2020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6/30/2032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6/30/2025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95% </w:t>
            </w: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55%</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2023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 – 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12/31/2025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2024 QSR</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 –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12/31/2027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56%</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2025 QSR</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12/31/2027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has the option, based on certain conditions and subject to a termination fee, to terminate the agreement as of the optional termination date, or at the end of any calendar quarter thereafter which could result in NMIC recapturing the related risk.</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    NMIC has the option, based on certain conditions and subject to a termination fee, to terminate the agreement as of the optional termination, or semi-annually thereafter, which could result in NMIC recapturing the related risk.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NMIC also holds a clean-up call that provides for termination of the agreement at its election at any time on or after the date that the risk on remaining covered policies falls to 10% or less of the risk on covered policies at December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Under the terms of the 2018 QSR Transaction, NMIC cedes premiums earned related to 21% of the risk on eligible policies written in 2018 and 17% of the risk on eligible policies written in 2019.</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    Under the terms of the 2022 Seasoned QSR Transaction, NMIC cedes premiums earned related to 95% of the risk on eligible policies after the consideration of coverage provided by other QSR transactions.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January 1, 2026, NMIC amended the terms of the 2018 QSR Transaction, 2020 QSR Transaction, 2022 QSR Transaction, 2023 QSR Transaction and 2022 Seasoned QSR Transaction. Under the amended 2018 QSR Transaction, NMIC will cede premiums earned related to 16% of the risk on eligible policies written in 2018, 13% of the risk on eligible policies written in 2019, and earn a 42% ceding commission. Under the amended 2020 QSR Transaction, NMIC will earn a 45% ceding commission. Under the amended Seasoned 2022 QSR Transaction, NMIC will cede premiums earned related to 48% of the risk on eligible policies after the consideration of coverage provided by other QSR transactions and earn a 53% ceding commission.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effective January 1, 2026, the 2018 QSR Transaction, 2020 QSR Transaction, 2022 QSR Transaction and Seasoned 2022 QSR Transaction will earn profit commissions of up to 45%, 45%, 68%, and 38%, respectively. The 2023 QSR Transaction will earn profit commissions of up to 63%, 66% and 68% in 2026, 2027 and 2028 and beyond, respectively. These amended QSR Transactions also extended their optional termination date through to June 30, 2028.</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three additional quota share reinsurance treaties that will provide sequential coverage for mortgage insurance policies to be written in 2026, 2027 and 2028 (the 2026 QSR Transaction, 2027 QSR Transaction and 2028 QSR Transaction). Under the terms of the 2026 QSR Transaction, as amended in the fourth quarter of 2025, NMIC will cede premiums earned related to 25% of the risk on eligible policies written between January 1, 2026 and December 31, 2026. Under the terms of the 2027 QSR Transaction, NMIC will cede premiums earned related to 35% of the risk on eligible policies written between January 1, 2027 and December 31, 2027. Under the terms of the 2028 QSR Transaction, NMIC will cede premiums earned related to 20% of the risk on eligible policies written between January 1, 2028 and December 31, 2028.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amounts related to the QSR Transactions:</w:t>
      </w:r>
    </w:p>
    <w:tbl>
      <w:tblPr>
        <w:tblW w:w="7947" w:type="dxa"/>
        <w:jc w:val="center"/>
        <w:tblInd w:w="0" w:type="dxa"/>
        <w:tblLayout w:type="fixed"/>
        <w:tblCellMar>
          <w:top w:w="28" w:type="dxa"/>
          <w:left w:w="28" w:type="dxa"/>
          <w:bottom w:w="28" w:type="dxa"/>
          <w:right w:w="28" w:type="dxa"/>
        </w:tblCellMar>
      </w:tblPr>
      <w:tblGrid>
        <w:gridCol w:w="1102"/>
        <w:gridCol w:w="970"/>
        <w:gridCol w:w="973"/>
        <w:gridCol w:w="211"/>
        <w:gridCol w:w="1081"/>
        <w:gridCol w:w="109"/>
        <w:gridCol w:w="109"/>
        <w:gridCol w:w="109"/>
        <w:gridCol w:w="109"/>
        <w:gridCol w:w="211"/>
        <w:gridCol w:w="1081"/>
        <w:gridCol w:w="109"/>
        <w:gridCol w:w="109"/>
        <w:gridCol w:w="109"/>
        <w:gridCol w:w="109"/>
        <w:gridCol w:w="211"/>
        <w:gridCol w:w="1081"/>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years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claims and claim expenses </w:t>
            </w:r>
            <w:r>
              <w:rPr>
                <w:rFonts w:ascii="Times New Roman;serif" w:hAnsi="Times New Roman;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6"/>
        </w:rPr>
        <w:t>(1)    Includes aggregate fees of $0.8 million and $0.7 million for the years ended December 31, 2025 and 2023, respectively, incurred in connection with the termination or amendment of certain QSR Transactions.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had aggregate reinsurance recoverables related to the QSR Transactions of $38.6 million and $31.2 million as of December 31, 2025 and 2024, respectively. The reinsurance recoverable on loss reserves as of December 31, 2024 also included $1.1 million related to the 2016 QSR Transaction, which was terminated as of July 1, 2025. NMIC's reinsurance recoverable balance is supported by collateral trust accounts established and maintained by each reinsurer in accordance with the terms of the QSR Transactions and the PMIERs funding requirements for risk ceded to non-affiliates.</w:t>
      </w:r>
    </w:p>
    <w:p>
      <w:pPr>
        <w:pStyle w:val="TextBody"/>
        <w:bidi w:val="0"/>
        <w:spacing w:lineRule="auto" w:line="288" w:before="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Excess-of-loss Reinsurance</w:t>
      </w:r>
    </w:p>
    <w:p>
      <w:pPr>
        <w:pStyle w:val="TextBody"/>
        <w:bidi w:val="0"/>
        <w:spacing w:lineRule="auto" w:line="288" w:before="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seven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and the 2025 XOL Transaction, effective January 1, 2025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XOL Transactions, NMIC makes risk premium payments to its third-party reinsurance providers for the outstanding reinsurance coverage amount and ceded aggregate premiums earned of $42.2 million, $38.4 million and $31.2 million during the years ended December 31, 2025, 2024 and 2023, respectively. NMIC applies claims paid on covered policies against its first layer aggregate retained loss exposure under each agreement. NMIC did not cede any incurred losses on covered policies under the XOL Transactions during the years ended December 31, 2025, 2024 and 2023, as the aggregate first-layer risk retention for each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which provide it with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third-party reinsurance providers that is party to the XOL Transactions has an insurer financial strength rating of A- or better by S&amp;P Global Ratings (S&amp;P), A.M. Best Company Inc. (A.M. Best) or both.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349"/>
        <w:gridCol w:w="307"/>
        <w:gridCol w:w="308"/>
        <w:gridCol w:w="292"/>
        <w:gridCol w:w="292"/>
        <w:gridCol w:w="293"/>
        <w:gridCol w:w="109"/>
        <w:gridCol w:w="109"/>
        <w:gridCol w:w="109"/>
        <w:gridCol w:w="371"/>
        <w:gridCol w:w="371"/>
        <w:gridCol w:w="372"/>
        <w:gridCol w:w="109"/>
        <w:gridCol w:w="109"/>
        <w:gridCol w:w="109"/>
        <w:gridCol w:w="109"/>
        <w:gridCol w:w="109"/>
        <w:gridCol w:w="109"/>
        <w:gridCol w:w="109"/>
        <w:gridCol w:w="395"/>
        <w:gridCol w:w="395"/>
        <w:gridCol w:w="396"/>
        <w:gridCol w:w="109"/>
        <w:gridCol w:w="109"/>
        <w:gridCol w:w="109"/>
        <w:gridCol w:w="400"/>
        <w:gridCol w:w="400"/>
        <w:gridCol w:w="401"/>
        <w:gridCol w:w="109"/>
        <w:gridCol w:w="109"/>
        <w:gridCol w:w="109"/>
        <w:gridCol w:w="451"/>
        <w:gridCol w:w="337"/>
        <w:gridCol w:w="338"/>
        <w:gridCol w:w="109"/>
        <w:gridCol w:w="109"/>
        <w:gridCol w:w="109"/>
        <w:gridCol w:w="467"/>
        <w:gridCol w:w="353"/>
        <w:gridCol w:w="354"/>
        <w:gridCol w:w="109"/>
        <w:gridCol w:w="109"/>
        <w:gridCol w:w="109"/>
        <w:gridCol w:w="165"/>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6"/>
              </w:rPr>
              <w:t>$ values in thousands)</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Reinsurance Coverage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2022-1 XOL</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10/1/2021 – 3/31/2022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$289,741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$129,238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2022-2 XOL</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4/1/2022 – 6/30/2022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73,393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2022-3 XOL</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2023-1 XOL</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142,269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2023-2 XOL</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135,222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XOL</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311,559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2025 XOL </w:t>
            </w:r>
            <w:r>
              <w:rPr>
                <w:rFonts w:ascii="Times New Roman;serif" w:hAnsi="Times New Roman;serif"/>
                <w:b w:val="false"/>
                <w:color w:val="000000"/>
                <w:sz w:val="13"/>
              </w:rPr>
              <w:t>(4)</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321,331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Approximately 1% of the production covered by the 2022-1 XOL Transaction has coverage reporting dates between October 21, 2019 and September 30, 2021.</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Approximately 1% of the production covered by the 2022-2 XOL Transaction has coverage reporting dates between January 4, 2021 and March 31, 2022.</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The 2025 XOL Transaction provides coverage for production generated between January 1, 2025 and December 31, 2025. The current reinsurance coverage and current first layer retained loss will decrease in future periods to the extent the PMIERs minimum required assets of the covered pool declines.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three additional excess-of-loss reinsurance treaties that will incept and provide coverage in future periods. The 2026 XOL Transaction will incept on January 1, 2026 and provide $164.2 million of aggregate excess-of-loss coverage for mortgage insurance policies to be written in 2026. The 2026-2 XOL Transaction will incept on April 1, 2026 and provide up to $160 million of aggregate excess-of-loss coverage for mortgage insurance policies covered under the existing 2021 ILN Transaction, and the 2027 XOL Transaction will provide $125 million of aggregate excess-of-loss coverage for mortgage insurance policies to be written in 2027.</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Insurance-Linked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is a party to reinsurance agreements with Oaktown Re VI Ltd. and Oaktown Re VII Ltd. (special purpose reinsurance entities collectively referred to as the Oaktown Re Vehicles) effective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makes risk premium payments to the Oaktown Re Vehicles for the applicable outstanding reinsurance coverage amount and pays an additional amount for anticipated operating expenses (capped at $250 thousand per year). NMIC ceded aggregate premiums to the Oaktown Re Vehicles of $12.6 million, $20.4 million and $31.1 million during the years ended December 31, 2025, 2024 and 2023,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applies claims paid on covered policies against its first layer aggregate retained loss exposure under each excess-of-loss agreement. NMIC did not cede any incurred losses on covered policies to the Oaktown Re Vehicles during the years ended December 31, 2025, 2024 and 2023, as the aggregate first layer risk retention for each applicable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refer to NMIC’s reinsurance agreements with and the insurance-linked note issuances by Oaktown Re Vehicles individually as the 2021-1 ILN Transaction and 2021-2 ILN Transaction, and collectively as the ILN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linked note principal is suspended if certain credit enhancement or delinquency thresholds, as defined in each agreement, are triggered (each, a Lock-Out Event).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2025.</w:t>
      </w:r>
    </w:p>
    <w:tbl>
      <w:tblPr>
        <w:tblW w:w="10205" w:type="dxa"/>
        <w:jc w:val="left"/>
        <w:tblInd w:w="0" w:type="dxa"/>
        <w:tblLayout w:type="fixed"/>
        <w:tblCellMar>
          <w:top w:w="28" w:type="dxa"/>
          <w:left w:w="28" w:type="dxa"/>
          <w:bottom w:w="28" w:type="dxa"/>
          <w:right w:w="28" w:type="dxa"/>
        </w:tblCellMar>
      </w:tblPr>
      <w:tblGrid>
        <w:gridCol w:w="385"/>
        <w:gridCol w:w="339"/>
        <w:gridCol w:w="340"/>
        <w:gridCol w:w="323"/>
        <w:gridCol w:w="323"/>
        <w:gridCol w:w="325"/>
        <w:gridCol w:w="109"/>
        <w:gridCol w:w="109"/>
        <w:gridCol w:w="418"/>
        <w:gridCol w:w="418"/>
        <w:gridCol w:w="419"/>
        <w:gridCol w:w="109"/>
        <w:gridCol w:w="109"/>
        <w:gridCol w:w="109"/>
        <w:gridCol w:w="436"/>
        <w:gridCol w:w="436"/>
        <w:gridCol w:w="438"/>
        <w:gridCol w:w="109"/>
        <w:gridCol w:w="109"/>
        <w:gridCol w:w="109"/>
        <w:gridCol w:w="449"/>
        <w:gridCol w:w="449"/>
        <w:gridCol w:w="451"/>
        <w:gridCol w:w="109"/>
        <w:gridCol w:w="109"/>
        <w:gridCol w:w="109"/>
        <w:gridCol w:w="498"/>
        <w:gridCol w:w="398"/>
        <w:gridCol w:w="400"/>
        <w:gridCol w:w="109"/>
        <w:gridCol w:w="109"/>
        <w:gridCol w:w="109"/>
        <w:gridCol w:w="487"/>
        <w:gridCol w:w="387"/>
        <w:gridCol w:w="560"/>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w:t>
            </w:r>
            <w:r>
              <w:rPr>
                <w:rFonts w:ascii="Times New Roman;serif" w:hAnsi="Times New Roman;serif"/>
                <w:b w:val="false"/>
                <w:i/>
                <w:color w:val="000000"/>
                <w:sz w:val="16"/>
              </w:rPr>
              <w:t>$ values in thousands)</w:t>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(1)</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2021-1 ILN</w:t>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27,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10/1/2020 – 3/31/2021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$367,238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$162,201</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2021-2 ILN</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26,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4/1/2021 – 9/30/2021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363,596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143,906</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Approximately 1% of the production covered by the 2021-1 ILN Transaction has coverage reporting dates between July 1, 2019 and September 30, 2020.</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Approximately 2% of the production covered by the 2021-2 ILN Transaction has coverage reporting dates between July 1, 2019 and March 31, 2021.</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Under the terms of our ILN Transactions, we are required to maintain a certain level of restricted funds in premium deposit accounts with Bank of New York Mellon until the respective notes have been redeemed in full. “</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on our consolidated balance sheets includes a de minimis restricted amount as of December 31, 2025 and $0.1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7. Reserves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reserves.</w:t>
      </w:r>
      <w:r>
        <w:rPr>
          <w:color w:val="000000"/>
        </w:rPr>
        <w:t xml:space="preserve"> </w:t>
      </w:r>
      <w:r>
        <w:rPr>
          <w:rFonts w:ascii="Times New Roman;serif" w:hAnsi="Times New Roman;serif"/>
          <w:b w:val="false"/>
          <w:color w:val="000000"/>
          <w:sz w:val="20"/>
        </w:rPr>
        <w:t xml:space="preserve">We also establish reserves for claim expenses, which represent the estimated cost of the claim administration process, including legal and other fees, as well as other general expenses of administering the claim settlement process. As of December 31, 2025, we held gross reserves for insurance claims and claim expenses of $196.4 million. During the year ended December 31, 2025, we paid 445 claims totaling $25.9 million, including 432 claims covered under the QSR Transactions representing $5.1 million of ceded claims and claim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7,661 loans in default in our primary insured portfolio as of December 31, 2025, which represented a 1.12% default rate against 684,058 total policies in-force, and 6,642 loans in default as of December 31, 2024, which represented a 1.01% default rate against 659,567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primary insurance claims and claim expenses:</w:t>
      </w:r>
    </w:p>
    <w:tbl>
      <w:tblPr>
        <w:tblW w:w="9034" w:type="dxa"/>
        <w:jc w:val="center"/>
        <w:tblInd w:w="0" w:type="dxa"/>
        <w:tblLayout w:type="fixed"/>
        <w:tblCellMar>
          <w:top w:w="28" w:type="dxa"/>
          <w:left w:w="28" w:type="dxa"/>
          <w:bottom w:w="28" w:type="dxa"/>
          <w:right w:w="28" w:type="dxa"/>
        </w:tblCellMar>
      </w:tblPr>
      <w:tblGrid>
        <w:gridCol w:w="1695"/>
        <w:gridCol w:w="1488"/>
        <w:gridCol w:w="1496"/>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years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Note 6, “</w:t>
      </w:r>
      <w:r>
        <w:rPr>
          <w:rFonts w:ascii="Times New Roman;serif" w:hAnsi="Times New Roman;serif"/>
          <w:b w:val="false"/>
          <w:i/>
          <w:color w:val="000000"/>
          <w:sz w:val="16"/>
        </w:rPr>
        <w:t>Reinsurance</w:t>
      </w:r>
      <w:r>
        <w:rPr>
          <w:color w:val="000000"/>
        </w:rPr>
        <w:t xml:space="preserve">” </w:t>
      </w:r>
      <w:r>
        <w:rPr>
          <w:rFonts w:ascii="Times New Roman;serif" w:hAnsi="Times New Roman;serif"/>
          <w:b w:val="false"/>
          <w:color w:val="000000"/>
          <w:sz w:val="16"/>
        </w:rPr>
        <w:t xml:space="preserve">for additional information.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$102.0 million attributed to net case reserves and $10.8 million attributed to net IBNR reserves for the year ended December 31, 2025, $83.5 million attributed to net case reserves and $8.1 million attributed to net IBNR reserves for the year ended December 31, 2024, and $70.6 million attributed to net case reserves and $6.3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$48.4 million attributed to net case reserves and $8.1 million attributed to net IBNR reserves for the year ended December 31, 2025, $54.1 million attributed to net case reserves and $6.3 million attributed to net IBNR reserves for the year ended December 31, 2024, and $50.9 million attributed to net case reserves and $4.5 million attributed to net IBNR reserves for the year ended December 31, 2023.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fees of $0.8 million and $0.7 million for the years ended December 31, 2025 and 2023, respectively, incurred in connection with the termination or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or amendment of certain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year ended December 31, 2025, compared to the years ended December 31, 2024 and 2023, primarily due to an increase in the total number of new delinquencies emerging during the period tied to the growth and natural seasoning of our portfolio and an increase in the average case reserve established against newly defaulted loans. Our provision for claims and claim expenses during the years ended December 31, 2025, 2024 and 2023 benefited from favorable development on prior year defaults. We recognized $57.9 million, $61.7 million and $56.4 million of favorable prior year development during the years ended December 31, 2025, 2024 and 2023,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$55.7 million related to prior year defaults remained as of December 31,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claim development data by default year (or the year in which a default has occurred) and a reconciliation to the reserve for insurance claims and claim expenses. The information about net incurred losses and paid claims development for the years ended prior to 2025 is presented as supplementary information.</w:t>
      </w:r>
    </w:p>
    <w:tbl>
      <w:tblPr>
        <w:tblW w:w="11269" w:type="dxa"/>
        <w:jc w:val="left"/>
        <w:tblInd w:w="0" w:type="dxa"/>
        <w:tblLayout w:type="fixed"/>
        <w:tblCellMar>
          <w:top w:w="28" w:type="dxa"/>
          <w:left w:w="28" w:type="dxa"/>
          <w:bottom w:w="28" w:type="dxa"/>
          <w:right w:w="28" w:type="dxa"/>
        </w:tblCellMar>
      </w:tblPr>
      <w:tblGrid>
        <w:gridCol w:w="239"/>
        <w:gridCol w:w="210"/>
        <w:gridCol w:w="212"/>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736"/>
        <w:gridCol w:w="109"/>
        <w:gridCol w:w="196"/>
        <w:gridCol w:w="646"/>
        <w:gridCol w:w="109"/>
        <w:gridCol w:w="278"/>
        <w:gridCol w:w="278"/>
        <w:gridCol w:w="31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Incurred Claims and Allocated Claims Adjustment Expenses, net of Reinsurance </w:t>
            </w:r>
            <w:r>
              <w:rPr>
                <w:rFonts w:ascii="Times New Roman;serif" w:hAnsi="Times New Roman;serif"/>
                <w:b/>
                <w:color w:val="000000"/>
                <w:sz w:val="10"/>
              </w:rPr>
              <w:t>(1)</w:t>
            </w:r>
          </w:p>
        </w:tc>
        <w:tc>
          <w:tcPr>
            <w:tcW w:w="18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Default Year</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2017</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of IBNR</w:t>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Defaults </w:t>
            </w:r>
            <w:r>
              <w:rPr>
                <w:rFonts w:ascii="Times New Roman;serif" w:hAnsi="Times New Roman;serif"/>
                <w:b/>
                <w:color w:val="000000"/>
                <w:sz w:val="10"/>
              </w:rPr>
              <w:t>(2)</w:t>
            </w:r>
          </w:p>
        </w:tc>
      </w:tr>
      <w:tr>
        <w:trPr/>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2017</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2018</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Amounts include case and IBNR reserves.</w:t>
      </w:r>
    </w:p>
    <w:p>
      <w:pPr>
        <w:pStyle w:val="TextBody"/>
        <w:bidi w:val="0"/>
        <w:spacing w:lineRule="auto" w:line="288" w:before="0" w:after="180"/>
        <w:ind w:left="0" w:right="0" w:hanging="360"/>
        <w:jc w:val="both"/>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Number of defaults outstanding as of December 31, 2025.</w:t>
      </w:r>
    </w:p>
    <w:tbl>
      <w:tblPr>
        <w:tblW w:w="9757" w:type="dxa"/>
        <w:jc w:val="center"/>
        <w:tblInd w:w="0" w:type="dxa"/>
        <w:tblLayout w:type="fixed"/>
        <w:tblCellMar>
          <w:top w:w="28" w:type="dxa"/>
          <w:left w:w="28" w:type="dxa"/>
          <w:bottom w:w="28" w:type="dxa"/>
          <w:right w:w="28" w:type="dxa"/>
        </w:tblCellMar>
      </w:tblPr>
      <w:tblGrid>
        <w:gridCol w:w="385"/>
        <w:gridCol w:w="338"/>
        <w:gridCol w:w="341"/>
        <w:gridCol w:w="196"/>
        <w:gridCol w:w="421"/>
        <w:gridCol w:w="109"/>
        <w:gridCol w:w="196"/>
        <w:gridCol w:w="421"/>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96"/>
        <w:gridCol w:w="556"/>
        <w:gridCol w:w="109"/>
        <w:gridCol w:w="109"/>
        <w:gridCol w:w="196"/>
        <w:gridCol w:w="646"/>
        <w:gridCol w:w="109"/>
        <w:gridCol w:w="1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Paid Claims and Claims Adjustment Expenses, net of Reinsurance</w:t>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Default Year</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2017</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2017</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2018</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92"/>
        <w:gridCol w:w="1401"/>
        <w:gridCol w:w="1379"/>
        <w:gridCol w:w="434"/>
        <w:gridCol w:w="434"/>
        <w:gridCol w:w="434"/>
        <w:gridCol w:w="781"/>
        <w:gridCol w:w="2934"/>
        <w:gridCol w:w="616"/>
      </w:tblGrid>
      <w:tr>
        <w:trPr/>
        <w:tc>
          <w:tcPr>
            <w:tcW w:w="17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Reconciliation of Disclosure of Incurred and Paid Claims Development to the Liability for Unpaid Claims and Claim Adjustment Expenses</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Cumulative Incurred Claims and Allocated Claims Adjustment Expenses, net of Reinsurance </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203,549 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Paid Claims and Claims Adjustment Expenses, net of Reinsurance</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All outstanding liabilities before 2016, net of reinsurance </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for unpaid claims and allocated claims adjustment expenses, net of reinsurance</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155,203 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 on unpaid claims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claims adjustment expenses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liability for unpaid claims and claim adjustment expenses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196,429 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supplementary information shows the average percentage of claims and allocated claims adjustment expenses paid in the years following the incurrence of a claim as of December 31, 2025:</w:t>
      </w:r>
    </w:p>
    <w:tbl>
      <w:tblPr>
        <w:tblW w:w="10205" w:type="dxa"/>
        <w:jc w:val="center"/>
        <w:tblInd w:w="0" w:type="dxa"/>
        <w:tblLayout w:type="fixed"/>
        <w:tblCellMar>
          <w:top w:w="28" w:type="dxa"/>
          <w:left w:w="28" w:type="dxa"/>
          <w:bottom w:w="28" w:type="dxa"/>
          <w:right w:w="28" w:type="dxa"/>
        </w:tblCellMar>
      </w:tblPr>
      <w:tblGrid>
        <w:gridCol w:w="472"/>
        <w:gridCol w:w="415"/>
        <w:gridCol w:w="417"/>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75"/>
        <w:gridCol w:w="175"/>
        <w:gridCol w:w="167"/>
        <w:gridCol w:w="129"/>
        <w:gridCol w:w="129"/>
        <w:gridCol w:w="129"/>
        <w:gridCol w:w="143"/>
        <w:gridCol w:w="129"/>
        <w:gridCol w:w="303"/>
        <w:gridCol w:w="129"/>
        <w:gridCol w:w="129"/>
        <w:gridCol w:w="129"/>
        <w:gridCol w:w="143"/>
        <w:gridCol w:w="129"/>
        <w:gridCol w:w="303"/>
        <w:gridCol w:w="129"/>
        <w:gridCol w:w="129"/>
        <w:gridCol w:w="129"/>
        <w:gridCol w:w="143"/>
        <w:gridCol w:w="129"/>
        <w:gridCol w:w="377"/>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1"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annual percentage payout of incurred claims and allocated claims adjustment expenses by age, net of reinsurance (unaudited)</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1</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7</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8</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9</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10</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Claims duration disclosure</w:t>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8. Earnings per Share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RSUs, and the exercise of vested and unvested stock options.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shares of common stock outstanding used in the computations of basic and diluted EPS of common stock:</w:t>
      </w:r>
    </w:p>
    <w:tbl>
      <w:tblPr>
        <w:tblW w:w="8556" w:type="dxa"/>
        <w:jc w:val="left"/>
        <w:tblInd w:w="0" w:type="dxa"/>
        <w:tblLayout w:type="fixed"/>
        <w:tblCellMar>
          <w:top w:w="28" w:type="dxa"/>
          <w:left w:w="28" w:type="dxa"/>
          <w:bottom w:w="28" w:type="dxa"/>
          <w:right w:w="28" w:type="dxa"/>
        </w:tblCellMar>
      </w:tblPr>
      <w:tblGrid>
        <w:gridCol w:w="1363"/>
        <w:gridCol w:w="1196"/>
        <w:gridCol w:w="120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years ended December 31, </w:t>
            </w:r>
          </w:p>
        </w:tc>
        <w:tc>
          <w:tcPr>
            <w:tcW w:w="1736" w:type="dxa"/>
            <w:gridSpan w:val="8"/>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issuable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9. Segment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activities on a consolidated basis under a single reportable operating segment and our Chief Executive Officer (CEO) serves as our Chief Operating Decision Maker (CODM).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Among these, consolidated net income is the measure used to evaluate segment profit and loss. Our CODM reviews these financial metrics to gauge our performance and make strategic decisions, such as whether to reinvest profits in our Mortgage Insurance segment or return capital to shareholders.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significant revenue and expense categories that are regularly reviewed by our CODM align with those presented on our consolidated statements of operations and comprehensive income, and segment assets align with total assets as presented on our consolidated balance sheets. The accounting policies governing our Mortgage Insurance segment are the same as those described in Note 2, “</w:t>
      </w:r>
      <w:r>
        <w:rPr>
          <w:rFonts w:ascii="Times New Roman;serif" w:hAnsi="Times New Roman;serif"/>
          <w:b w:val="false"/>
          <w:i/>
          <w:color w:val="000000"/>
          <w:sz w:val="20"/>
        </w:rPr>
        <w:t>Summary of Significant Accounting Policies.</w:t>
      </w:r>
      <w:r>
        <w:rPr>
          <w:color w:val="000000"/>
        </w:rPr>
        <w: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Investment income, also referred to as interest revenue, is reported within </w:t>
      </w:r>
      <w:r>
        <w:rPr>
          <w:color w:val="000000"/>
        </w:rPr>
        <w:t>“</w:t>
      </w:r>
      <w:r>
        <w:rPr>
          <w:rFonts w:ascii="Times New Roman;serif" w:hAnsi="Times New Roman;serif"/>
          <w:b w:val="false"/>
          <w:i/>
          <w:color w:val="000000"/>
          <w:sz w:val="20"/>
        </w:rPr>
        <w:t>Net Investment Income</w:t>
      </w:r>
      <w:r>
        <w:rPr>
          <w:color w:val="000000"/>
        </w:rPr>
        <w:t xml:space="preserve">” </w:t>
      </w:r>
      <w:r>
        <w:rPr>
          <w:rFonts w:ascii="Times New Roman;serif" w:hAnsi="Times New Roman;serif"/>
          <w:b w:val="false"/>
          <w:color w:val="000000"/>
          <w:sz w:val="20"/>
        </w:rPr>
        <w:t>on our consolidated statements of operations and was $104.2 million, $86.4 million and $68.2 million, respectively, for the years ended December 31, 2025, 2024 and 2023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Amortization and depreciation expense for software, equipment, and leasehold improvements was $11.3 million, $11.9 million and $11.5 million, respectively, for the years ended December 31, 2025,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10. Share-Based Compensation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Share-based compensation includes stock options, service-based RSUs and performance and service-based RSUs granted under our 2012 Stock Incentive Plan (2012 Plan) and our Amended and Restated 2014 Omnibus Incentive Plan (2014 Plan, and together with the 2012 Plan, the Stock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2012 Plan was approved by the Board on April 16, 2012 and authorized 5.5 million shares of common stock to be reserved for issuance, with limits of 3.85 million shares available for stock option issuance and 1.65 million shares available for RSU issuance. The 2012 Plan expired on April 24, 2022, with all unissued shares of common stock remaining under the 2012 Plan expiring thereafter.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with the full amount available to be issued as either RSUs or options. On May 12, 2022, our stockholders approved further amendments to the 2014 Plan, authorizing an additional 2.25 million shares of common stock for issuance, increasing the total shares of common stock reserved for issuance under the plan to 8.25 million with the full amount available to be issued as either RSUs or options. These shares may be either authorized as unissued shares or treasury shares. Options granted under the 2014 Plan are non-qualified stock options and may be granted to employees, directors and other key persons. The exercise price per share for options covered by the 2014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was granted. The vesting period of the stock option grants is also established by the Board at the time of grant and is generally expected to be a three-year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we incurred $20.2 million, $19.8 million and $16.9 million, respectively, of expenses related to awards granted under the Stock Plans and we recognized associated gross income tax benefits of $4.2 million, $4.2 million and $3.6 million during each respective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during the year ended December 31, 2025 is as follows:</w:t>
      </w:r>
    </w:p>
    <w:tbl>
      <w:tblPr>
        <w:tblW w:w="10205" w:type="dxa"/>
        <w:jc w:val="center"/>
        <w:tblInd w:w="0" w:type="dxa"/>
        <w:tblLayout w:type="fixed"/>
        <w:tblCellMar>
          <w:top w:w="28" w:type="dxa"/>
          <w:left w:w="28" w:type="dxa"/>
          <w:bottom w:w="28" w:type="dxa"/>
          <w:right w:w="28" w:type="dxa"/>
        </w:tblCellMar>
      </w:tblPr>
      <w:tblGrid>
        <w:gridCol w:w="1221"/>
        <w:gridCol w:w="1034"/>
        <w:gridCol w:w="1038"/>
        <w:gridCol w:w="233"/>
        <w:gridCol w:w="233"/>
        <w:gridCol w:w="196"/>
        <w:gridCol w:w="109"/>
        <w:gridCol w:w="109"/>
        <w:gridCol w:w="109"/>
        <w:gridCol w:w="845"/>
        <w:gridCol w:w="2048"/>
        <w:gridCol w:w="436"/>
        <w:gridCol w:w="109"/>
        <w:gridCol w:w="109"/>
        <w:gridCol w:w="109"/>
        <w:gridCol w:w="486"/>
        <w:gridCol w:w="1422"/>
        <w:gridCol w:w="359"/>
      </w:tblGrid>
      <w:tr>
        <w:trPr/>
        <w:tc>
          <w:tcPr>
            <w:tcW w:w="122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(Shares in Thousands)</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at December 31, 2024</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Options outstanding at December 31, 2025 </w:t>
            </w:r>
            <w:r>
              <w:rPr>
                <w:rFonts w:ascii="Times New Roman;serif" w:hAnsi="Times New Roman;serif"/>
                <w:b w:val="false"/>
                <w:color w:val="000000"/>
                <w:sz w:val="13"/>
              </w:rPr>
              <w:t>(1)</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The weighted average remaining contractual life of such options was 1.81 years as of December 31, 2025. The aggregate intrinsic value of such fully vested and exercisable options was $18.4 million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years ended December 31, 2025, 2024 and 2023. As of December 31, 2025, all outstanding options had vested and no unrecognized compensation cost related to non-vested stock options remained.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RSU activity during the year ended December 31, 2025 is as follows:</w:t>
      </w:r>
    </w:p>
    <w:tbl>
      <w:tblPr>
        <w:tblW w:w="9687" w:type="dxa"/>
        <w:jc w:val="center"/>
        <w:tblInd w:w="0" w:type="dxa"/>
        <w:tblLayout w:type="fixed"/>
        <w:tblCellMar>
          <w:top w:w="28" w:type="dxa"/>
          <w:left w:w="28" w:type="dxa"/>
          <w:bottom w:w="28" w:type="dxa"/>
          <w:right w:w="28" w:type="dxa"/>
        </w:tblCellMar>
      </w:tblPr>
      <w:tblGrid>
        <w:gridCol w:w="1659"/>
        <w:gridCol w:w="1463"/>
        <w:gridCol w:w="1467"/>
        <w:gridCol w:w="308"/>
        <w:gridCol w:w="308"/>
        <w:gridCol w:w="196"/>
        <w:gridCol w:w="109"/>
        <w:gridCol w:w="109"/>
        <w:gridCol w:w="109"/>
        <w:gridCol w:w="851"/>
        <w:gridCol w:w="2487"/>
        <w:gridCol w:w="621"/>
      </w:tblGrid>
      <w:tr>
        <w:trPr/>
        <w:tc>
          <w:tcPr>
            <w:tcW w:w="16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(Shares 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at December 31, 2024</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adjustment </w:t>
            </w:r>
            <w:r>
              <w:rPr>
                <w:rFonts w:ascii="Times New Roman;serif" w:hAnsi="Times New Roman;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stock units vested </w:t>
            </w:r>
            <w:r>
              <w:rPr>
                <w:rFonts w:ascii="Times New Roman;serif" w:hAnsi="Times New Roman;serif"/>
                <w:b w:val="false"/>
                <w:color w:val="000000"/>
                <w:sz w:val="13"/>
              </w:rPr>
              <w:t>(2)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forfeited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at December 31,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Performance adjustment represents the difference between the number of target shares at grant date and the number of shares vested at settlement, which can range from 0% to 200% of target achievement depending on results over the applicable performance period.</w:t>
      </w:r>
    </w:p>
    <w:p>
      <w:pPr>
        <w:pStyle w:val="TextBody"/>
        <w:bidi w:val="0"/>
        <w:spacing w:lineRule="auto" w:line="288" w:before="0" w:after="18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Represents amounts vested during the year, including the impact of performance adjustments for service and performance-based RSUs.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1.2 million granted and non-vested RSUs with a weighted average remaining contractual life of 1.33 years, consisting of 0.7 million RSUs that are subject to service-based vesting requirements and 0.5 million RSUs that are subject to performance and service-based vesting requirements. The total fair value of RSUs vested during the year ended December 31, 2025 was $18.1 million. As of December 31, 2025, $14.7 million of total unrecognized compensation costs related to non-vested RSUs remained. Total remaining unrecognized compensation costs related to non-vested RSUs outstanding at December 31, 2025 will be recognized on a weighted average basis over 1.46 years.</w:t>
      </w:r>
    </w:p>
    <w:p>
      <w:pPr>
        <w:pStyle w:val="TextBody"/>
        <w:bidi w:val="0"/>
        <w:spacing w:lineRule="auto" w:line="288" w:before="0" w:after="180"/>
        <w:ind w:left="0" w:right="0" w:firstLine="720"/>
        <w:jc w:val="both"/>
        <w:rPr/>
      </w:pPr>
      <w:r>
        <w:rPr>
          <w:rFonts w:ascii="Times New Roman;serif" w:hAnsi="Times New Roman;serif"/>
          <w:b w:val="false"/>
          <w:color w:val="000000"/>
          <w:sz w:val="20"/>
        </w:rPr>
        <w:t>Non-vested RSUs subject to service-based vesting requirements vest over a period ranging from one to three years. Non-vested RSUs subject to performance and service-based vesting requirements vest after a three-year period, with the number of shares issued upon vesting based on the actual achievement of compound annual book value per share growth compared to a target established at the time of grant.</w:t>
      </w:r>
      <w:r>
        <w:rPr>
          <w:color w:val="FF0000"/>
        </w:rPr>
        <w:t xml:space="preserve"> </w:t>
      </w:r>
      <w:r>
        <w:rPr>
          <w:rFonts w:ascii="Times New Roman;serif" w:hAnsi="Times New Roman;serif"/>
          <w:b w:val="false"/>
          <w:color w:val="000000"/>
          <w:sz w:val="20"/>
        </w:rPr>
        <w:t>The grant date fair value of non-vested RSUs is measured as the closing price of our common stock on the date of grant less the present value of anticipated dividends to be paid during the vesting period.</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401(k) Savings Plan</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2025, 2024 and 2023, we incurred approximately $2.0 million, $2.1 million and $1.9 million of expense related to our matching 401(k) Plan contributions,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U.S. taxpayer and are subject to a statutory U.S. federal corporate income tax rate of 21%. NMIH files a consolidated U.S. federal and various state income tax returns on behalf of itself and its subsidiaries.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income tax expense consists of the following components:</w:t>
      </w:r>
    </w:p>
    <w:tbl>
      <w:tblPr>
        <w:tblW w:w="6500" w:type="dxa"/>
        <w:jc w:val="center"/>
        <w:tblInd w:w="0" w:type="dxa"/>
        <w:tblLayout w:type="fixed"/>
        <w:tblCellMar>
          <w:top w:w="28" w:type="dxa"/>
          <w:left w:w="28" w:type="dxa"/>
          <w:bottom w:w="28" w:type="dxa"/>
          <w:right w:w="28" w:type="dxa"/>
        </w:tblCellMar>
      </w:tblPr>
      <w:tblGrid>
        <w:gridCol w:w="813"/>
        <w:gridCol w:w="713"/>
        <w:gridCol w:w="724"/>
        <w:gridCol w:w="211"/>
        <w:gridCol w:w="826"/>
        <w:gridCol w:w="109"/>
        <w:gridCol w:w="109"/>
        <w:gridCol w:w="109"/>
        <w:gridCol w:w="109"/>
        <w:gridCol w:w="211"/>
        <w:gridCol w:w="826"/>
        <w:gridCol w:w="109"/>
        <w:gridCol w:w="109"/>
        <w:gridCol w:w="109"/>
        <w:gridCol w:w="109"/>
        <w:gridCol w:w="211"/>
        <w:gridCol w:w="721"/>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income tax expense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between the federal statutory income tax expense and tax rate and our effective income tax expense and tax rate:</w:t>
      </w:r>
    </w:p>
    <w:tbl>
      <w:tblPr>
        <w:tblW w:w="10205" w:type="dxa"/>
        <w:jc w:val="center"/>
        <w:tblInd w:w="0" w:type="dxa"/>
        <w:tblLayout w:type="fixed"/>
        <w:tblCellMar>
          <w:top w:w="28" w:type="dxa"/>
          <w:left w:w="28" w:type="dxa"/>
          <w:bottom w:w="28" w:type="dxa"/>
          <w:right w:w="28" w:type="dxa"/>
        </w:tblCellMar>
      </w:tblPr>
      <w:tblGrid>
        <w:gridCol w:w="1428"/>
        <w:gridCol w:w="1088"/>
        <w:gridCol w:w="1092"/>
        <w:gridCol w:w="211"/>
        <w:gridCol w:w="826"/>
        <w:gridCol w:w="109"/>
        <w:gridCol w:w="255"/>
        <w:gridCol w:w="256"/>
        <w:gridCol w:w="271"/>
        <w:gridCol w:w="109"/>
        <w:gridCol w:w="109"/>
        <w:gridCol w:w="109"/>
        <w:gridCol w:w="211"/>
        <w:gridCol w:w="826"/>
        <w:gridCol w:w="109"/>
        <w:gridCol w:w="255"/>
        <w:gridCol w:w="256"/>
        <w:gridCol w:w="271"/>
        <w:gridCol w:w="109"/>
        <w:gridCol w:w="109"/>
        <w:gridCol w:w="109"/>
        <w:gridCol w:w="211"/>
        <w:gridCol w:w="721"/>
        <w:gridCol w:w="109"/>
        <w:gridCol w:w="255"/>
        <w:gridCol w:w="256"/>
        <w:gridCol w:w="271"/>
        <w:gridCol w:w="109"/>
        <w:gridCol w:w="155"/>
      </w:tblGrid>
      <w:tr>
        <w:trPr/>
        <w:tc>
          <w:tcPr>
            <w:tcW w:w="142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statutory tax rate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income tax rate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Florida and Illinois accounted for the majority of our state and local income taxes during the years ended December 31, 2025 and 2024, and Illinois accounted for the majority for the year ended December 31, 2023.</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our net deferred tax liability are summarized as follows: </w:t>
      </w:r>
    </w:p>
    <w:tbl>
      <w:tblPr>
        <w:tblW w:w="5739" w:type="dxa"/>
        <w:jc w:val="left"/>
        <w:tblInd w:w="0" w:type="dxa"/>
        <w:tblLayout w:type="fixed"/>
        <w:tblCellMar>
          <w:top w:w="28" w:type="dxa"/>
          <w:left w:w="28" w:type="dxa"/>
          <w:bottom w:w="28" w:type="dxa"/>
          <w:right w:w="28" w:type="dxa"/>
        </w:tblCellMar>
      </w:tblPr>
      <w:tblGrid>
        <w:gridCol w:w="1061"/>
        <w:gridCol w:w="930"/>
        <w:gridCol w:w="934"/>
        <w:gridCol w:w="211"/>
        <w:gridCol w:w="901"/>
        <w:gridCol w:w="109"/>
        <w:gridCol w:w="109"/>
        <w:gridCol w:w="109"/>
        <w:gridCol w:w="109"/>
        <w:gridCol w:w="211"/>
        <w:gridCol w:w="901"/>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 reserve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liability</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deferred income tax (liability)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years ended December 31, 2025, 2024 and 2023, we purchased $78.1 million, $86.9 million and $80.9 million, of tax and loss bonds, respectively. As of December 31, 2025 and 2024, we held $400.3 million and $322.2 million of tax and loss bonds, respectively, in “</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consolidated balance sheets.</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At December 31, 2025, we had a federal net operating loss carryforward of $0.7 million which expires in varying amounts in 2030 and 2031, and state net operating loss carryforwards of $133.1 million, which begin to expire in varying amounts in 2032. Section 382 of the IRC imposes annual limitations on a corporation's ability to utilize its net operating loss carryforward if it experiences an “ownership change.</w:t>
      </w:r>
      <w:r>
        <w:rPr>
          <w:color w:val="000000"/>
        </w:rPr>
        <w:t xml:space="preserve">” </w:t>
      </w:r>
      <w:r>
        <w:rPr>
          <w:rFonts w:ascii="Times New Roman;serif" w:hAnsi="Times New Roman;serif"/>
          <w:b w:val="false"/>
          <w:color w:val="000000"/>
          <w:sz w:val="20"/>
        </w:rPr>
        <w:t>As a result of the acquisition of our insurance subsidiaries in 2012, $7.3 million of federal net operating losses were subject to annual limitations of $0.8 million through 2016, $0.5 million in 2017 and $0.3 million, thereafter, through 2028. Our federal net operating loss carryforward arises from this limitation and the constraint on our ability to utilize the net operating loss carryforward in full during the current period.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establish a valuation allowance against our deferred tax assets when it is more likely than not that all or a portion of the asset will not be realized. We assess our need for a valuation allowance on a quarterly basis. In the course of our review, we assess all available evidence, both positive and negative, including our expectations for future sources of income and contractual cash flows, the availability and application of tax planning strategies, and the potential reversal of temporary tax differences. At both December 31, 2025 and 2024, we recorded a valuation allowance of $9.5 million against state net deferred tax assets. The valuation allowance for both years primarily relates to state net operating losses generated by NMIH, as NMIH has historically operated at a loss and currently only generates revenue from its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valuation allowance:</w:t>
      </w:r>
    </w:p>
    <w:tbl>
      <w:tblPr>
        <w:tblW w:w="7077" w:type="dxa"/>
        <w:jc w:val="left"/>
        <w:tblInd w:w="0" w:type="dxa"/>
        <w:tblLayout w:type="fixed"/>
        <w:tblCellMar>
          <w:top w:w="28" w:type="dxa"/>
          <w:left w:w="28" w:type="dxa"/>
          <w:bottom w:w="28" w:type="dxa"/>
          <w:right w:w="28" w:type="dxa"/>
        </w:tblCellMar>
      </w:tblPr>
      <w:tblGrid>
        <w:gridCol w:w="1293"/>
        <w:gridCol w:w="1135"/>
        <w:gridCol w:w="1142"/>
        <w:gridCol w:w="211"/>
        <w:gridCol w:w="616"/>
        <w:gridCol w:w="109"/>
        <w:gridCol w:w="109"/>
        <w:gridCol w:w="109"/>
        <w:gridCol w:w="109"/>
        <w:gridCol w:w="211"/>
        <w:gridCol w:w="616"/>
        <w:gridCol w:w="109"/>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charged to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we had zero reserves for unrecognized tax benefits as we have taken no material uncertain tax positions that would have required a reserve to be measured and recognized.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file income tax returns with the U.S. federal government and various state jurisdictions that are subject to potential examination by tax authorities. We are not currently under examination by federal or state jurisdictions. Our U.S. federal income tax returns for 2022 and subsequent years, and state income tax returns for 2021 and subsequent years, remain open by statute.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and included provisions that amended U.S. federal corporate income tax law to, among other things, allow for the immediate expensing of domestic U.S. research and development expenses, allow for the immediate expensing of certain capital expenditures, and change the U.S. taxation of profits derived from foreign operations. The OBBBA did not have a material impact on our effective income tax rate or consolidated financial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income taxes paid (net of refunds received):</w:t>
      </w:r>
    </w:p>
    <w:tbl>
      <w:tblPr>
        <w:tblW w:w="4287" w:type="dxa"/>
        <w:jc w:val="left"/>
        <w:tblInd w:w="0" w:type="dxa"/>
        <w:tblLayout w:type="fixed"/>
        <w:tblCellMar>
          <w:top w:w="28" w:type="dxa"/>
          <w:left w:w="28" w:type="dxa"/>
          <w:bottom w:w="28" w:type="dxa"/>
          <w:right w:w="28" w:type="dxa"/>
        </w:tblCellMar>
      </w:tblPr>
      <w:tblGrid>
        <w:gridCol w:w="282"/>
        <w:gridCol w:w="248"/>
        <w:gridCol w:w="250"/>
        <w:gridCol w:w="211"/>
        <w:gridCol w:w="721"/>
        <w:gridCol w:w="109"/>
        <w:gridCol w:w="109"/>
        <w:gridCol w:w="109"/>
        <w:gridCol w:w="109"/>
        <w:gridCol w:w="211"/>
        <w:gridCol w:w="721"/>
        <w:gridCol w:w="109"/>
        <w:gridCol w:w="109"/>
        <w:gridCol w:w="109"/>
        <w:gridCol w:w="109"/>
        <w:gridCol w:w="211"/>
        <w:gridCol w:w="406"/>
        <w:gridCol w:w="15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no individual state jurisdiction accounted for 5% or more of total income taxes paid. During the year ended December 31, 2023, Florida accounted for 100% of income taxes paid.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Software and Equipment</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Software and equipment consist largely of capitalized software developed to support our mortgage insurance operations. Software and equipment, net of accumulated amortization and depreciation, as of December 31, 2025 and 2024, consists of the following:</w:t>
      </w:r>
    </w:p>
    <w:tbl>
      <w:tblPr>
        <w:tblW w:w="7279" w:type="dxa"/>
        <w:jc w:val="center"/>
        <w:tblInd w:w="0" w:type="dxa"/>
        <w:tblLayout w:type="fixed"/>
        <w:tblCellMar>
          <w:top w:w="28" w:type="dxa"/>
          <w:left w:w="28" w:type="dxa"/>
          <w:bottom w:w="28" w:type="dxa"/>
          <w:right w:w="28" w:type="dxa"/>
        </w:tblCellMar>
      </w:tblPr>
      <w:tblGrid>
        <w:gridCol w:w="1333"/>
        <w:gridCol w:w="1174"/>
        <w:gridCol w:w="1183"/>
        <w:gridCol w:w="276"/>
        <w:gridCol w:w="1081"/>
        <w:gridCol w:w="142"/>
        <w:gridCol w:w="109"/>
        <w:gridCol w:w="109"/>
        <w:gridCol w:w="109"/>
        <w:gridCol w:w="304"/>
        <w:gridCol w:w="1039"/>
        <w:gridCol w:w="157"/>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and depreciation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costs for software, equipment, and leasehold improvements during the years ended December 31, 2025, 2024 and 2023 were $7.3 million, $7.4 million and $9.9 million, respectively. Amortization and depreciation expense for software, equipment, and leasehold improvements for the years ended December 31, 2025, 2024 and 2023 was $11.3 million, $11.9 million and $11.5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13. Intangible Assets and Goodwill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and goodwill consist of identifiable intangible assets and goodwill purchased in connection with the acquisition of our insurance subsidiaries. Intangible assets and goodwill as of both December 31, 2025 and 2024 were as follows: </w:t>
      </w:r>
    </w:p>
    <w:tbl>
      <w:tblPr>
        <w:tblW w:w="5799" w:type="dxa"/>
        <w:jc w:val="left"/>
        <w:tblInd w:w="0" w:type="dxa"/>
        <w:tblLayout w:type="fixed"/>
        <w:tblCellMar>
          <w:top w:w="28" w:type="dxa"/>
          <w:left w:w="28" w:type="dxa"/>
          <w:bottom w:w="28" w:type="dxa"/>
          <w:right w:w="28" w:type="dxa"/>
        </w:tblCellMar>
      </w:tblPr>
      <w:tblGrid>
        <w:gridCol w:w="1114"/>
        <w:gridCol w:w="979"/>
        <w:gridCol w:w="981"/>
        <w:gridCol w:w="263"/>
        <w:gridCol w:w="770"/>
        <w:gridCol w:w="136"/>
        <w:gridCol w:w="109"/>
        <w:gridCol w:w="109"/>
        <w:gridCol w:w="109"/>
        <w:gridCol w:w="359"/>
        <w:gridCol w:w="359"/>
        <w:gridCol w:w="51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Lives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licenses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applications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and goodwill</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test goodwill and intangible assets for impairment annually or more frequently if we believe indicators of impairment exist. No impairments of indefinite-lived intangibles or goodwill were identified during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Leases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have two operating lease agreements related to our corporate headquarters and a data center facility for which we recognized operating ROU assets and lease liabilities of $6.7 million and $8.5 million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Other Liabilities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respectively, on our consolidated balance sheets as of December 31, 2025. As of December 31, 2024, we recognized operating ROU assets and lease liabilities of $8.2 million and $10.3 million, respectively. As of December 31, 2025 and 2024, we did not have any finance leases.</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enter into any new operating leases or recognize any new ROU assets or lease liabilities during the year ended December 31, 2025.</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ROU asset and lease liability assumptions as of December 31, 2025 and 2024:</w:t>
      </w:r>
    </w:p>
    <w:tbl>
      <w:tblPr>
        <w:tblW w:w="6687" w:type="dxa"/>
        <w:jc w:val="left"/>
        <w:tblInd w:w="0" w:type="dxa"/>
        <w:tblLayout w:type="fixed"/>
        <w:tblCellMar>
          <w:top w:w="28" w:type="dxa"/>
          <w:left w:w="28" w:type="dxa"/>
          <w:bottom w:w="28" w:type="dxa"/>
          <w:right w:w="28" w:type="dxa"/>
        </w:tblCellMar>
      </w:tblPr>
      <w:tblGrid>
        <w:gridCol w:w="1198"/>
        <w:gridCol w:w="1055"/>
        <w:gridCol w:w="1062"/>
        <w:gridCol w:w="334"/>
        <w:gridCol w:w="334"/>
        <w:gridCol w:w="832"/>
        <w:gridCol w:w="109"/>
        <w:gridCol w:w="109"/>
        <w:gridCol w:w="109"/>
        <w:gridCol w:w="314"/>
        <w:gridCol w:w="314"/>
        <w:gridCol w:w="917"/>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paid on our operating leases for the years ended December 31, 2025, 2024 and 2023 was $2.4 million, $2.3 million and $1.5 million and lease expense incurred was $2.1 million, $2.1 million and $2.0 million during each respective period.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payments due under our existing operating leases as of December 31, 2025 are as follows:</w:t>
      </w:r>
    </w:p>
    <w:tbl>
      <w:tblPr>
        <w:tblW w:w="4199" w:type="dxa"/>
        <w:jc w:val="center"/>
        <w:tblInd w:w="0" w:type="dxa"/>
        <w:tblLayout w:type="fixed"/>
        <w:tblCellMar>
          <w:top w:w="28" w:type="dxa"/>
          <w:left w:w="28" w:type="dxa"/>
          <w:bottom w:w="28" w:type="dxa"/>
          <w:right w:w="28" w:type="dxa"/>
        </w:tblCellMar>
      </w:tblPr>
      <w:tblGrid>
        <w:gridCol w:w="1079"/>
        <w:gridCol w:w="951"/>
        <w:gridCol w:w="955"/>
        <w:gridCol w:w="261"/>
        <w:gridCol w:w="763"/>
        <w:gridCol w:w="190"/>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Years ending December 31,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effects of discounting</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Lease expense is recorded in </w:t>
      </w:r>
      <w:r>
        <w:rPr>
          <w:color w:val="000000"/>
        </w:rPr>
        <w:t>“</w:t>
      </w:r>
      <w:r>
        <w:rPr>
          <w:rFonts w:ascii="Times New Roman;serif" w:hAnsi="Times New Roman;serif"/>
          <w:b w:val="false"/>
          <w:i/>
          <w:color w:val="000000"/>
          <w:sz w:val="20"/>
        </w:rPr>
        <w:t>Underwriting and Operating Expenses”</w:t>
      </w:r>
      <w:r>
        <w:rPr>
          <w:color w:val="000000"/>
        </w:rPr>
        <w:t xml:space="preserve"> </w:t>
      </w:r>
      <w:r>
        <w:rPr>
          <w:rFonts w:ascii="Times New Roman;serif" w:hAnsi="Times New Roman;serif"/>
          <w:b w:val="false"/>
          <w:color w:val="000000"/>
          <w:sz w:val="20"/>
        </w:rPr>
        <w:t>on the consolidated statements of operations and comprehensive income. Our existing leases have original terms that range from two to eight years. The lease for our corporate headquarters includes an option to renew for an additional five years at prevailing market rates at time of renewal. This renewal option is not included in the calculation of future lease payments due under the existing lease as presented above as it is not reasonably certain to be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PMIERs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 xml:space="preserve">terms have the same meaning that such terms have in the PMIERs, as described below). The PMIERs establish operational, business, remedial and financial requirements applicable to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serif" w:hAnsi="Times New Roman;serif"/>
          <w:b w:val="false"/>
          <w:i/>
          <w:color w:val="000000"/>
          <w:sz w:val="20"/>
        </w:rPr>
        <w:t>i.e.</w:t>
      </w:r>
      <w:r>
        <w:rPr>
          <w:rFonts w:ascii="Times New Roman;serif" w:hAnsi="Times New Roman;serif"/>
          <w:b w:val="false"/>
          <w:color w:val="000000"/>
          <w:sz w:val="20"/>
        </w:rPr>
        <w:t>, current vs. delinquent), LTV ratio and other risk features. In general, higher-quality loans carry lower charges.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PMIERs,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 xml:space="preserve">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equal or exceed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The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is a function of the risk profile of an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against certain risk-based factors derived from tables set out in the PMIERs</w:t>
      </w:r>
      <w:r>
        <w:rPr>
          <w:rFonts w:ascii="Times New Roman;serif" w:hAnsi="Times New Roman;serif"/>
          <w:b w:val="false"/>
          <w:color w:val="000000"/>
          <w:sz w:val="22"/>
        </w:rPr>
        <w:t xml:space="preserve">, </w:t>
      </w:r>
      <w:r>
        <w:rPr>
          <w:rFonts w:ascii="Times New Roman;serif" w:hAnsi="Times New Roman;serif"/>
          <w:b w:val="false"/>
          <w:color w:val="000000"/>
          <w:sz w:val="20"/>
        </w:rPr>
        <w:t xml:space="preserve">which is then adjusted on an aggregate basis for reinsurance transactions approved by the GSEs, such as with respect to our QSR Transactions, XOL Transactions and ILN Transactions. The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 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are entitled to one vote per share on all matters to be voted upon by stockholders, and there are no cumulative voting rights. Holders of our common stock have no preemptive or conversion rights or other subscription rights, and there are no redemption or sinking fund provisions applicable to the common stock. Holders of common stock are entitled to receive dividends ratably if any are declared.</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2023, our Board of Directors authorized a $200 million share repurchase program (the 2023 Repurchase Program), effective through December 31, 2025. On February 5, 2025, our Board of Directors authorized an additional $250 million repurchase program (the 2025 Repurchase Program), effective through December 31, 2027, and extended the effectiveness of the 2023 Repurchase Program through December 31, 2027 to align its remaining tenor with that of the 2025 Repurchase Program. The authorizations provide us with the flexibility, based on market and business conditions, stock price and other factors, to repurchase stock from time to time through open market purchases, privately negotiated transactions, or other means, including pursuant to Rule 10b5-1 trading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repurchased 2.8 million shares at an average price of $37.44 (excluding associated costs and applicable taxes). During the year ended December 31, 2024, we repurchased 2.8 million shares at an average price of $33.98 per share (excluding associated costs and applicable taxes). As of December 31, 2025, we had $225.9 million of repurchase authorization remaining.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both"/>
        <w:rPr>
          <w:rFonts w:ascii="Times New Roman;serif" w:hAnsi="Times New Roman;serif"/>
          <w:b/>
          <w:color w:val="000000"/>
          <w:sz w:val="20"/>
        </w:rPr>
      </w:pPr>
      <w:r>
        <w:rPr>
          <w:rFonts w:ascii="Times New Roman;serif" w:hAnsi="Times New Roman;serif"/>
          <w:b/>
          <w:color w:val="000000"/>
          <w:sz w:val="20"/>
        </w:rPr>
        <w:t>17. Regulatory Information</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Statutory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NMIC's statutory net income, statutory surplus, contingency reserve, statutory capital and risk-to-capital (RTC) ratio as of and for the years ended December 31, 2025, 2024 and 2023:</w:t>
      </w:r>
    </w:p>
    <w:tbl>
      <w:tblPr>
        <w:tblW w:w="6665" w:type="dxa"/>
        <w:jc w:val="left"/>
        <w:tblInd w:w="0" w:type="dxa"/>
        <w:tblLayout w:type="fixed"/>
        <w:tblCellMar>
          <w:top w:w="28" w:type="dxa"/>
          <w:left w:w="28" w:type="dxa"/>
          <w:bottom w:w="28" w:type="dxa"/>
          <w:right w:w="28" w:type="dxa"/>
        </w:tblCellMar>
      </w:tblPr>
      <w:tblGrid>
        <w:gridCol w:w="673"/>
        <w:gridCol w:w="591"/>
        <w:gridCol w:w="596"/>
        <w:gridCol w:w="211"/>
        <w:gridCol w:w="976"/>
        <w:gridCol w:w="109"/>
        <w:gridCol w:w="109"/>
        <w:gridCol w:w="109"/>
        <w:gridCol w:w="109"/>
        <w:gridCol w:w="211"/>
        <w:gridCol w:w="976"/>
        <w:gridCol w:w="109"/>
        <w:gridCol w:w="109"/>
        <w:gridCol w:w="109"/>
        <w:gridCol w:w="109"/>
        <w:gridCol w:w="211"/>
        <w:gridCol w:w="976"/>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and for the years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Statutory 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Statutory capital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Risk-to-capital</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total of the statutory surplus and contingency reserve.</w:t>
      </w:r>
    </w:p>
    <w:p>
      <w:pPr>
        <w:pStyle w:val="TextBody"/>
        <w:bidi w:val="0"/>
        <w:ind w:left="0" w:right="0" w:hanging="36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 One recorded statutory income of $28 thousand and $43 thousand for the years ended December 31, 2025 and 2024, respectively, and a statutory loss of $400 thousand for the year ended December 31, 2023. Re One had $2.1 million of statutory capital at December 31, 2025 and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applicable law in Wisconsin and 15 other states, mortgage insurers must maintain minimum amounts of statutory capital relative to RIF to continue writing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NMIC's primary RIF, net of reinsurance, was approximately $42.4 billion and its RTC ratio was 13.0:1. As of December 31, 2024, NMIC's primary RIF, net of reinsurance, was approximately $36.6 billion and its RTC ratio was 12.7:1.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Debt Service Allocation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approved the allocation of interest expense on the $425 million 2024 Notes and $250 million 2024 Revolving Credit Facility to NMIC, to the extent proceeds from such offering and facility are distributed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Dividend Restrictions</w:t>
      </w:r>
    </w:p>
    <w:p>
      <w:pPr>
        <w:pStyle w:val="TextBody"/>
        <w:bidi w:val="0"/>
        <w:spacing w:lineRule="auto" w:line="288" w:before="0" w:after="180"/>
        <w:ind w:left="0" w:right="0" w:firstLine="765"/>
        <w:jc w:val="both"/>
        <w:rPr>
          <w:rFonts w:ascii="Times New Roman;serif" w:hAnsi="Times New Roman;serif"/>
          <w:b w:val="false"/>
          <w:color w:val="000000"/>
          <w:sz w:val="20"/>
        </w:rPr>
      </w:pPr>
      <w:r>
        <w:rPr>
          <w:rFonts w:ascii="Times New Roman;serif" w:hAnsi="Times New Roman;serif"/>
          <w:b w:val="false"/>
          <w:color w:val="000000"/>
          <w:sz w:val="20"/>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serif" w:hAnsi="Times New Roman;serif"/>
          <w:b w:val="false"/>
          <w:i/>
          <w:color w:val="000000"/>
          <w:sz w:val="20"/>
        </w:rPr>
        <w:t>i.e.</w:t>
      </w:r>
      <w:r>
        <w:rPr>
          <w:rFonts w:ascii="Times New Roman;serif" w:hAnsi="Times New Roman;serif"/>
          <w:b w:val="false"/>
          <w:color w:val="000000"/>
          <w:sz w:val="20"/>
        </w:rPr>
        <w:t>, “ordinary” dividends) with 30 days' prior notice to the Wisconsin OCI. Dividends in larger amounts (</w:t>
      </w:r>
      <w:r>
        <w:rPr>
          <w:rFonts w:ascii="Times New Roman;serif" w:hAnsi="Times New Roman;serif"/>
          <w:b w:val="false"/>
          <w:i/>
          <w:color w:val="000000"/>
          <w:sz w:val="20"/>
        </w:rPr>
        <w:t>i.e</w:t>
      </w:r>
      <w:r>
        <w:rPr>
          <w:rFonts w:ascii="Times New Roman;serif" w:hAnsi="Times New Roman;serif"/>
          <w:b w:val="false"/>
          <w:color w:val="000000"/>
          <w:sz w:val="20"/>
        </w:rPr>
        <w:t>., “extraordinary”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2025, NMIC paid a $98.4 million ordinary course dividend to NMIH. NMIC has the capacity to pay aggregate ordinary dividends of $101.0 million to NMIH during the twelve-month period ending December 31, 2026.</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conducted an evaluation of the effectiveness of our disclosure controls and procedures (as defined in Rule 13a-15(e) of the Exchange Act) as of December 31, 2025,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as of December 31, 2025,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Internal Control Over Financial Reporting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of our Chief Executive Officer and Chief Financial Officer, our management assessed the effectiveness of the Company's internal control over financial reporting as of December 31, 2025.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2025. The effectiveness of our internal control over financial reporting as of December 31, 2025 has been audited by BDO USA, P.C., an independent registered public accounting firm, as stated in their report, which appears below.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Shareholders and Board of Directors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NMI Holdings, Inc.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Emeryville, California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rPr>
        <w:t xml:space="preserve">We have audited NMI Holdings, Inc.’s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2025, based on the COSO criteria</w:t>
      </w:r>
      <w:r>
        <w:rPr>
          <w:rFonts w:ascii="Times New Roman;serif" w:hAnsi="Times New Roman;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changes in shareholders’ equity, and cash flows for each of the three years in the period ended December 31, 2025, and the related notes and schedules listed in the accompanying index appearing under Part IV, Item 15 – Exhibits and Financial Statement Schedules and our report dated February 12, 2026 expressed an unqualified opinion thereon.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lineRule="auto" w:line="288" w:before="240" w:after="94"/>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and will be contained in, our definitive proxy statement, which will be filed within 120 days after December 31, 2025. Accordingly, we have omitted the information from this Item pursuant to General Instruction G (3)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ind w:left="0" w:right="0" w:hanging="360"/>
        <w:jc w:val="both"/>
        <w:rPr/>
      </w:pPr>
      <w:r>
        <w:rPr>
          <w:rFonts w:ascii="Times New Roman;serif" w:hAnsi="Times New Roman;serif"/>
          <w:b w:val="false"/>
          <w:color w:val="000000"/>
          <w:sz w:val="20"/>
        </w:rPr>
        <w:t>1.    Financial Statements — See the “</w:t>
      </w:r>
      <w:r>
        <w:rPr>
          <w:rFonts w:ascii="Times New Roman;serif" w:hAnsi="Times New Roman;serif"/>
          <w:b w:val="false"/>
          <w:i/>
          <w:color w:val="000000"/>
          <w:sz w:val="20"/>
        </w:rPr>
        <w:t>Index to Financial Statements”</w:t>
      </w:r>
      <w:r>
        <w:rPr>
          <w:color w:val="000000"/>
        </w:rPr>
        <w:t xml:space="preserve"> </w:t>
      </w:r>
      <w:r>
        <w:rPr>
          <w:rFonts w:ascii="Times New Roman;serif" w:hAnsi="Times New Roman;serif"/>
          <w:b w:val="false"/>
          <w:color w:val="000000"/>
          <w:sz w:val="20"/>
        </w:rPr>
        <w:t>included in Part II, Item 8 of this report for a list of the financial statements filed as part of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2.    Financial Statement Schedules — The following financial statement schedules are filed as part of this Form 10-K and appear immediately following the signature page. See the “</w:t>
      </w:r>
      <w:r>
        <w:rPr>
          <w:rFonts w:ascii="Times New Roman;serif" w:hAnsi="Times New Roman;serif"/>
          <w:b w:val="false"/>
          <w:i/>
          <w:color w:val="000000"/>
          <w:sz w:val="20"/>
        </w:rPr>
        <w:t>Index to Financial Statement Schedules”</w:t>
      </w:r>
      <w:r>
        <w:rPr>
          <w:color w:val="000000"/>
        </w:rPr>
        <w:t xml:space="preserve"> </w:t>
      </w:r>
      <w:r>
        <w:rPr>
          <w:rFonts w:ascii="Times New Roman;serif" w:hAnsi="Times New Roman;serif"/>
          <w:b w:val="false"/>
          <w:color w:val="000000"/>
          <w:sz w:val="20"/>
        </w:rPr>
        <w:t xml:space="preserve">on page </w:t>
      </w:r>
      <w:hyperlink w:anchor="i05912e4d3e514221a54044ba2adc2e6d_397">
        <w:r>
          <w:rPr>
            <w:rStyle w:val="InternetLink"/>
            <w:rFonts w:ascii="Times New Roman;serif" w:hAnsi="Times New Roman;serif"/>
            <w:b w:val="false"/>
            <w:color w:val="0000FF"/>
            <w:sz w:val="20"/>
            <w:u w:val="single"/>
          </w:rPr>
          <w:t>124</w:t>
        </w:r>
      </w:hyperlink>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 I — Summary of Investments — other than investments in related parties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 IV — Reinsurance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356"/>
        <w:gridCol w:w="312"/>
        <w:gridCol w:w="314"/>
        <w:gridCol w:w="109"/>
        <w:gridCol w:w="109"/>
        <w:gridCol w:w="109"/>
        <w:gridCol w:w="2839"/>
        <w:gridCol w:w="2828"/>
        <w:gridCol w:w="2854"/>
        <w:gridCol w:w="109"/>
        <w:gridCol w:w="109"/>
        <w:gridCol w:w="157"/>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Underwriting Agreement, dated May 7, 2024, among the Company, RBC Capital Markets, LLC, Goldman Sachs &amp; Co. LLC, BMO Capital Markets Corp., Citigroup Global Markets Inc. and Truist Securities, Inc. acting as representatives of several underwriters named therein</w:t>
              </w:r>
            </w:hyperlink>
            <w:r>
              <w:rPr>
                <w:color w:val="000000"/>
              </w:rPr>
              <w:t xml:space="preserve"> </w:t>
            </w:r>
            <w:r>
              <w:rPr>
                <w:rFonts w:ascii="Times New Roman;serif" w:hAnsi="Times New Roman;serif"/>
                <w:b w:val="false"/>
                <w:color w:val="000000"/>
                <w:sz w:val="20"/>
              </w:rPr>
              <w:t>(incorporated herein by reference to Exhibit 1.1 to our Form 8-K, filed on May 8,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Third Amended and Restated Certificate of Incorporation</w:t>
              </w:r>
            </w:hyperlink>
            <w:r>
              <w:rPr>
                <w:color w:val="000000"/>
              </w:rPr>
              <w:t xml:space="preserve"> </w:t>
            </w:r>
            <w:r>
              <w:rPr>
                <w:rFonts w:ascii="Times New Roman;serif" w:hAnsi="Times New Roman;serif"/>
                <w:b w:val="false"/>
                <w:color w:val="000000"/>
                <w:sz w:val="20"/>
              </w:rPr>
              <w:t>(incorporated herein by reference to Exhibit 3.1 to our Form 8-K, filed on May 10,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Fifth Amended and Restated Bylaws</w:t>
              </w:r>
            </w:hyperlink>
            <w:r>
              <w:rPr>
                <w:color w:val="000000"/>
              </w:rPr>
              <w:t xml:space="preserve"> </w:t>
            </w:r>
            <w:r>
              <w:rPr>
                <w:rFonts w:ascii="Times New Roman;serif" w:hAnsi="Times New Roman;serif"/>
                <w:b w:val="false"/>
                <w:color w:val="000000"/>
                <w:sz w:val="20"/>
              </w:rPr>
              <w:t>(incorporated herein by reference to Exhibit 3.2 to our Form 8-K, filed on May 10,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(incorporated herein by reference to Exhibit 4.1 to our Form 8-K, filed on May 21,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Supplemental 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(including the form of the Notes) (incorporated herein by reference to Exhibit 4.2 to our Form 8-K, filed on May 21,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Description of Securities</w:t>
              </w:r>
            </w:hyperlink>
            <w:r>
              <w:rPr>
                <w:color w:val="000000"/>
              </w:rPr>
              <w:t xml:space="preserve"> </w:t>
            </w:r>
            <w:r>
              <w:rPr>
                <w:rFonts w:ascii="Times New Roman;serif" w:hAnsi="Times New Roman;serif"/>
                <w:b w:val="false"/>
                <w:color w:val="000000"/>
                <w:sz w:val="20"/>
              </w:rPr>
              <w:t>(incorporated herein by reference to Exhibit 4.4 to our Form 10-Q, filed on July 31,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NMI Holdings Inc. 2012 Stock Incentive Plan</w:t>
              </w:r>
            </w:hyperlink>
            <w:r>
              <w:rPr>
                <w:color w:val="000000"/>
              </w:rPr>
              <w:t xml:space="preserve"> </w:t>
            </w:r>
            <w:r>
              <w:rPr>
                <w:rFonts w:ascii="Times New Roman;serif" w:hAnsi="Times New Roman;serif"/>
                <w:b w:val="false"/>
                <w:color w:val="000000"/>
                <w:sz w:val="20"/>
              </w:rPr>
              <w:t>(incorporated herein by reference to Exhibit 10.1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NMI Holdings, Inc. 2012 Stock Incentive Plan Nonqualified Stock Option Award Agreement (For CEO and CFO)</w:t>
              </w:r>
            </w:hyperlink>
            <w:r>
              <w:rPr>
                <w:color w:val="000000"/>
              </w:rPr>
              <w:t xml:space="preserve"> </w:t>
            </w:r>
            <w:r>
              <w:rPr>
                <w:rFonts w:ascii="Times New Roman;serif" w:hAnsi="Times New Roman;serif"/>
                <w:b w:val="false"/>
                <w:color w:val="000000"/>
                <w:sz w:val="20"/>
              </w:rPr>
              <w:t>(incorporated herein by reference to Exhibit 10.5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NMI Holdings, Inc. 2012 Stock Incentive Plan Nonqualified Stock Option Award Agreement (For Management)</w:t>
              </w:r>
            </w:hyperlink>
            <w:r>
              <w:rPr>
                <w:color w:val="000000"/>
              </w:rPr>
              <w:t xml:space="preserve"> </w:t>
            </w:r>
            <w:r>
              <w:rPr>
                <w:rFonts w:ascii="Times New Roman;serif" w:hAnsi="Times New Roman;serif"/>
                <w:b w:val="false"/>
                <w:color w:val="000000"/>
                <w:sz w:val="20"/>
              </w:rPr>
              <w:t>(incorporated herein by reference to Exhibit 10.6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NMI Holdings, Inc. 2012 Stock Incentive Plan Nonqualified Stock Option Award Agreement (For Non-Employee Directors)</w:t>
              </w:r>
            </w:hyperlink>
            <w:r>
              <w:rPr>
                <w:color w:val="000000"/>
              </w:rPr>
              <w:t xml:space="preserve"> </w:t>
            </w:r>
            <w:r>
              <w:rPr>
                <w:rFonts w:ascii="Times New Roman;serif" w:hAnsi="Times New Roman;serif"/>
                <w:b w:val="false"/>
                <w:color w:val="000000"/>
                <w:sz w:val="20"/>
              </w:rPr>
              <w:t>(incorporated herein by reference to Exhibit 10.7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 xml:space="preserve">Form of NMI Holdings, Inc. 2012 Stock Incentive Plan Nonqualified Stock Option Award Agreement (For CEO/CFO) </w:t>
              </w:r>
            </w:hyperlink>
            <w:r>
              <w:rPr>
                <w:rFonts w:ascii="Times New Roman;serif" w:hAnsi="Times New Roman;serif"/>
                <w:b w:val="false"/>
                <w:color w:val="000000"/>
                <w:sz w:val="20"/>
              </w:rPr>
              <w:t>(incorporated herein by reference to Exhibit 10.8 to our Form 10-K, filed on February 17,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NMI Holdings, Inc. 2012 Stock Incentive Plan Nonqualified Stock Option Award Agreement (For Employees)</w:t>
              </w:r>
            </w:hyperlink>
            <w:r>
              <w:rPr>
                <w:color w:val="000000"/>
              </w:rPr>
              <w:t xml:space="preserve"> </w:t>
            </w:r>
            <w:r>
              <w:rPr>
                <w:rFonts w:ascii="Times New Roman;serif" w:hAnsi="Times New Roman;serif"/>
                <w:b w:val="false"/>
                <w:color w:val="000000"/>
                <w:sz w:val="20"/>
              </w:rPr>
              <w:t>(incorporated herein by reference to Exhibit 10.9 to our Form 10-K, filed on February 17,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 xml:space="preserve">Form of NMI Holdings, Inc. 2012 Stock Incentive Plan Nonqualified Stock Option Agreement (For Employees) </w:t>
              </w:r>
            </w:hyperlink>
            <w:r>
              <w:rPr>
                <w:rFonts w:ascii="Times New Roman;serif" w:hAnsi="Times New Roman;serif"/>
                <w:b w:val="false"/>
                <w:color w:val="000000"/>
                <w:sz w:val="20"/>
              </w:rPr>
              <w:t>(incorporated herein by reference to Exhibit 10.32 to our Form 10-Q, filed on May 2,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NMI Holdings, Inc. Amended and Restated 2014 Omnibus Incentive Plan</w:t>
              </w:r>
            </w:hyperlink>
            <w:r>
              <w:rPr>
                <w:color w:val="000000"/>
              </w:rPr>
              <w:t xml:space="preserve"> </w:t>
            </w:r>
            <w:r>
              <w:rPr>
                <w:rFonts w:ascii="Times New Roman;serif" w:hAnsi="Times New Roman;serif"/>
                <w:b w:val="false"/>
                <w:color w:val="000000"/>
                <w:sz w:val="20"/>
              </w:rPr>
              <w:t>(incorporated herein by reference to Appendix A to our 2022 Annual Proxy Statement, filed on March 29,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6"/>
        <w:gridCol w:w="207"/>
        <w:gridCol w:w="175"/>
        <w:gridCol w:w="109"/>
        <w:gridCol w:w="109"/>
        <w:gridCol w:w="109"/>
        <w:gridCol w:w="3068"/>
        <w:gridCol w:w="2905"/>
        <w:gridCol w:w="2912"/>
        <w:gridCol w:w="109"/>
        <w:gridCol w:w="109"/>
        <w:gridCol w:w="157"/>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 xml:space="preserve">Form of NMI Holdings, Inc. Amended and Restated 2014 Omnibus Incentive Plan Nonqualified Stock Option Award Agreement (For CEO) </w:t>
              </w:r>
            </w:hyperlink>
            <w:r>
              <w:rPr>
                <w:rFonts w:ascii="Times New Roman;serif" w:hAnsi="Times New Roman;serif"/>
                <w:b w:val="false"/>
                <w:color w:val="000000"/>
                <w:sz w:val="20"/>
              </w:rPr>
              <w:t>(incorporated herein by reference to Exhibit 10.23 to our Form 10-Q filed on August 1,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NMI Holdings, Inc. Amended and Restated 2014 Omnibus Incentive Plan Nonqualified Stock Option Award Agreement (For Executive Officers and Employees</w:t>
              </w:r>
            </w:hyperlink>
            <w:r>
              <w:rPr>
                <w:rFonts w:ascii="Times New Roman;serif" w:hAnsi="Times New Roman;serif"/>
                <w:b w:val="false"/>
                <w:color w:val="000000"/>
                <w:sz w:val="20"/>
              </w:rPr>
              <w:t>) (incorporated herein by reference to Exhibit 10.24 to our Form 10-Q filed on August 1, 2017)</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10.38 to our Form 10-Q, filed on May 7,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NMI Holdings, Inc. Amended and Restated 2014 Omnibus Incentive Plan Restricted Stock Unit Award Agreement (For Independent Directors)</w:t>
              </w:r>
            </w:hyperlink>
            <w:r>
              <w:rPr>
                <w:color w:val="000000"/>
              </w:rPr>
              <w:t xml:space="preserve"> </w:t>
            </w:r>
            <w:r>
              <w:rPr>
                <w:rFonts w:ascii="Times New Roman;serif" w:hAnsi="Times New Roman;serif"/>
                <w:b w:val="false"/>
                <w:color w:val="000000"/>
                <w:sz w:val="20"/>
              </w:rPr>
              <w:t>(incorporated herein by reference to Exhibit 10.12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10.34 to our Form 10-Q, filed on May 2,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10.22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10.23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10.24 to our Form 10-K, filed on February 15,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NMI Holdings, Inc. Amended and Restated 2014 Omnibus Incentive Plan Nonqualified Stock Option Agreement (For Employees)</w:t>
              </w:r>
            </w:hyperlink>
            <w:r>
              <w:rPr>
                <w:color w:val="000000"/>
              </w:rPr>
              <w:t xml:space="preserve"> </w:t>
            </w:r>
            <w:r>
              <w:rPr>
                <w:rFonts w:ascii="Times New Roman;serif" w:hAnsi="Times New Roman;serif"/>
                <w:b w:val="false"/>
                <w:color w:val="000000"/>
                <w:sz w:val="20"/>
              </w:rPr>
              <w:t>(incorporated herein by reference to Exhibit 10.35 to our Form 10-Q, filed on May 2,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10.19 to our Form 10-K, filed on February 14,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10.20 to our Form 10-K, filed on February 14,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Form of Indemnification Agreement between NMI Holdings, Inc. and its directors and certain executive officers</w:t>
              </w:r>
            </w:hyperlink>
            <w:r>
              <w:rPr>
                <w:color w:val="000000"/>
              </w:rPr>
              <w:t xml:space="preserve"> </w:t>
            </w:r>
            <w:r>
              <w:rPr>
                <w:rFonts w:ascii="Times New Roman;serif" w:hAnsi="Times New Roman;serif"/>
                <w:b w:val="false"/>
                <w:color w:val="000000"/>
                <w:sz w:val="20"/>
              </w:rPr>
              <w:t xml:space="preserve">(incorporated herein by reference to Exhibit 10.1 to our Form 8-K, filed on November 25, 2014)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NMI Holdings, Inc. Severance Benefit Plan</w:t>
              </w:r>
            </w:hyperlink>
            <w:r>
              <w:rPr>
                <w:color w:val="000000"/>
              </w:rPr>
              <w:t xml:space="preserve"> </w:t>
            </w:r>
            <w:r>
              <w:rPr>
                <w:rFonts w:ascii="Times New Roman;serif" w:hAnsi="Times New Roman;serif"/>
                <w:b w:val="false"/>
                <w:color w:val="000000"/>
                <w:sz w:val="20"/>
              </w:rPr>
              <w:t>(incorporated herein by reference to Exhibit 10.22 to our Form 10-Q, filed on November 5,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NMI Holdings, Inc. Amended and Restated Change in Control Severance Benefit Plan</w:t>
              </w:r>
            </w:hyperlink>
            <w:r>
              <w:rPr>
                <w:color w:val="000000"/>
              </w:rPr>
              <w:t xml:space="preserve"> </w:t>
            </w:r>
            <w:r>
              <w:rPr>
                <w:rFonts w:ascii="Times New Roman;serif" w:hAnsi="Times New Roman;serif"/>
                <w:b w:val="false"/>
                <w:color w:val="000000"/>
                <w:sz w:val="20"/>
              </w:rPr>
              <w:t>(incorporated herein by reference to Exhibit 10.23 to our Form 10-Q, filed on November 5,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Offer Letter by and between NMI Holdings, Inc. and William Leatherberry, dated July 11, 2014</w:t>
              </w:r>
            </w:hyperlink>
            <w:r>
              <w:rPr>
                <w:color w:val="000000"/>
              </w:rPr>
              <w:t xml:space="preserve"> </w:t>
            </w:r>
            <w:r>
              <w:rPr>
                <w:rFonts w:ascii="Times New Roman;serif" w:hAnsi="Times New Roman;serif"/>
                <w:b w:val="false"/>
                <w:color w:val="000000"/>
                <w:sz w:val="20"/>
              </w:rPr>
              <w:t>(incorporated herein by reference to Exhibit 10.10 to our Form 10-Q, filed on April 28, 2016)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Employment Letter by and between NMI Holdings, Inc. and Bradley M. Shuster, effective as of January 1, 2019</w:t>
              </w:r>
            </w:hyperlink>
            <w:r>
              <w:rPr>
                <w:color w:val="000000"/>
              </w:rPr>
              <w:t xml:space="preserve"> </w:t>
            </w:r>
            <w:r>
              <w:rPr>
                <w:rFonts w:ascii="Times New Roman;serif" w:hAnsi="Times New Roman;serif"/>
                <w:b w:val="false"/>
                <w:color w:val="000000"/>
                <w:sz w:val="20"/>
              </w:rPr>
              <w:t>(incorporated herein by reference to Exhibit 10.1 to our Form 8-K, filed on December 28,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Offer Letter by and between NMI Holdings, Inc. and Adam Pollitzer, dated September 9, 2021</w:t>
              </w:r>
            </w:hyperlink>
            <w:r>
              <w:rPr>
                <w:color w:val="000000"/>
              </w:rPr>
              <w:t xml:space="preserve"> </w:t>
            </w:r>
            <w:r>
              <w:rPr>
                <w:rFonts w:ascii="Times New Roman;serif" w:hAnsi="Times New Roman;serif"/>
                <w:b w:val="false"/>
                <w:color w:val="000000"/>
                <w:sz w:val="20"/>
              </w:rPr>
              <w:t>(incorporated herein by reference to Exhibit 10.1 to our Form 8-K, filed on September 9,2021)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Offer Letter by and between NMI Holdings, Inc. and Aurora Swithenbank, dated March 1, 2024</w:t>
              </w:r>
            </w:hyperlink>
            <w:r>
              <w:rPr>
                <w:color w:val="000000"/>
              </w:rPr>
              <w:t xml:space="preserve"> </w:t>
            </w:r>
            <w:r>
              <w:rPr>
                <w:rFonts w:ascii="Times New Roman;serif" w:hAnsi="Times New Roman;serif"/>
                <w:b w:val="false"/>
                <w:color w:val="000000"/>
                <w:sz w:val="20"/>
              </w:rPr>
              <w:t>(incorporated herein by reference to Exhibit 10.1 to our Form 8-K, filed on March 4,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Separation Agreement by and between NMI Holdings, Inc. and Ravi Mallela, dated March 1, 2024</w:t>
              </w:r>
            </w:hyperlink>
            <w:r>
              <w:rPr>
                <w:color w:val="000000"/>
              </w:rPr>
              <w:t xml:space="preserve"> </w:t>
            </w:r>
            <w:r>
              <w:rPr>
                <w:rFonts w:ascii="Times New Roman;serif" w:hAnsi="Times New Roman;serif"/>
                <w:b w:val="false"/>
                <w:color w:val="000000"/>
                <w:sz w:val="20"/>
              </w:rPr>
              <w:t>(incorporated herein by reference to Exhibit 10.2 to our Form 8-K, filed on March 4,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Commitment Letter dated July 12, 2013 for Bulk Fannie Mae-Paid Loss-on-Sale Mortgage Insurance on the Portfolio of approximately $5.46 billion Purchased by Fannie Mae and Identified by Fannie Mae as Deal No. 2013 MIRT 01 and by the Company as Policy No. P-0001-01</w:t>
              </w:r>
            </w:hyperlink>
            <w:r>
              <w:rPr>
                <w:color w:val="000000"/>
              </w:rPr>
              <w:t xml:space="preserve"> </w:t>
            </w:r>
            <w:r>
              <w:rPr>
                <w:rFonts w:ascii="Times New Roman;serif" w:hAnsi="Times New Roman;serif"/>
                <w:b w:val="false"/>
                <w:color w:val="000000"/>
                <w:sz w:val="20"/>
              </w:rPr>
              <w:t>(incorporated herein by reference to Exhibit 10.14 to our Form S-1 Registration Statement (Registration No. 333-191635), filed on October 9, 2013)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Amended and Restated Credit Agreement, dated as of November 29, 2021, by and among the Company, the lender parties thereto and JPMorgan Chase Bank, N.A. as administrative agent</w:t>
              </w:r>
            </w:hyperlink>
            <w:r>
              <w:rPr>
                <w:color w:val="000000"/>
              </w:rPr>
              <w:t xml:space="preserve"> </w:t>
            </w:r>
            <w:r>
              <w:rPr>
                <w:rFonts w:ascii="Times New Roman;serif" w:hAnsi="Times New Roman;serif"/>
                <w:b w:val="false"/>
                <w:color w:val="000000"/>
                <w:sz w:val="20"/>
              </w:rPr>
              <w:t>(incorporated herein by reference to Exhibit 10.1 to our Form 8-K filed on November 30,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Insider Trading and Information Policy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2"/>
        <w:gridCol w:w="177"/>
        <w:gridCol w:w="179"/>
        <w:gridCol w:w="109"/>
        <w:gridCol w:w="109"/>
        <w:gridCol w:w="109"/>
        <w:gridCol w:w="3037"/>
        <w:gridCol w:w="2951"/>
        <w:gridCol w:w="2958"/>
        <w:gridCol w:w="109"/>
        <w:gridCol w:w="109"/>
        <w:gridCol w:w="156"/>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Subsidiaries of NMI Holdings, Inc.</w:t>
              </w:r>
            </w:hyperlink>
            <w:r>
              <w:rPr>
                <w:color w:val="000000"/>
              </w:rPr>
              <w:t xml:space="preserve"> </w:t>
            </w:r>
            <w:r>
              <w:rPr>
                <w:rFonts w:ascii="Times New Roman;serif" w:hAnsi="Times New Roman;serif"/>
                <w:b w:val="false"/>
                <w:color w:val="000000"/>
                <w:sz w:val="20"/>
              </w:rPr>
              <w:t>(incorporated herein by reference to Exhibit 21.1 to our Form 10-Q, filed on October 30, 2015)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u w:val="single"/>
                </w:rPr>
                <w:t>Guaranteed Securities by Subsidiary Guarantor</w:t>
              </w:r>
            </w:hyperlink>
            <w:r>
              <w:rPr>
                <w:color w:val="000000"/>
              </w:rPr>
              <w:t xml:space="preserve"> </w:t>
            </w:r>
            <w:r>
              <w:rPr>
                <w:rFonts w:ascii="Times New Roman;serif" w:hAnsi="Times New Roman;serif"/>
                <w:b w:val="false"/>
                <w:color w:val="000000"/>
                <w:sz w:val="20"/>
              </w:rPr>
              <w:t>(incorporated herein by reference to Exhibit 22.1 to our Form 10-K, filed on February 16,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Consent of BDO USA, P.C.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Principal Executive Officer's Certification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Principal Financial Officer's Certification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Certifications of CEO and CFO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NMI Holdings, Inc. Compensation Recovery Policy, Effective September 13, 2023</w:t>
              </w:r>
            </w:hyperlink>
            <w:r>
              <w:rPr>
                <w:color w:val="000000"/>
              </w:rPr>
              <w:t xml:space="preserve"> </w:t>
            </w:r>
            <w:r>
              <w:rPr>
                <w:rFonts w:ascii="Times New Roman;serif" w:hAnsi="Times New Roman;serif"/>
                <w:b w:val="false"/>
                <w:color w:val="000000"/>
                <w:sz w:val="20"/>
              </w:rPr>
              <w:t>(incorporated herein by reference to Exhibit 97.1 to our Form 10-K, filed on February 15,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NMI Holdings, Inc.'s Annual Report on Form 10-K for the year ended December 31, 2025 formatted in XBRL (eXtensible Business Reporting Language):</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 Consolidated Balance Sheets as of December 31, 2025 and 2024,</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(ii) Consolidated Statements of Operations and Comprehensive Income (Loss) for each of the three years in the period ended December 31, 2025,</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(iii) Consolidated Statements of Changes in Shareholders' Equity for each of the three years in the period ended December 31, 2025,</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(iv) Consolidated Statements of Cash Flows for each of the three years in the period ended December 31, 2025,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(v) Notes to Consolidated Financial Statements. The instance document does not appear in the Interactive Data File because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70"/>
        <w:gridCol w:w="2888"/>
        <w:gridCol w:w="4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Indicates a management contract or compensatory plan or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Confidential treatment granted as to certain portions, which portions have been filed separately with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bl>
    <w:p>
      <w:pPr>
        <w:pStyle w:val="TextBody"/>
        <w:bidi w:val="0"/>
        <w:spacing w:lineRule="auto" w:line="288" w:before="0" w:after="0"/>
        <w:ind w:left="0" w:right="0" w:hanging="180"/>
        <w:jc w:val="both"/>
        <w:rPr>
          <w:color w:val="000000"/>
        </w:rPr>
      </w:pPr>
      <w:r>
        <w:rPr>
          <w:color w:val="000000"/>
        </w:rPr>
        <w:t>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45" w:type="dxa"/>
        <w:jc w:val="left"/>
        <w:tblInd w:w="0" w:type="dxa"/>
        <w:tblLayout w:type="fixed"/>
        <w:tblCellMar>
          <w:top w:w="28" w:type="dxa"/>
          <w:left w:w="28" w:type="dxa"/>
          <w:bottom w:w="28" w:type="dxa"/>
          <w:right w:w="28" w:type="dxa"/>
        </w:tblCellMar>
      </w:tblPr>
      <w:tblGrid>
        <w:gridCol w:w="965"/>
        <w:gridCol w:w="851"/>
        <w:gridCol w:w="854"/>
        <w:gridCol w:w="1074"/>
        <w:gridCol w:w="1074"/>
        <w:gridCol w:w="1527"/>
      </w:tblGrid>
      <w:tr>
        <w:trPr/>
        <w:tc>
          <w:tcPr>
            <w:tcW w:w="9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0"/>
              </w:rPr>
              <w:br/>
            </w:r>
            <w:r>
              <w:rPr>
                <w:rFonts w:ascii="Times New Roman;serif" w:hAnsi="Times New Roman;serif"/>
                <w:b/>
                <w:color w:val="000000"/>
                <w:sz w:val="20"/>
              </w:rPr>
              <w:t>NMI HOLDINGS, INC.</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February 12, 2026             </w:t>
            </w:r>
          </w:p>
        </w:tc>
        <w:tc>
          <w:tcPr>
            <w:tcW w:w="36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Adam S. Pollitzer                                  </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Name: Adam S. Pollitzer</w:t>
              <w:br/>
              <w:t xml:space="preserve">     Title: Chief Executive Officer </w:t>
            </w:r>
          </w:p>
        </w:tc>
      </w:tr>
    </w:tbl>
    <w:tbl>
      <w:tblPr>
        <w:tblW w:w="6232" w:type="dxa"/>
        <w:jc w:val="center"/>
        <w:tblInd w:w="0" w:type="dxa"/>
        <w:tblLayout w:type="fixed"/>
        <w:tblCellMar>
          <w:top w:w="28" w:type="dxa"/>
          <w:left w:w="28" w:type="dxa"/>
          <w:bottom w:w="28" w:type="dxa"/>
          <w:right w:w="28" w:type="dxa"/>
        </w:tblCellMar>
      </w:tblPr>
      <w:tblGrid>
        <w:gridCol w:w="776"/>
        <w:gridCol w:w="683"/>
        <w:gridCol w:w="685"/>
        <w:gridCol w:w="109"/>
        <w:gridCol w:w="109"/>
        <w:gridCol w:w="109"/>
        <w:gridCol w:w="806"/>
        <w:gridCol w:w="806"/>
        <w:gridCol w:w="817"/>
        <w:gridCol w:w="109"/>
        <w:gridCol w:w="109"/>
        <w:gridCol w:w="109"/>
        <w:gridCol w:w="294"/>
        <w:gridCol w:w="294"/>
        <w:gridCol w:w="417"/>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S. Pollitzer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S. Pollitzer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Aurora Swithenbank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Nicholas D. Realmuto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Nicholas D. Realmuto</w:t>
              <w:br/>
            </w:r>
            <w:r>
              <w:rPr>
                <w:rFonts w:ascii="Times New Roman;serif" w:hAnsi="Times New Roman;serif"/>
                <w:b w:val="false"/>
                <w:sz w:val="20"/>
              </w:rPr>
              <w:br/>
              <w:br/>
            </w:r>
            <w:r>
              <w:rPr>
                <w:rFonts w:ascii="Times New Roman;serif" w:hAnsi="Times New Roman;serif"/>
                <w:b w:val="false"/>
                <w:color w:val="000000"/>
                <w:sz w:val="20"/>
              </w:rPr>
              <w:t>/s/ Bradley M. Shuster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Bradley M. Shuster</w:t>
              <w:br/>
            </w:r>
            <w:r>
              <w:rPr>
                <w:rFonts w:ascii="Times New Roman;serif" w:hAnsi="Times New Roman;serif"/>
                <w:b w:val="false"/>
                <w:sz w:val="20"/>
              </w:rPr>
              <w:br/>
              <w:br/>
            </w:r>
            <w:r>
              <w:rPr>
                <w:rFonts w:ascii="Times New Roman;serif" w:hAnsi="Times New Roman;serif"/>
                <w:b w:val="false"/>
                <w:color w:val="000000"/>
                <w:sz w:val="20"/>
              </w:rPr>
              <w:t>/s/ Steven L. Scheid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L. Scheid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Regina Muehlhauser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Regina Muehlhauser</w:t>
              <w:br/>
            </w:r>
            <w:r>
              <w:rPr>
                <w:rFonts w:ascii="Times New Roman;serif" w:hAnsi="Times New Roman;serif"/>
                <w:b w:val="false"/>
                <w:sz w:val="20"/>
              </w:rPr>
              <w:br/>
              <w:br/>
            </w:r>
            <w:r>
              <w:rPr>
                <w:rFonts w:ascii="Times New Roman;serif" w:hAnsi="Times New Roman;serif"/>
                <w:b w:val="false"/>
                <w:color w:val="000000"/>
                <w:sz w:val="20"/>
              </w:rPr>
              <w:t>/s/ Michael Montgomery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Michael Montgomery</w:t>
              <w:br/>
            </w:r>
            <w:r>
              <w:rPr>
                <w:rFonts w:ascii="Times New Roman;serif" w:hAnsi="Times New Roman;serif"/>
                <w:b w:val="false"/>
                <w:sz w:val="20"/>
              </w:rPr>
              <w:br/>
              <w:br/>
            </w:r>
            <w:r>
              <w:rPr>
                <w:rFonts w:ascii="Times New Roman;serif" w:hAnsi="Times New Roman;serif"/>
                <w:b w:val="false"/>
                <w:color w:val="000000"/>
                <w:sz w:val="20"/>
              </w:rPr>
              <w:t>/s/ Michael Embler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Michael Embler</w:t>
              <w:br/>
            </w:r>
            <w:r>
              <w:rPr>
                <w:rFonts w:ascii="Times New Roman;serif" w:hAnsi="Times New Roman;serif"/>
                <w:b w:val="false"/>
                <w:sz w:val="20"/>
              </w:rPr>
              <w:br/>
              <w:br/>
            </w:r>
            <w:r>
              <w:rPr>
                <w:rFonts w:ascii="Times New Roman;serif" w:hAnsi="Times New Roman;serif"/>
                <w:b w:val="false"/>
                <w:color w:val="000000"/>
                <w:sz w:val="20"/>
              </w:rPr>
              <w:t>/s/ Lynn S. McCreary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Lynn S. McCreary</w:t>
              <w:br/>
            </w:r>
            <w:r>
              <w:rPr>
                <w:rFonts w:ascii="Times New Roman;serif" w:hAnsi="Times New Roman;serif"/>
                <w:b w:val="false"/>
                <w:sz w:val="20"/>
              </w:rPr>
              <w:br/>
              <w:br/>
            </w:r>
            <w:r>
              <w:rPr>
                <w:rFonts w:ascii="Times New Roman;serif" w:hAnsi="Times New Roman;serif"/>
                <w:b w:val="false"/>
                <w:color w:val="000000"/>
                <w:sz w:val="20"/>
              </w:rPr>
              <w:t>/s/ Priya Huskins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Priya Huskins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John C. Erickson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C. Erickson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 SCHEDULES</w:t>
      </w:r>
    </w:p>
    <w:tbl>
      <w:tblPr>
        <w:tblW w:w="9239" w:type="dxa"/>
        <w:jc w:val="center"/>
        <w:tblInd w:w="0" w:type="dxa"/>
        <w:tblLayout w:type="fixed"/>
        <w:tblCellMar>
          <w:top w:w="28" w:type="dxa"/>
          <w:left w:w="28" w:type="dxa"/>
          <w:bottom w:w="28" w:type="dxa"/>
          <w:right w:w="28" w:type="dxa"/>
        </w:tblCellMar>
      </w:tblPr>
      <w:tblGrid>
        <w:gridCol w:w="3195"/>
        <w:gridCol w:w="2808"/>
        <w:gridCol w:w="2816"/>
        <w:gridCol w:w="123"/>
        <w:gridCol w:w="123"/>
        <w:gridCol w:w="174"/>
      </w:tblGrid>
      <w:tr>
        <w:trPr/>
        <w:tc>
          <w:tcPr>
            <w:tcW w:w="3195"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 — Summary of Investments — other than investments in related parties as of December 31, 2025</w:t>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FF"/>
                <w:sz w:val="20"/>
                <w:u w:val="single"/>
              </w:rPr>
              <w:t>F-</w:t>
            </w:r>
            <w:hyperlink w:anchor="i05912e4d3e514221a54044ba2adc2e6d_400">
              <w:r>
                <w:rPr>
                  <w:rStyle w:val="InternetLink"/>
                  <w:rFonts w:ascii="Times New Roman;serif" w:hAnsi="Times New Roman;serif"/>
                  <w:b w:val="false"/>
                  <w:color w:val="000080"/>
                  <w:sz w:val="20"/>
                  <w:u w:val="singl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 as of December 31, 2025</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FF"/>
                <w:sz w:val="20"/>
                <w:u w:val="single"/>
              </w:rPr>
              <w:t>F-</w:t>
            </w:r>
            <w:hyperlink w:anchor="i05912e4d3e514221a54044ba2adc2e6d_403">
              <w:r>
                <w:rPr>
                  <w:rStyle w:val="InternetLink"/>
                  <w:rFonts w:ascii="Times New Roman;serif" w:hAnsi="Times New Roman;serif"/>
                  <w:b w:val="false"/>
                  <w:color w:val="000080"/>
                  <w:sz w:val="20"/>
                  <w:u w:val="single"/>
                </w:rPr>
                <w:t>2</w:t>
              </w:r>
            </w:hyperlink>
          </w:p>
        </w:tc>
      </w:tr>
      <w:tr>
        <w:trPr/>
        <w:tc>
          <w:tcPr>
            <w:tcW w:w="8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Schedule IV — Reinsurance as of December 31, 2025</w:t>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FF"/>
                <w:sz w:val="20"/>
                <w:u w:val="single"/>
              </w:rPr>
              <w:t>F-</w:t>
            </w:r>
            <w:hyperlink w:anchor="i05912e4d3e514221a54044ba2adc2e6d_418">
              <w:r>
                <w:rPr>
                  <w:rStyle w:val="InternetLink"/>
                  <w:rFonts w:ascii="Times New Roman;serif" w:hAnsi="Times New Roman;serif"/>
                  <w:b w:val="false"/>
                  <w:color w:val="000080"/>
                  <w:sz w:val="20"/>
                  <w:u w:val="single"/>
                </w:rPr>
                <w:t>6</w:t>
              </w:r>
            </w:hyperlink>
          </w:p>
        </w:tc>
      </w:tr>
    </w:tbl>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SUMMARY OF INVESTMENTS - OTHER THAN INVESTMENTS IN RELATED PARTIES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2"/>
        <w:gridCol w:w="1410"/>
        <w:gridCol w:w="1410"/>
        <w:gridCol w:w="211"/>
        <w:gridCol w:w="976"/>
        <w:gridCol w:w="109"/>
        <w:gridCol w:w="109"/>
        <w:gridCol w:w="109"/>
        <w:gridCol w:w="109"/>
        <w:gridCol w:w="211"/>
        <w:gridCol w:w="976"/>
        <w:gridCol w:w="109"/>
        <w:gridCol w:w="109"/>
        <w:gridCol w:w="109"/>
        <w:gridCol w:w="109"/>
        <w:gridCol w:w="371"/>
        <w:gridCol w:w="1721"/>
        <w:gridCol w:w="275"/>
      </w:tblGrid>
      <w:tr>
        <w:trPr/>
        <w:tc>
          <w:tcPr>
            <w:tcW w:w="177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Reflected on Balance Sheet</w:t>
            </w:r>
          </w:p>
        </w:tc>
      </w:tr>
      <w:tr>
        <w:trPr/>
        <w:tc>
          <w:tcPr>
            <w:tcW w:w="4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28"/>
        <w:gridCol w:w="2182"/>
        <w:gridCol w:w="2202"/>
        <w:gridCol w:w="221"/>
        <w:gridCol w:w="1024"/>
        <w:gridCol w:w="114"/>
        <w:gridCol w:w="109"/>
        <w:gridCol w:w="109"/>
        <w:gridCol w:w="109"/>
        <w:gridCol w:w="220"/>
        <w:gridCol w:w="1022"/>
        <w:gridCol w:w="165"/>
      </w:tblGrid>
      <w:tr>
        <w:trPr/>
        <w:tc>
          <w:tcPr>
            <w:tcW w:w="272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$105,096 and $92,878)</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 at equity in net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3,113,454 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88,371,465 shares issued and 76,285,242 shares outstanding as of December 31, 2025 and 87,902,626 shares issued and 78,600,726 shares outstanding as of December 31, 2024 (250,000,000 shares authorized)</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12,086,223 and 9,301,900 common shares as of December 31, 2025 and December 31, 2024, respectively</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3,547,854 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3,113,454 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tbl>
      <w:tblPr>
        <w:tblW w:w="10205" w:type="dxa"/>
        <w:jc w:val="center"/>
        <w:tblInd w:w="0" w:type="dxa"/>
        <w:tblLayout w:type="fixed"/>
        <w:tblCellMar>
          <w:top w:w="28" w:type="dxa"/>
          <w:left w:w="28" w:type="dxa"/>
          <w:bottom w:w="28" w:type="dxa"/>
          <w:right w:w="28" w:type="dxa"/>
        </w:tblCellMar>
      </w:tblPr>
      <w:tblGrid>
        <w:gridCol w:w="2297"/>
        <w:gridCol w:w="1767"/>
        <w:gridCol w:w="1785"/>
        <w:gridCol w:w="211"/>
        <w:gridCol w:w="826"/>
        <w:gridCol w:w="109"/>
        <w:gridCol w:w="109"/>
        <w:gridCol w:w="109"/>
        <w:gridCol w:w="109"/>
        <w:gridCol w:w="211"/>
        <w:gridCol w:w="826"/>
        <w:gridCol w:w="109"/>
        <w:gridCol w:w="109"/>
        <w:gridCol w:w="109"/>
        <w:gridCol w:w="109"/>
        <w:gridCol w:w="211"/>
        <w:gridCol w:w="826"/>
        <w:gridCol w:w="109"/>
        <w:gridCol w:w="109"/>
        <w:gridCol w:w="155"/>
      </w:tblGrid>
      <w:tr>
        <w:trPr/>
        <w:tc>
          <w:tcPr>
            <w:tcW w:w="229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in accumulated other comprehensive loss, net of tax expense of $167, $133, and $312 for each of the years in the three-year period ended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losses included in net income, net of tax benefit of $—, $— and $7 for each of the years in the three-year period ended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other comprehensive income of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tbl>
      <w:tblPr>
        <w:tblW w:w="10205" w:type="dxa"/>
        <w:jc w:val="left"/>
        <w:tblInd w:w="0" w:type="dxa"/>
        <w:tblLayout w:type="fixed"/>
        <w:tblCellMar>
          <w:top w:w="28" w:type="dxa"/>
          <w:left w:w="28" w:type="dxa"/>
          <w:bottom w:w="28" w:type="dxa"/>
          <w:right w:w="28" w:type="dxa"/>
        </w:tblCellMar>
      </w:tblPr>
      <w:tblGrid>
        <w:gridCol w:w="2268"/>
        <w:gridCol w:w="1897"/>
        <w:gridCol w:w="1902"/>
        <w:gridCol w:w="211"/>
        <w:gridCol w:w="826"/>
        <w:gridCol w:w="109"/>
        <w:gridCol w:w="109"/>
        <w:gridCol w:w="109"/>
        <w:gridCol w:w="109"/>
        <w:gridCol w:w="211"/>
        <w:gridCol w:w="826"/>
        <w:gridCol w:w="109"/>
        <w:gridCol w:w="109"/>
        <w:gridCol w:w="109"/>
        <w:gridCol w:w="109"/>
        <w:gridCol w:w="211"/>
        <w:gridCol w:w="826"/>
        <w:gridCol w:w="155"/>
      </w:tblGrid>
      <w:tr>
        <w:trPr/>
        <w:tc>
          <w:tcPr>
            <w:tcW w:w="2268"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subsidiaries, at equity in net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fixed-maturity investments, available-for-sale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fixed-maturity investments, available-for-sale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Software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related to employee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unsecured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senior secured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ind w:left="0" w:right="0" w:hanging="360"/>
        <w:jc w:val="left"/>
        <w:rPr/>
      </w:pPr>
      <w:r>
        <w:rPr/>
      </w:r>
    </w:p>
    <w:p>
      <w:pPr>
        <w:pStyle w:val="TextBody"/>
        <w:bidi w:val="0"/>
        <w:spacing w:before="100" w:after="1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II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SUPPLEMENTAL NOTES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PARENT COMPANY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pStyle w:val="TextBody"/>
        <w:bidi w:val="0"/>
        <w:spacing w:lineRule="auto" w:line="288" w:before="0" w:after="180"/>
        <w:jc w:val="both"/>
        <w:rPr/>
      </w:pPr>
      <w:r>
        <w:rPr>
          <w:rFonts w:ascii="Times New Roman;serif" w:hAnsi="Times New Roman;serif"/>
          <w:b/>
          <w:color w:val="000000"/>
          <w:sz w:val="20"/>
        </w:rPr>
        <w:t>Note B</w:t>
      </w:r>
      <w:r>
        <w:rPr>
          <w:color w:val="000000"/>
        </w:rPr>
        <w:t xml:space="preserve"> </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serif" w:hAnsi="Times New Roman;serif"/>
          <w:b w:val="false"/>
          <w:i/>
          <w:color w:val="000000"/>
          <w:sz w:val="20"/>
        </w:rPr>
        <w:t>i.e</w:t>
      </w:r>
      <w:r>
        <w:rPr>
          <w:rFonts w:ascii="Times New Roman;serif" w:hAnsi="Times New Roman;serif"/>
          <w:b w:val="false"/>
          <w:color w:val="000000"/>
          <w:sz w:val="20"/>
        </w:rPr>
        <w:t>., “ordinary” dividends) with 30 days' prior notice to the Wisconsin OCI. Dividends in larger amounts (</w:t>
      </w:r>
      <w:r>
        <w:rPr>
          <w:rFonts w:ascii="Times New Roman;serif" w:hAnsi="Times New Roman;serif"/>
          <w:b w:val="false"/>
          <w:i/>
          <w:color w:val="000000"/>
          <w:sz w:val="20"/>
        </w:rPr>
        <w:t>i.e.</w:t>
      </w:r>
      <w:r>
        <w:rPr>
          <w:rFonts w:ascii="Times New Roman;serif" w:hAnsi="Times New Roman;serif"/>
          <w:b w:val="false"/>
          <w:color w:val="000000"/>
          <w:sz w:val="20"/>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2025, NMIC paid a $98.4 million ordinary course dividend to NMIH, representing its full ordinary course dividend capacity payable under Wisconsin insurance laws for the twelve-month period ending December 31, 2025. NMIC has the capacity to pay aggregate ordinary dividends of $101.0 million to NMIH during the twelve-month period ending December 31,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remaining net assets from dividend capacity are considered restricted. As of December 31, 2025, the amount of restricted net assets held by our consolidated insurance subsidiaries, which represents our equity investment in those insurance subsidiaries less their aggregate dividend capacity, totaled $3.3 billion, compared to $2.8 billion as of December 31, 2024.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three-year period ended December 31, 2025 were $166.4 million, $177.2 million and $163.9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SCHEDULE IV - FINANCIAL INFORMATION OF REGISTRANT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REINSURANCE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50"/>
        <w:gridCol w:w="484"/>
        <w:gridCol w:w="486"/>
        <w:gridCol w:w="109"/>
        <w:gridCol w:w="109"/>
        <w:gridCol w:w="109"/>
        <w:gridCol w:w="211"/>
        <w:gridCol w:w="828"/>
        <w:gridCol w:w="109"/>
        <w:gridCol w:w="109"/>
        <w:gridCol w:w="109"/>
        <w:gridCol w:w="109"/>
        <w:gridCol w:w="276"/>
        <w:gridCol w:w="1084"/>
        <w:gridCol w:w="142"/>
        <w:gridCol w:w="109"/>
        <w:gridCol w:w="109"/>
        <w:gridCol w:w="109"/>
        <w:gridCol w:w="436"/>
        <w:gridCol w:w="840"/>
        <w:gridCol w:w="228"/>
        <w:gridCol w:w="109"/>
        <w:gridCol w:w="109"/>
        <w:gridCol w:w="109"/>
        <w:gridCol w:w="211"/>
        <w:gridCol w:w="826"/>
        <w:gridCol w:w="109"/>
        <w:gridCol w:w="109"/>
        <w:gridCol w:w="109"/>
        <w:gridCol w:w="109"/>
        <w:gridCol w:w="362"/>
        <w:gridCol w:w="353"/>
        <w:gridCol w:w="1035"/>
      </w:tblGrid>
      <w:tr>
        <w:trPr/>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Ceded to Other Companies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Assumed from Other Companies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Amount Assumed to Net</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jc w:val="both"/>
        <w:rPr/>
      </w:pPr>
      <w:r>
        <w:rPr/>
        <w:drawing>
          <wp:inline distT="0" distB="0" distL="0" distR="0">
            <wp:extent cx="7724775" cy="10001250"/>
            <wp:effectExtent l="0" t="0" r="0" b="0"/>
            <wp:docPr id="1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 descr=""/>
                    <pic:cNvPicPr>
                      <a:picLocks noChangeAspect="1" noChangeArrowheads="1"/>
                    </pic:cNvPicPr>
                  </pic:nvPicPr>
                  <pic:blipFill>
                    <a:blip r:embed="rId48"/>
                    <a:stretch>
                      <a:fillRect/>
                    </a:stretch>
                  </pic:blipFill>
                  <pic:spPr bwMode="auto">
                    <a:xfrm>
                      <a:off x="0" y="0"/>
                      <a:ext cx="7724775" cy="100012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547903/000154790324000159/nmih-20240930.htm" TargetMode="External"/><Relationship Id="rId5" Type="http://schemas.openxmlformats.org/officeDocument/2006/relationships/hyperlink" Target="https://www.sec.gov/ix?doc=/Archives/edgar/data/1547903/000154790324000159/nmih-20240930.htm" TargetMode="External"/><Relationship Id="rId6" Type="http://schemas.openxmlformats.org/officeDocument/2006/relationships/hyperlink" Target="https://www.sec.gov/Archives/edgar/data/1547903/000154790324000111/fifthamendedandrestatedbyl.htm" TargetMode="External"/><Relationship Id="rId7" Type="http://schemas.openxmlformats.org/officeDocument/2006/relationships/hyperlink" Target="https://www.sec.gov/Archives/edgar/data/1547903/000119312524144008/d768666dex41.htm" TargetMode="External"/><Relationship Id="rId8" Type="http://schemas.openxmlformats.org/officeDocument/2006/relationships/hyperlink" Target="https://www.sec.gov/ix?doc=/Archives/edgar/data/1547903/000154790324000159/nmih-20240930.htm" TargetMode="External"/><Relationship Id="rId9" Type="http://schemas.openxmlformats.org/officeDocument/2006/relationships/hyperlink" Target="https://www.sec.gov/Archives/edgar/data/1547903/000154790324000139/exhibit44nmihdescriptionof.htm" TargetMode="External"/><Relationship Id="rId10" Type="http://schemas.openxmlformats.org/officeDocument/2006/relationships/hyperlink" Target="https://www.sec.gov/Archives/edgar/data/1547903/000154790313000020/a101nmiholdingsinc2012stoc.htm" TargetMode="External"/><Relationship Id="rId11" Type="http://schemas.openxmlformats.org/officeDocument/2006/relationships/hyperlink" Target="https://www.sec.gov/Archives/edgar/data/1547903/000154790313000020/a105formofnonqualifiedstoc.htm" TargetMode="External"/><Relationship Id="rId12" Type="http://schemas.openxmlformats.org/officeDocument/2006/relationships/hyperlink" Target="https://www.sec.gov/Archives/edgar/data/1547903/000154790313000020/a106formofnonqualifiedstoc.htm" TargetMode="External"/><Relationship Id="rId13" Type="http://schemas.openxmlformats.org/officeDocument/2006/relationships/hyperlink" Target="https://www.sec.gov/Archives/edgar/data/1547903/000154790313000020/a107formofnonqualifiedstoc.htm" TargetMode="External"/><Relationship Id="rId14" Type="http://schemas.openxmlformats.org/officeDocument/2006/relationships/hyperlink" Target="https://www.sec.gov/Archives/edgar/data/1547903/000154790317000032/exhibit108-2012stockincent.htm" TargetMode="External"/><Relationship Id="rId15" Type="http://schemas.openxmlformats.org/officeDocument/2006/relationships/hyperlink" Target="https://www.sec.gov/Archives/edgar/data/1547903/000154790317000032/exhibit109-2012stockincent.htm" TargetMode="External"/><Relationship Id="rId16" Type="http://schemas.openxmlformats.org/officeDocument/2006/relationships/hyperlink" Target="https://www.sec.gov/Archives/edgar/data/1547903/000154790319000064/exhibit1032.htm" TargetMode="External"/><Relationship Id="rId17" Type="http://schemas.openxmlformats.org/officeDocument/2006/relationships/hyperlink" Target="https://www.sec.gov/Archives/edgar/data/1547903/000154790322000078/nmih2022proxy.htm" TargetMode="External"/><Relationship Id="rId18" Type="http://schemas.openxmlformats.org/officeDocument/2006/relationships/hyperlink" Target="https://www.sec.gov/Archives/edgar/data/1547903/000154790317000100/ex1023nqsceo.htm" TargetMode="External"/><Relationship Id="rId19" Type="http://schemas.openxmlformats.org/officeDocument/2006/relationships/hyperlink" Target="https://www.sec.gov/Archives/edgar/data/1547903/000154790317000100/ex1024nqseoee.htm" TargetMode="External"/><Relationship Id="rId20" Type="http://schemas.openxmlformats.org/officeDocument/2006/relationships/hyperlink" Target="https://www.sec.gov/Archives/edgar/data/1547903/000154790320000045/ex1038202010q.htm" TargetMode="External"/><Relationship Id="rId21" Type="http://schemas.openxmlformats.org/officeDocument/2006/relationships/hyperlink" Target="https://www.sec.gov/Archives/edgar/data/1547903/000154790325000026/ex1012rsuagreementforindep.htm" TargetMode="External"/><Relationship Id="rId22" Type="http://schemas.openxmlformats.org/officeDocument/2006/relationships/hyperlink" Target="https://www.sec.gov/Archives/edgar/data/1547903/000154790319000064/exhibit1034.htm" TargetMode="External"/><Relationship Id="rId23" Type="http://schemas.openxmlformats.org/officeDocument/2006/relationships/hyperlink" Target="https://www.sec.gov/Archives/edgar/data/1547903/000154790324000035/ex1022ye2023rsuawardagreem.htm" TargetMode="External"/><Relationship Id="rId24" Type="http://schemas.openxmlformats.org/officeDocument/2006/relationships/hyperlink" Target="https://www.sec.gov/Archives/edgar/data/1547903/000154790324000035/ex1023ye2023rsuawardagreem.htm" TargetMode="External"/><Relationship Id="rId25" Type="http://schemas.openxmlformats.org/officeDocument/2006/relationships/hyperlink" Target="https://www.sec.gov/Archives/edgar/data/1547903/000154790324000035/ex1024ye2023rsuawardagreem.htm" TargetMode="External"/><Relationship Id="rId26" Type="http://schemas.openxmlformats.org/officeDocument/2006/relationships/hyperlink" Target="https://www.sec.gov/Archives/edgar/data/1547903/000154790319000064/exhibit1035.htm" TargetMode="External"/><Relationship Id="rId27" Type="http://schemas.openxmlformats.org/officeDocument/2006/relationships/hyperlink" Target="https://www.sec.gov/Archives/edgar/data/1547903/000154790325000026/ex1018rsuagreementforexecu.htm" TargetMode="External"/><Relationship Id="rId28" Type="http://schemas.openxmlformats.org/officeDocument/2006/relationships/hyperlink" Target="https://www.sec.gov/Archives/edgar/data/1547903/000154790325000026/ex1019rsuagreementforemplo.htm" TargetMode="External"/><Relationship Id="rId29" Type="http://schemas.openxmlformats.org/officeDocument/2006/relationships/hyperlink" Target="https://www.sec.gov/Archives/edgar/data/1547903/000154790325000026/ex1020rsuagreementperforma.htm" TargetMode="External"/><Relationship Id="rId30" Type="http://schemas.openxmlformats.org/officeDocument/2006/relationships/hyperlink" Target="https://www.sec.gov/Archives/edgar/data/1547903/000154790314000146/exhibit101november252014.htm" TargetMode="External"/><Relationship Id="rId31" Type="http://schemas.openxmlformats.org/officeDocument/2006/relationships/hyperlink" Target="https://www.sec.gov/Archives/edgar/data/1547903/000154790325000103/ex1022nmiharseverancebenef.htm" TargetMode="External"/><Relationship Id="rId32" Type="http://schemas.openxmlformats.org/officeDocument/2006/relationships/hyperlink" Target="https://www.sec.gov/Archives/edgar/data/1547903/000154790325000103/ex1023nmiharcicseverancebe.htm" TargetMode="External"/><Relationship Id="rId33" Type="http://schemas.openxmlformats.org/officeDocument/2006/relationships/hyperlink" Target="https://www.sec.gov/Archives/edgar/data/1547903/000154790316000230/exhibit1010leatherberrybil.htm" TargetMode="External"/><Relationship Id="rId34" Type="http://schemas.openxmlformats.org/officeDocument/2006/relationships/hyperlink" Target="https://www.sec.gov/Archives/edgar/data/1547903/000154790318000137/exhibit101shuster.htm" TargetMode="External"/><Relationship Id="rId35" Type="http://schemas.openxmlformats.org/officeDocument/2006/relationships/hyperlink" Target="https://www.sec.gov/Archives/edgar/data/0001547903/000154790321000153/exhibit101-nmihxapollitz.htm" TargetMode="External"/><Relationship Id="rId36" Type="http://schemas.openxmlformats.org/officeDocument/2006/relationships/hyperlink" Target="https://www.sec.gov/Archives/edgar/data/1547903/000154790324000041/nmih-aswithenbankofferlett.htm" TargetMode="External"/><Relationship Id="rId37" Type="http://schemas.openxmlformats.org/officeDocument/2006/relationships/hyperlink" Target="https://www.sec.gov/Archives/edgar/data/1547903/000154790324000041/nmih-rmallelaseparationagr.htm" TargetMode="External"/><Relationship Id="rId38" Type="http://schemas.openxmlformats.org/officeDocument/2006/relationships/hyperlink" Target="https://www.sec.gov/Archives/edgar/data/1547903/000154790313000020/a1014commitmentletterforbu.htm" TargetMode="External"/><Relationship Id="rId39" Type="http://schemas.openxmlformats.org/officeDocument/2006/relationships/hyperlink" Target="https://www.sec.gov/Archives/edgar/data/1547903/000154790321000180/nmiholdingsinc-creditagree.htm" TargetMode="External"/><Relationship Id="rId40" Type="http://schemas.openxmlformats.org/officeDocument/2006/relationships/hyperlink" Target="https://www.sec.gov/Archives/edgar/data/1547903/000154790326000011/ex191insidertradingandinfo.htm" TargetMode="External"/><Relationship Id="rId41" Type="http://schemas.openxmlformats.org/officeDocument/2006/relationships/hyperlink" Target="https://www.sec.gov/Archives/edgar/data/1547903/000154790315000133/exhibit211subsidiariesofnm.htm" TargetMode="External"/><Relationship Id="rId42" Type="http://schemas.openxmlformats.org/officeDocument/2006/relationships/hyperlink" Target="https://www.sec.gov/Archives/edgar/data/1547903/000154790323000036/exh22110k2022.htm" TargetMode="External"/><Relationship Id="rId43" Type="http://schemas.openxmlformats.org/officeDocument/2006/relationships/hyperlink" Target="https://www.sec.gov/Archives/edgar/data/1547903/000154790326000011/exhibit231ye2025bdoconsent.htm" TargetMode="External"/><Relationship Id="rId44" Type="http://schemas.openxmlformats.org/officeDocument/2006/relationships/hyperlink" Target="https://www.sec.gov/Archives/edgar/data/1547903/000154790326000011/ex31110kye2025.htm" TargetMode="External"/><Relationship Id="rId45" Type="http://schemas.openxmlformats.org/officeDocument/2006/relationships/hyperlink" Target="https://www.sec.gov/Archives/edgar/data/1547903/000154790326000011/ex31210kye2025.htm" TargetMode="External"/><Relationship Id="rId46" Type="http://schemas.openxmlformats.org/officeDocument/2006/relationships/hyperlink" Target="https://www.sec.gov/Archives/edgar/data/1547903/000154790326000011/ex32110kye2025.htm" TargetMode="External"/><Relationship Id="rId47" Type="http://schemas.openxmlformats.org/officeDocument/2006/relationships/hyperlink" Target="https://www.sec.gov/Archives/edgar/data/1547903/000154790324000035/ex971ye2023compensationrec.htm" TargetMode="External"/><Relationship Id="rId48" Type="http://schemas.openxmlformats.org/officeDocument/2006/relationships/image" Target="media/image3.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132</Pages>
  <Words>76269</Words>
  <Characters>421502</Characters>
  <CharactersWithSpaces>494658</CharactersWithSpaces>
  <Paragraphs>5793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